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420"/>
          <w:tab w:val="left" w:pos="6660"/>
        </w:tabs>
        <w:spacing w:line="1600" w:lineRule="atLeast"/>
        <w:jc w:val="center"/>
        <w:rPr>
          <w:rFonts w:cs="仿宋" w:asciiTheme="majorEastAsia" w:hAnsiTheme="majorEastAsia" w:eastAsiaTheme="majorEastAsia"/>
          <w:spacing w:val="100"/>
          <w:sz w:val="72"/>
          <w:szCs w:val="72"/>
        </w:rPr>
      </w:pPr>
      <w:r>
        <w:rPr>
          <w:rFonts w:hint="eastAsia" w:ascii="仿宋" w:hAnsi="仿宋" w:eastAsia="仿宋" w:cs="仿宋"/>
          <w:b/>
          <w:bCs/>
          <w:spacing w:val="100"/>
          <w:sz w:val="72"/>
          <w:szCs w:val="72"/>
        </w:rPr>
        <w:t>询价文件</w:t>
      </w:r>
    </w:p>
    <w:p>
      <w:pPr>
        <w:spacing w:line="500" w:lineRule="exact"/>
        <w:jc w:val="center"/>
        <w:rPr>
          <w:rFonts w:cs="仿宋_GB2312" w:asciiTheme="majorEastAsia" w:hAnsiTheme="majorEastAsia" w:eastAsiaTheme="majorEastAsia"/>
          <w:b/>
          <w:bCs/>
        </w:rPr>
      </w:pPr>
    </w:p>
    <w:p>
      <w:pPr>
        <w:spacing w:line="500" w:lineRule="exact"/>
        <w:jc w:val="center"/>
        <w:rPr>
          <w:rFonts w:cs="仿宋_GB2312" w:asciiTheme="majorEastAsia" w:hAnsiTheme="majorEastAsia" w:eastAsiaTheme="majorEastAsia"/>
          <w:bCs/>
        </w:rPr>
      </w:pPr>
    </w:p>
    <w:p>
      <w:pPr>
        <w:spacing w:line="360" w:lineRule="auto"/>
        <w:ind w:firstLine="640" w:firstLineChars="200"/>
        <w:jc w:val="left"/>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项目编号：</w:t>
      </w:r>
      <w:r>
        <w:rPr>
          <w:rFonts w:hint="eastAsia" w:ascii="仿宋_GB2312" w:hAnsi="仿宋_GB2312" w:eastAsia="仿宋_GB2312" w:cs="仿宋_GB2312"/>
          <w:b/>
          <w:bCs/>
          <w:sz w:val="32"/>
          <w:szCs w:val="32"/>
          <w:lang w:val="en-US" w:eastAsia="zh-CN"/>
        </w:rPr>
        <w:t>XE-20210425-1</w:t>
      </w:r>
    </w:p>
    <w:p>
      <w:pPr>
        <w:spacing w:line="360" w:lineRule="auto"/>
        <w:ind w:left="2238" w:leftChars="304" w:hanging="1600" w:hangingChars="500"/>
        <w:jc w:val="left"/>
        <w:rPr>
          <w:rFonts w:cs="仿宋_GB2312" w:asciiTheme="majorEastAsia" w:hAnsiTheme="majorEastAsia" w:eastAsiaTheme="majorEastAsia"/>
          <w:bCs/>
          <w:sz w:val="2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DOCVARIABLE  采购编号  \* MERGEFORMAT </w:instrTex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sz w:val="32"/>
          <w:szCs w:val="32"/>
        </w:rPr>
        <w:t>项目名称：广州市净水有限公司污水处理过程精细化控制研究项目仪表采购</w:t>
      </w:r>
      <w:r>
        <w:rPr>
          <w:rFonts w:hint="eastAsia" w:cs="仿宋_GB2312" w:asciiTheme="majorEastAsia" w:hAnsiTheme="majorEastAsia" w:eastAsiaTheme="majorEastAsia"/>
          <w:bCs/>
          <w:sz w:val="22"/>
        </w:rPr>
        <w:fldChar w:fldCharType="begin"/>
      </w:r>
      <w:r>
        <w:rPr>
          <w:rFonts w:cs="仿宋_GB2312" w:asciiTheme="majorEastAsia" w:hAnsiTheme="majorEastAsia" w:eastAsiaTheme="majorEastAsia"/>
          <w:bCs/>
          <w:sz w:val="22"/>
        </w:rPr>
        <w:instrText xml:space="preserve"> DOCVARIABLE  项目名称  \* MERGEFORMAT </w:instrText>
      </w:r>
      <w:r>
        <w:rPr>
          <w:rFonts w:hint="eastAsia" w:cs="仿宋_GB2312" w:asciiTheme="majorEastAsia" w:hAnsiTheme="majorEastAsia" w:eastAsiaTheme="majorEastAsia"/>
          <w:bCs/>
          <w:sz w:val="22"/>
        </w:rPr>
        <w:fldChar w:fldCharType="end"/>
      </w:r>
    </w:p>
    <w:p>
      <w:pPr>
        <w:spacing w:line="500" w:lineRule="exact"/>
        <w:jc w:val="center"/>
        <w:rPr>
          <w:rFonts w:cs="仿宋_GB2312" w:asciiTheme="majorEastAsia" w:hAnsiTheme="majorEastAsia" w:eastAsiaTheme="majorEastAsia"/>
          <w:b/>
          <w:bCs/>
        </w:rPr>
      </w:pPr>
    </w:p>
    <w:p>
      <w:pPr>
        <w:spacing w:line="500" w:lineRule="exact"/>
        <w:jc w:val="center"/>
        <w:rPr>
          <w:rFonts w:cs="仿宋_GB2312" w:asciiTheme="majorEastAsia" w:hAnsiTheme="majorEastAsia" w:eastAsiaTheme="majorEastAsia"/>
          <w:b/>
          <w:bCs/>
        </w:rPr>
      </w:pPr>
    </w:p>
    <w:p>
      <w:pPr>
        <w:spacing w:line="500" w:lineRule="exact"/>
        <w:jc w:val="center"/>
        <w:rPr>
          <w:rFonts w:cs="仿宋_GB2312" w:asciiTheme="majorEastAsia" w:hAnsiTheme="majorEastAsia" w:eastAsiaTheme="majorEastAsia"/>
          <w:b/>
          <w:bCs/>
          <w:sz w:val="72"/>
        </w:rPr>
      </w:pPr>
    </w:p>
    <w:p>
      <w:pPr>
        <w:spacing w:line="360" w:lineRule="auto"/>
        <w:jc w:val="center"/>
        <w:rPr>
          <w:rFonts w:cs="仿宋_GB2312" w:asciiTheme="majorEastAsia" w:hAnsiTheme="majorEastAsia" w:eastAsiaTheme="majorEastAsia"/>
          <w:b/>
          <w:sz w:val="28"/>
        </w:rPr>
      </w:pPr>
    </w:p>
    <w:p>
      <w:pPr>
        <w:spacing w:line="360" w:lineRule="auto"/>
        <w:jc w:val="center"/>
        <w:rPr>
          <w:rFonts w:cs="仿宋_GB2312" w:asciiTheme="majorEastAsia" w:hAnsiTheme="majorEastAsia" w:eastAsiaTheme="majorEastAsia"/>
          <w:b/>
          <w:sz w:val="28"/>
        </w:rPr>
      </w:pPr>
    </w:p>
    <w:p>
      <w:pPr>
        <w:spacing w:line="360" w:lineRule="auto"/>
        <w:jc w:val="center"/>
        <w:rPr>
          <w:rFonts w:cs="仿宋_GB2312" w:asciiTheme="majorEastAsia" w:hAnsiTheme="majorEastAsia" w:eastAsiaTheme="majorEastAsia"/>
          <w:b/>
          <w:sz w:val="28"/>
        </w:rPr>
      </w:pPr>
    </w:p>
    <w:p>
      <w:pPr>
        <w:spacing w:line="360" w:lineRule="auto"/>
        <w:jc w:val="center"/>
        <w:rPr>
          <w:rFonts w:cs="仿宋_GB2312" w:asciiTheme="majorEastAsia" w:hAnsiTheme="majorEastAsia" w:eastAsiaTheme="majorEastAsia"/>
          <w:b/>
          <w:sz w:val="28"/>
        </w:rPr>
      </w:pPr>
    </w:p>
    <w:p>
      <w:pPr>
        <w:spacing w:line="360" w:lineRule="auto"/>
        <w:jc w:val="center"/>
        <w:rPr>
          <w:rFonts w:cs="仿宋_GB2312" w:asciiTheme="majorEastAsia" w:hAnsiTheme="majorEastAsia" w:eastAsiaTheme="majorEastAsia"/>
          <w:b/>
          <w:sz w:val="28"/>
        </w:rPr>
      </w:pPr>
    </w:p>
    <w:p>
      <w:pPr>
        <w:spacing w:line="360" w:lineRule="auto"/>
        <w:jc w:val="center"/>
        <w:rPr>
          <w:rFonts w:cs="仿宋_GB2312" w:asciiTheme="majorEastAsia" w:hAnsiTheme="majorEastAsia" w:eastAsiaTheme="majorEastAsia"/>
          <w:b/>
          <w:sz w:val="28"/>
        </w:rPr>
      </w:pPr>
    </w:p>
    <w:p>
      <w:pPr>
        <w:spacing w:line="360" w:lineRule="auto"/>
        <w:jc w:val="center"/>
        <w:rPr>
          <w:rFonts w:cs="仿宋_GB2312" w:asciiTheme="majorEastAsia" w:hAnsiTheme="majorEastAsia" w:eastAsiaTheme="majorEastAsia"/>
          <w:b/>
          <w:sz w:val="28"/>
        </w:rPr>
      </w:pPr>
    </w:p>
    <w:p>
      <w:pPr>
        <w:spacing w:line="360" w:lineRule="auto"/>
        <w:jc w:val="center"/>
        <w:rPr>
          <w:rFonts w:cs="仿宋_GB2312" w:asciiTheme="majorEastAsia" w:hAnsiTheme="majorEastAsia" w:eastAsiaTheme="majorEastAsia"/>
          <w:b/>
          <w:sz w:val="28"/>
        </w:rPr>
      </w:pPr>
    </w:p>
    <w:p>
      <w:pPr>
        <w:spacing w:line="360" w:lineRule="auto"/>
        <w:jc w:val="center"/>
        <w:rPr>
          <w:rFonts w:cs="仿宋_GB2312" w:asciiTheme="majorEastAsia" w:hAnsiTheme="majorEastAsia" w:eastAsiaTheme="majorEastAsia"/>
          <w:b/>
          <w:bCs/>
          <w:sz w:val="28"/>
        </w:rPr>
      </w:pPr>
    </w:p>
    <w:p>
      <w:pPr>
        <w:spacing w:line="360" w:lineRule="auto"/>
        <w:jc w:val="center"/>
        <w:rPr>
          <w:rFonts w:ascii="仿宋" w:hAnsi="仿宋" w:eastAsia="仿宋" w:cs="仿宋"/>
          <w:b/>
          <w:bCs/>
          <w:sz w:val="36"/>
        </w:rPr>
      </w:pPr>
      <w:r>
        <w:rPr>
          <w:rFonts w:hint="eastAsia" w:ascii="仿宋" w:hAnsi="仿宋" w:eastAsia="仿宋" w:cs="仿宋"/>
          <w:b/>
          <w:bCs/>
          <w:sz w:val="36"/>
        </w:rPr>
        <w:t>广州市净水有限公司编制</w:t>
      </w:r>
    </w:p>
    <w:p>
      <w:pPr>
        <w:spacing w:line="360" w:lineRule="auto"/>
        <w:jc w:val="center"/>
        <w:rPr>
          <w:rFonts w:ascii="仿宋" w:hAnsi="仿宋" w:eastAsia="仿宋" w:cs="仿宋"/>
          <w:b/>
          <w:bCs/>
          <w:sz w:val="28"/>
          <w:szCs w:val="28"/>
        </w:rPr>
      </w:pPr>
      <w:r>
        <w:rPr>
          <w:rFonts w:hint="eastAsia" w:ascii="仿宋" w:hAnsi="仿宋" w:eastAsia="仿宋" w:cs="仿宋"/>
          <w:sz w:val="28"/>
          <w:szCs w:val="28"/>
        </w:rPr>
        <w:t xml:space="preserve"> </w:t>
      </w:r>
    </w:p>
    <w:p>
      <w:pPr>
        <w:spacing w:line="360" w:lineRule="auto"/>
        <w:jc w:val="center"/>
        <w:rPr>
          <w:rFonts w:cs="仿宋_GB2312" w:asciiTheme="majorEastAsia" w:hAnsiTheme="majorEastAsia" w:eastAsiaTheme="majorEastAsia"/>
          <w:b/>
          <w:bCs/>
          <w:sz w:val="28"/>
        </w:rPr>
      </w:pPr>
      <w:r>
        <w:rPr>
          <w:rFonts w:hint="eastAsia" w:ascii="仿宋" w:hAnsi="仿宋" w:eastAsia="仿宋" w:cs="仿宋"/>
          <w:b/>
          <w:bCs/>
          <w:sz w:val="28"/>
        </w:rPr>
        <w:t>发布日期：2021年</w:t>
      </w:r>
      <w:r>
        <w:rPr>
          <w:rFonts w:hint="eastAsia" w:ascii="仿宋" w:hAnsi="仿宋" w:eastAsia="仿宋" w:cs="仿宋"/>
          <w:b/>
          <w:bCs/>
          <w:sz w:val="28"/>
          <w:lang w:val="en-US" w:eastAsia="zh-CN"/>
        </w:rPr>
        <w:t>4</w:t>
      </w:r>
      <w:r>
        <w:rPr>
          <w:rFonts w:hint="eastAsia" w:ascii="仿宋" w:hAnsi="仿宋" w:eastAsia="仿宋" w:cs="仿宋"/>
          <w:b/>
          <w:bCs/>
          <w:sz w:val="28"/>
        </w:rPr>
        <w:t>月</w:t>
      </w:r>
      <w:r>
        <w:rPr>
          <w:rFonts w:hint="eastAsia" w:ascii="仿宋" w:hAnsi="仿宋" w:eastAsia="仿宋" w:cs="仿宋"/>
          <w:b/>
          <w:bCs/>
          <w:sz w:val="28"/>
          <w:lang w:val="en-US" w:eastAsia="zh-CN"/>
        </w:rPr>
        <w:t>25</w:t>
      </w:r>
      <w:r>
        <w:rPr>
          <w:rFonts w:hint="eastAsia" w:ascii="仿宋" w:hAnsi="仿宋" w:eastAsia="仿宋" w:cs="仿宋"/>
          <w:b/>
          <w:bCs/>
          <w:sz w:val="28"/>
        </w:rPr>
        <w:t>日</w:t>
      </w:r>
    </w:p>
    <w:p>
      <w:pPr>
        <w:rPr>
          <w:rFonts w:cs="仿宋_GB2312" w:asciiTheme="majorEastAsia" w:hAnsiTheme="majorEastAsia" w:eastAsiaTheme="majorEastAsia"/>
        </w:rPr>
      </w:pPr>
    </w:p>
    <w:p>
      <w:pPr>
        <w:jc w:val="center"/>
        <w:rPr>
          <w:rFonts w:cs="仿宋_GB2312" w:asciiTheme="majorEastAsia" w:hAnsiTheme="majorEastAsia" w:eastAsiaTheme="majorEastAsia"/>
          <w:b/>
          <w:kern w:val="0"/>
          <w:sz w:val="32"/>
          <w:szCs w:val="32"/>
        </w:rPr>
        <w:sectPr>
          <w:headerReference r:id="rId3" w:type="default"/>
          <w:footerReference r:id="rId4" w:type="default"/>
          <w:footerReference r:id="rId5" w:type="even"/>
          <w:pgSz w:w="11906" w:h="16838"/>
          <w:pgMar w:top="1134" w:right="1134" w:bottom="1134" w:left="1701" w:header="851" w:footer="992" w:gutter="0"/>
          <w:cols w:space="720" w:num="1"/>
          <w:docGrid w:type="linesAndChars" w:linePitch="312" w:charSpace="0"/>
        </w:sectPr>
      </w:pPr>
    </w:p>
    <w:p>
      <w:pPr>
        <w:jc w:val="center"/>
        <w:rPr>
          <w:rFonts w:cs="仿宋_GB2312" w:asciiTheme="majorEastAsia" w:hAnsiTheme="majorEastAsia" w:eastAsiaTheme="majorEastAsia"/>
          <w:b/>
          <w:bCs/>
          <w:caps/>
          <w:sz w:val="28"/>
          <w:szCs w:val="28"/>
        </w:rPr>
      </w:pPr>
      <w:r>
        <w:rPr>
          <w:rFonts w:hint="eastAsia" w:cs="仿宋_GB2312" w:asciiTheme="majorEastAsia" w:hAnsiTheme="majorEastAsia" w:eastAsiaTheme="majorEastAsia"/>
          <w:b/>
          <w:kern w:val="0"/>
          <w:sz w:val="32"/>
          <w:szCs w:val="32"/>
        </w:rPr>
        <w:t>目</w:t>
      </w:r>
      <w:r>
        <w:rPr>
          <w:rFonts w:cs="仿宋_GB2312" w:asciiTheme="majorEastAsia" w:hAnsiTheme="majorEastAsia" w:eastAsiaTheme="majorEastAsia"/>
          <w:b/>
          <w:kern w:val="0"/>
          <w:sz w:val="32"/>
          <w:szCs w:val="32"/>
        </w:rPr>
        <w:t xml:space="preserve">      </w:t>
      </w:r>
      <w:r>
        <w:rPr>
          <w:rFonts w:hint="eastAsia" w:cs="仿宋_GB2312" w:asciiTheme="majorEastAsia" w:hAnsiTheme="majorEastAsia" w:eastAsiaTheme="majorEastAsia"/>
          <w:b/>
          <w:kern w:val="0"/>
          <w:sz w:val="32"/>
          <w:szCs w:val="32"/>
        </w:rPr>
        <w:t>录</w:t>
      </w:r>
      <w:r>
        <w:rPr>
          <w:rFonts w:cs="仿宋_GB2312" w:asciiTheme="majorEastAsia" w:hAnsiTheme="majorEastAsia" w:eastAsiaTheme="majorEastAsia"/>
          <w:b/>
          <w:bCs/>
          <w:caps/>
          <w:sz w:val="28"/>
          <w:szCs w:val="28"/>
        </w:rPr>
        <w:br w:type="textWrapping"/>
      </w:r>
    </w:p>
    <w:p>
      <w:pPr>
        <w:pStyle w:val="20"/>
        <w:tabs>
          <w:tab w:val="right" w:leader="dot" w:pos="9174"/>
        </w:tabs>
        <w:spacing w:line="360" w:lineRule="auto"/>
        <w:rPr>
          <w:rFonts w:ascii="仿宋" w:hAnsi="仿宋" w:eastAsia="仿宋" w:cs="仿宋"/>
          <w:sz w:val="28"/>
          <w:szCs w:val="28"/>
        </w:rPr>
      </w:pPr>
      <w:r>
        <w:rPr>
          <w:rFonts w:hint="eastAsia" w:ascii="仿宋" w:hAnsi="仿宋" w:eastAsia="仿宋" w:cs="仿宋"/>
          <w:sz w:val="28"/>
          <w:szCs w:val="28"/>
        </w:rPr>
        <w:t>第一部分  报价邀请函</w:t>
      </w:r>
    </w:p>
    <w:p>
      <w:pPr>
        <w:rPr>
          <w:rFonts w:ascii="仿宋" w:hAnsi="仿宋" w:eastAsia="仿宋" w:cs="仿宋"/>
          <w:sz w:val="28"/>
          <w:szCs w:val="28"/>
        </w:rPr>
      </w:pPr>
      <w:r>
        <w:rPr>
          <w:rFonts w:hint="eastAsia" w:ascii="仿宋" w:hAnsi="仿宋" w:eastAsia="仿宋" w:cs="仿宋"/>
          <w:sz w:val="28"/>
          <w:szCs w:val="28"/>
        </w:rPr>
        <w:t>第二部分  项目内容</w:t>
      </w:r>
    </w:p>
    <w:p>
      <w:pPr>
        <w:rPr>
          <w:rFonts w:ascii="仿宋" w:hAnsi="仿宋" w:eastAsia="仿宋" w:cs="仿宋"/>
          <w:sz w:val="28"/>
          <w:szCs w:val="28"/>
        </w:rPr>
      </w:pPr>
      <w:r>
        <w:rPr>
          <w:rFonts w:hint="eastAsia" w:ascii="仿宋" w:hAnsi="仿宋" w:eastAsia="仿宋" w:cs="仿宋"/>
          <w:sz w:val="28"/>
          <w:szCs w:val="28"/>
        </w:rPr>
        <w:t>第三部分  报价须知</w:t>
      </w:r>
    </w:p>
    <w:p>
      <w:pPr>
        <w:rPr>
          <w:rFonts w:ascii="仿宋" w:hAnsi="仿宋" w:eastAsia="仿宋" w:cs="仿宋"/>
          <w:sz w:val="28"/>
          <w:szCs w:val="28"/>
        </w:rPr>
      </w:pPr>
      <w:r>
        <w:rPr>
          <w:rFonts w:hint="eastAsia" w:ascii="仿宋" w:hAnsi="仿宋" w:eastAsia="仿宋" w:cs="仿宋"/>
          <w:sz w:val="28"/>
          <w:szCs w:val="28"/>
        </w:rPr>
        <w:t>第四部分  合同书格式</w:t>
      </w:r>
    </w:p>
    <w:p>
      <w:pPr>
        <w:rPr>
          <w:rFonts w:ascii="仿宋" w:hAnsi="仿宋" w:eastAsia="仿宋" w:cs="仿宋"/>
          <w:sz w:val="28"/>
          <w:szCs w:val="28"/>
        </w:rPr>
      </w:pPr>
      <w:r>
        <w:rPr>
          <w:rFonts w:hint="eastAsia" w:ascii="仿宋" w:hAnsi="仿宋" w:eastAsia="仿宋" w:cs="仿宋"/>
          <w:sz w:val="28"/>
          <w:szCs w:val="28"/>
        </w:rPr>
        <w:t>第五部分  响应文件格式</w:t>
      </w:r>
    </w:p>
    <w:p>
      <w:pPr>
        <w:rPr>
          <w:rFonts w:cs="仿宋_GB2312" w:asciiTheme="majorEastAsia" w:hAnsiTheme="majorEastAsia" w:eastAsiaTheme="majorEastAsia"/>
          <w:sz w:val="28"/>
          <w:szCs w:val="28"/>
        </w:rPr>
      </w:pPr>
      <w:r>
        <w:rPr>
          <w:rFonts w:hint="eastAsia" w:ascii="仿宋" w:hAnsi="仿宋" w:eastAsia="仿宋" w:cs="仿宋"/>
          <w:sz w:val="28"/>
          <w:szCs w:val="28"/>
        </w:rPr>
        <w:t>附件：评分办法</w:t>
      </w:r>
    </w:p>
    <w:p>
      <w:pPr>
        <w:jc w:val="center"/>
        <w:rPr>
          <w:rFonts w:cs="仿宋_GB2312" w:asciiTheme="majorEastAsia" w:hAnsiTheme="majorEastAsia" w:eastAsiaTheme="majorEastAsia"/>
          <w:b/>
          <w:kern w:val="0"/>
          <w:sz w:val="32"/>
          <w:szCs w:val="32"/>
        </w:rPr>
      </w:pPr>
    </w:p>
    <w:p>
      <w:pPr>
        <w:jc w:val="center"/>
        <w:rPr>
          <w:rFonts w:cs="仿宋_GB2312" w:asciiTheme="majorEastAsia" w:hAnsiTheme="majorEastAsia" w:eastAsiaTheme="majorEastAsia"/>
          <w:b/>
          <w:kern w:val="0"/>
          <w:sz w:val="32"/>
          <w:szCs w:val="32"/>
        </w:rPr>
      </w:pPr>
    </w:p>
    <w:p>
      <w:pPr>
        <w:jc w:val="center"/>
        <w:rPr>
          <w:rFonts w:cs="仿宋_GB2312" w:asciiTheme="majorEastAsia" w:hAnsiTheme="majorEastAsia" w:eastAsiaTheme="majorEastAsia"/>
          <w:b/>
          <w:kern w:val="0"/>
          <w:sz w:val="32"/>
          <w:szCs w:val="32"/>
        </w:rPr>
      </w:pPr>
    </w:p>
    <w:p>
      <w:pPr>
        <w:jc w:val="center"/>
        <w:rPr>
          <w:rFonts w:cs="仿宋_GB2312" w:asciiTheme="majorEastAsia" w:hAnsiTheme="majorEastAsia" w:eastAsiaTheme="majorEastAsia"/>
          <w:b/>
          <w:kern w:val="0"/>
          <w:sz w:val="32"/>
          <w:szCs w:val="32"/>
        </w:rPr>
      </w:pPr>
    </w:p>
    <w:p>
      <w:pPr>
        <w:jc w:val="center"/>
        <w:rPr>
          <w:rFonts w:cs="仿宋_GB2312" w:asciiTheme="majorEastAsia" w:hAnsiTheme="majorEastAsia" w:eastAsiaTheme="majorEastAsia"/>
          <w:b/>
          <w:kern w:val="0"/>
          <w:sz w:val="32"/>
          <w:szCs w:val="32"/>
        </w:rPr>
      </w:pPr>
    </w:p>
    <w:p>
      <w:pPr>
        <w:jc w:val="center"/>
        <w:rPr>
          <w:rFonts w:cs="仿宋_GB2312" w:asciiTheme="majorEastAsia" w:hAnsiTheme="majorEastAsia" w:eastAsiaTheme="majorEastAsia"/>
          <w:b/>
          <w:kern w:val="0"/>
          <w:sz w:val="32"/>
          <w:szCs w:val="32"/>
        </w:rPr>
      </w:pPr>
    </w:p>
    <w:p>
      <w:pPr>
        <w:jc w:val="center"/>
        <w:rPr>
          <w:rFonts w:cs="仿宋_GB2312" w:asciiTheme="majorEastAsia" w:hAnsiTheme="majorEastAsia" w:eastAsiaTheme="majorEastAsia"/>
          <w:b/>
          <w:kern w:val="0"/>
          <w:sz w:val="32"/>
          <w:szCs w:val="32"/>
        </w:rPr>
      </w:pPr>
    </w:p>
    <w:p>
      <w:pPr>
        <w:jc w:val="center"/>
        <w:rPr>
          <w:rFonts w:cs="仿宋_GB2312" w:asciiTheme="majorEastAsia" w:hAnsiTheme="majorEastAsia" w:eastAsiaTheme="majorEastAsia"/>
          <w:b/>
          <w:kern w:val="0"/>
          <w:sz w:val="32"/>
          <w:szCs w:val="32"/>
        </w:rPr>
      </w:pPr>
    </w:p>
    <w:p>
      <w:pPr>
        <w:jc w:val="center"/>
        <w:rPr>
          <w:rFonts w:cs="仿宋_GB2312" w:asciiTheme="majorEastAsia" w:hAnsiTheme="majorEastAsia" w:eastAsiaTheme="majorEastAsia"/>
          <w:b/>
          <w:kern w:val="0"/>
          <w:sz w:val="32"/>
          <w:szCs w:val="32"/>
        </w:rPr>
      </w:pPr>
    </w:p>
    <w:p>
      <w:pPr>
        <w:jc w:val="center"/>
        <w:rPr>
          <w:rFonts w:cs="仿宋_GB2312" w:asciiTheme="majorEastAsia" w:hAnsiTheme="majorEastAsia" w:eastAsiaTheme="majorEastAsia"/>
          <w:b/>
          <w:kern w:val="0"/>
          <w:sz w:val="32"/>
          <w:szCs w:val="32"/>
        </w:rPr>
      </w:pPr>
    </w:p>
    <w:p>
      <w:pPr>
        <w:jc w:val="center"/>
        <w:rPr>
          <w:rFonts w:cs="仿宋_GB2312" w:asciiTheme="majorEastAsia" w:hAnsiTheme="majorEastAsia" w:eastAsiaTheme="majorEastAsia"/>
          <w:b/>
          <w:kern w:val="0"/>
          <w:sz w:val="32"/>
          <w:szCs w:val="32"/>
        </w:rPr>
      </w:pPr>
    </w:p>
    <w:p>
      <w:pPr>
        <w:jc w:val="center"/>
        <w:rPr>
          <w:rFonts w:cs="仿宋_GB2312" w:asciiTheme="majorEastAsia" w:hAnsiTheme="majorEastAsia" w:eastAsiaTheme="majorEastAsia"/>
          <w:b/>
          <w:kern w:val="0"/>
          <w:sz w:val="32"/>
          <w:szCs w:val="32"/>
        </w:rPr>
      </w:pPr>
    </w:p>
    <w:p>
      <w:pPr>
        <w:rPr>
          <w:rFonts w:cs="仿宋_GB2312" w:asciiTheme="majorEastAsia" w:hAnsiTheme="majorEastAsia" w:eastAsiaTheme="majorEastAsia"/>
          <w:b/>
          <w:kern w:val="0"/>
          <w:sz w:val="32"/>
          <w:szCs w:val="32"/>
        </w:rPr>
      </w:pPr>
    </w:p>
    <w:p>
      <w:pPr>
        <w:pStyle w:val="12"/>
        <w:rPr>
          <w:rFonts w:asciiTheme="majorEastAsia" w:hAnsiTheme="majorEastAsia" w:eastAsiaTheme="majorEastAsia"/>
        </w:rPr>
      </w:pPr>
    </w:p>
    <w:p>
      <w:pPr>
        <w:jc w:val="center"/>
        <w:rPr>
          <w:rFonts w:cs="仿宋_GB2312" w:asciiTheme="majorEastAsia" w:hAnsiTheme="majorEastAsia" w:eastAsiaTheme="majorEastAsia"/>
          <w:b/>
          <w:kern w:val="0"/>
          <w:sz w:val="32"/>
          <w:szCs w:val="32"/>
        </w:rPr>
        <w:sectPr>
          <w:footerReference r:id="rId6" w:type="default"/>
          <w:pgSz w:w="11906" w:h="16838"/>
          <w:pgMar w:top="1134" w:right="1134" w:bottom="1134" w:left="1701" w:header="851" w:footer="992" w:gutter="0"/>
          <w:pgNumType w:fmt="upperRoman" w:start="1"/>
          <w:cols w:space="720" w:num="1"/>
          <w:docGrid w:type="linesAndChars" w:linePitch="312" w:charSpace="0"/>
        </w:sectPr>
      </w:pPr>
    </w:p>
    <w:p>
      <w:pPr>
        <w:jc w:val="center"/>
        <w:rPr>
          <w:rFonts w:ascii="仿宋" w:hAnsi="仿宋" w:eastAsia="仿宋" w:cs="仿宋"/>
          <w:b/>
          <w:kern w:val="0"/>
          <w:sz w:val="32"/>
          <w:szCs w:val="32"/>
        </w:rPr>
      </w:pPr>
      <w:r>
        <w:rPr>
          <w:rFonts w:hint="eastAsia" w:ascii="仿宋" w:hAnsi="仿宋" w:eastAsia="仿宋" w:cs="仿宋"/>
          <w:b/>
          <w:kern w:val="0"/>
          <w:sz w:val="32"/>
          <w:szCs w:val="32"/>
        </w:rPr>
        <w:t>第一部分 报价邀请函</w:t>
      </w:r>
    </w:p>
    <w:p>
      <w:pPr>
        <w:rPr>
          <w:rFonts w:ascii="仿宋" w:hAnsi="仿宋" w:eastAsia="仿宋" w:cs="仿宋"/>
          <w:kern w:val="0"/>
          <w:sz w:val="32"/>
          <w:szCs w:val="32"/>
        </w:rPr>
      </w:pPr>
    </w:p>
    <w:p>
      <w:pPr>
        <w:rPr>
          <w:rFonts w:ascii="仿宋" w:hAnsi="仿宋" w:eastAsia="仿宋" w:cs="仿宋"/>
          <w:kern w:val="0"/>
          <w:sz w:val="28"/>
          <w:szCs w:val="28"/>
        </w:rPr>
      </w:pPr>
      <w:r>
        <w:rPr>
          <w:rFonts w:hint="eastAsia" w:ascii="仿宋" w:hAnsi="仿宋" w:eastAsia="仿宋" w:cs="仿宋"/>
          <w:kern w:val="0"/>
          <w:sz w:val="28"/>
          <w:szCs w:val="28"/>
        </w:rPr>
        <w:t>各报价单位:</w:t>
      </w:r>
    </w:p>
    <w:p>
      <w:pPr>
        <w:ind w:firstLine="560" w:firstLineChars="200"/>
        <w:rPr>
          <w:rFonts w:ascii="仿宋" w:hAnsi="仿宋" w:eastAsia="仿宋" w:cs="仿宋"/>
          <w:sz w:val="28"/>
          <w:szCs w:val="28"/>
          <w:u w:val="single"/>
        </w:rPr>
      </w:pPr>
      <w:r>
        <w:rPr>
          <w:rFonts w:hint="eastAsia" w:ascii="仿宋" w:hAnsi="仿宋" w:eastAsia="仿宋" w:cs="仿宋"/>
          <w:sz w:val="28"/>
          <w:szCs w:val="28"/>
        </w:rPr>
        <w:t>现我公司对</w:t>
      </w:r>
      <w:r>
        <w:rPr>
          <w:rFonts w:hint="eastAsia" w:ascii="仿宋" w:hAnsi="仿宋" w:eastAsia="仿宋" w:cs="仿宋"/>
          <w:sz w:val="28"/>
          <w:szCs w:val="28"/>
          <w:u w:val="single"/>
        </w:rPr>
        <w:t>污水处理过程精细化控制研究项目仪表采购</w:t>
      </w:r>
      <w:r>
        <w:rPr>
          <w:rFonts w:hint="eastAsia" w:ascii="仿宋" w:hAnsi="仿宋" w:eastAsia="仿宋" w:cs="仿宋"/>
          <w:sz w:val="28"/>
          <w:szCs w:val="28"/>
        </w:rPr>
        <w:t>进行询价，</w:t>
      </w:r>
      <w:r>
        <w:rPr>
          <w:rFonts w:hint="eastAsia" w:ascii="仿宋" w:hAnsi="仿宋" w:eastAsia="仿宋" w:cs="仿宋"/>
          <w:sz w:val="28"/>
          <w:szCs w:val="28"/>
          <w:lang w:val="zh-CN"/>
        </w:rPr>
        <w:t>欢迎符合资格条件</w:t>
      </w:r>
      <w:r>
        <w:rPr>
          <w:rFonts w:hint="eastAsia" w:ascii="仿宋" w:hAnsi="仿宋" w:eastAsia="仿宋" w:cs="仿宋"/>
          <w:sz w:val="28"/>
          <w:szCs w:val="28"/>
        </w:rPr>
        <w:t>的报价单位参加。</w:t>
      </w:r>
    </w:p>
    <w:p>
      <w:pPr>
        <w:autoSpaceDE w:val="0"/>
        <w:autoSpaceDN w:val="0"/>
        <w:ind w:firstLine="560" w:firstLineChars="200"/>
        <w:rPr>
          <w:rFonts w:ascii="仿宋" w:hAnsi="仿宋" w:eastAsia="仿宋" w:cs="仿宋"/>
          <w:sz w:val="28"/>
          <w:szCs w:val="28"/>
          <w:u w:val="single"/>
        </w:rPr>
      </w:pPr>
      <w:r>
        <w:rPr>
          <w:rFonts w:hint="eastAsia" w:ascii="仿宋" w:hAnsi="仿宋" w:eastAsia="仿宋" w:cs="仿宋"/>
          <w:sz w:val="28"/>
          <w:szCs w:val="28"/>
          <w:lang w:val="zh-CN"/>
        </w:rPr>
        <w:t>一、</w:t>
      </w:r>
      <w:r>
        <w:rPr>
          <w:rFonts w:hint="eastAsia" w:ascii="仿宋" w:hAnsi="仿宋" w:eastAsia="仿宋" w:cs="仿宋"/>
          <w:sz w:val="28"/>
          <w:szCs w:val="28"/>
        </w:rPr>
        <w:t>资金计划：科研资金</w:t>
      </w:r>
    </w:p>
    <w:p>
      <w:pPr>
        <w:autoSpaceDE w:val="0"/>
        <w:autoSpaceDN w:val="0"/>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zh-CN"/>
        </w:rPr>
        <w:t>二、</w:t>
      </w:r>
      <w:r>
        <w:rPr>
          <w:rFonts w:hint="eastAsia" w:ascii="仿宋" w:hAnsi="仿宋" w:eastAsia="仿宋" w:cs="仿宋"/>
          <w:sz w:val="28"/>
          <w:szCs w:val="28"/>
        </w:rPr>
        <w:t>项目编号：</w:t>
      </w:r>
      <w:r>
        <w:rPr>
          <w:rFonts w:hint="eastAsia" w:ascii="仿宋" w:hAnsi="仿宋" w:eastAsia="仿宋" w:cs="仿宋"/>
          <w:sz w:val="28"/>
          <w:szCs w:val="28"/>
          <w:lang w:val="en-US" w:eastAsia="zh-CN"/>
        </w:rPr>
        <w:t>XE-20210425-1</w:t>
      </w:r>
    </w:p>
    <w:p>
      <w:pPr>
        <w:numPr>
          <w:ilvl w:val="0"/>
          <w:numId w:val="1"/>
        </w:numPr>
        <w:autoSpaceDE w:val="0"/>
        <w:autoSpaceDN w:val="0"/>
        <w:ind w:firstLine="560"/>
        <w:jc w:val="left"/>
        <w:rPr>
          <w:rFonts w:ascii="仿宋" w:hAnsi="仿宋" w:eastAsia="仿宋" w:cs="仿宋"/>
          <w:sz w:val="28"/>
          <w:szCs w:val="28"/>
        </w:rPr>
      </w:pPr>
      <w:r>
        <w:rPr>
          <w:rFonts w:hint="eastAsia" w:ascii="仿宋" w:hAnsi="仿宋" w:eastAsia="仿宋" w:cs="仿宋"/>
          <w:sz w:val="28"/>
          <w:szCs w:val="28"/>
        </w:rPr>
        <w:t>项目名称：</w:t>
      </w:r>
      <w:r>
        <w:rPr>
          <w:rFonts w:hint="eastAsia" w:ascii="仿宋" w:hAnsi="仿宋" w:eastAsia="仿宋" w:cs="仿宋"/>
          <w:sz w:val="28"/>
          <w:szCs w:val="28"/>
          <w:u w:val="single"/>
        </w:rPr>
        <w:t>广州市净水有限公司污水处理过程精细化控制研究项目仪表采购</w:t>
      </w:r>
    </w:p>
    <w:p>
      <w:pPr>
        <w:numPr>
          <w:ilvl w:val="0"/>
          <w:numId w:val="1"/>
        </w:numPr>
        <w:autoSpaceDE w:val="0"/>
        <w:autoSpaceDN w:val="0"/>
        <w:ind w:firstLine="560"/>
        <w:rPr>
          <w:rFonts w:ascii="仿宋" w:hAnsi="仿宋" w:eastAsia="仿宋" w:cs="仿宋"/>
          <w:sz w:val="28"/>
          <w:szCs w:val="28"/>
        </w:rPr>
      </w:pPr>
      <w:r>
        <w:rPr>
          <w:rFonts w:hint="eastAsia" w:ascii="仿宋" w:hAnsi="仿宋" w:eastAsia="仿宋" w:cs="仿宋"/>
          <w:sz w:val="28"/>
          <w:szCs w:val="28"/>
        </w:rPr>
        <w:t>最高限价：1,984,857.00元（人民币）</w:t>
      </w:r>
    </w:p>
    <w:p>
      <w:pPr>
        <w:numPr>
          <w:ilvl w:val="0"/>
          <w:numId w:val="1"/>
        </w:numPr>
        <w:autoSpaceDE w:val="0"/>
        <w:autoSpaceDN w:val="0"/>
        <w:ind w:firstLine="560" w:firstLineChars="200"/>
        <w:rPr>
          <w:rFonts w:ascii="仿宋" w:hAnsi="仿宋" w:eastAsia="仿宋" w:cs="仿宋"/>
          <w:sz w:val="28"/>
          <w:szCs w:val="28"/>
        </w:rPr>
      </w:pPr>
      <w:r>
        <w:rPr>
          <w:rFonts w:hint="eastAsia" w:ascii="仿宋" w:hAnsi="仿宋" w:eastAsia="仿宋" w:cs="仿宋"/>
          <w:sz w:val="28"/>
          <w:szCs w:val="28"/>
        </w:rPr>
        <w:t>项目内容及需求：</w:t>
      </w:r>
    </w:p>
    <w:p>
      <w:pPr>
        <w:ind w:firstLine="588" w:firstLineChars="210"/>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rPr>
        <w:t xml:space="preserve"> </w:t>
      </w:r>
      <w:r>
        <w:rPr>
          <w:rFonts w:hint="eastAsia" w:ascii="仿宋" w:hAnsi="仿宋" w:eastAsia="仿宋" w:cs="仿宋"/>
          <w:sz w:val="28"/>
          <w:szCs w:val="28"/>
        </w:rPr>
        <w:t>新增氨氮在线分析仪、硝酸盐氮分析仪、磷酸盐分析仪、预处理系统等，在生化处理过程段实现在线监测系统配置及数据可视化，用于沥滘净水厂、京溪净水厂进行污水处理精细化控制研究，并要求提供标准数据接口，将仪表数据共享至公司平台。具体清单如下：</w:t>
      </w:r>
    </w:p>
    <w:tbl>
      <w:tblPr>
        <w:tblStyle w:val="27"/>
        <w:tblW w:w="9354" w:type="dxa"/>
        <w:tblInd w:w="0" w:type="dxa"/>
        <w:tblLayout w:type="autofit"/>
        <w:tblCellMar>
          <w:top w:w="0" w:type="dxa"/>
          <w:left w:w="108" w:type="dxa"/>
          <w:bottom w:w="0" w:type="dxa"/>
          <w:right w:w="108" w:type="dxa"/>
        </w:tblCellMar>
      </w:tblPr>
      <w:tblGrid>
        <w:gridCol w:w="2494"/>
        <w:gridCol w:w="794"/>
        <w:gridCol w:w="794"/>
        <w:gridCol w:w="5272"/>
      </w:tblGrid>
      <w:tr>
        <w:tblPrEx>
          <w:tblCellMar>
            <w:top w:w="0" w:type="dxa"/>
            <w:left w:w="108" w:type="dxa"/>
            <w:bottom w:w="0" w:type="dxa"/>
            <w:right w:w="108" w:type="dxa"/>
          </w:tblCellMar>
        </w:tblPrEx>
        <w:trPr>
          <w:trHeight w:val="390" w:hRule="atLeast"/>
        </w:trPr>
        <w:tc>
          <w:tcPr>
            <w:tcW w:w="249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新增配置名称</w:t>
            </w:r>
          </w:p>
        </w:tc>
        <w:tc>
          <w:tcPr>
            <w:tcW w:w="79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单位</w:t>
            </w:r>
          </w:p>
        </w:tc>
        <w:tc>
          <w:tcPr>
            <w:tcW w:w="79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数量</w:t>
            </w:r>
          </w:p>
        </w:tc>
        <w:tc>
          <w:tcPr>
            <w:tcW w:w="5272" w:type="dxa"/>
            <w:tcBorders>
              <w:top w:val="single" w:color="auto" w:sz="8" w:space="0"/>
              <w:left w:val="nil"/>
              <w:bottom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备注</w:t>
            </w:r>
          </w:p>
        </w:tc>
      </w:tr>
      <w:tr>
        <w:tblPrEx>
          <w:tblCellMar>
            <w:top w:w="0" w:type="dxa"/>
            <w:left w:w="108" w:type="dxa"/>
            <w:bottom w:w="0" w:type="dxa"/>
            <w:right w:w="108" w:type="dxa"/>
          </w:tblCellMar>
        </w:tblPrEx>
        <w:trPr>
          <w:trHeight w:val="390" w:hRule="atLeast"/>
        </w:trPr>
        <w:tc>
          <w:tcPr>
            <w:tcW w:w="24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氨氮在线分析仪</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台</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7</w:t>
            </w:r>
          </w:p>
        </w:tc>
        <w:tc>
          <w:tcPr>
            <w:tcW w:w="5272" w:type="dxa"/>
            <w:tcBorders>
              <w:top w:val="nil"/>
              <w:left w:val="nil"/>
              <w:bottom w:val="single" w:color="auto" w:sz="8" w:space="0"/>
            </w:tcBorders>
            <w:shd w:val="clear" w:color="auto" w:fill="auto"/>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水杨酸分光光度法/纳氏试剂比色法</w:t>
            </w:r>
          </w:p>
        </w:tc>
      </w:tr>
      <w:tr>
        <w:tblPrEx>
          <w:tblCellMar>
            <w:top w:w="0" w:type="dxa"/>
            <w:left w:w="108" w:type="dxa"/>
            <w:bottom w:w="0" w:type="dxa"/>
            <w:right w:w="108" w:type="dxa"/>
          </w:tblCellMar>
        </w:tblPrEx>
        <w:trPr>
          <w:trHeight w:val="390" w:hRule="atLeast"/>
        </w:trPr>
        <w:tc>
          <w:tcPr>
            <w:tcW w:w="24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硝酸盐氮分析仪</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台</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7</w:t>
            </w:r>
          </w:p>
        </w:tc>
        <w:tc>
          <w:tcPr>
            <w:tcW w:w="5272" w:type="dxa"/>
            <w:tcBorders>
              <w:top w:val="nil"/>
              <w:left w:val="nil"/>
              <w:bottom w:val="single" w:color="auto" w:sz="8" w:space="0"/>
            </w:tcBorders>
            <w:shd w:val="clear" w:color="auto" w:fill="auto"/>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紫外分光光度法</w:t>
            </w:r>
          </w:p>
        </w:tc>
      </w:tr>
      <w:tr>
        <w:tblPrEx>
          <w:tblCellMar>
            <w:top w:w="0" w:type="dxa"/>
            <w:left w:w="108" w:type="dxa"/>
            <w:bottom w:w="0" w:type="dxa"/>
            <w:right w:w="108" w:type="dxa"/>
          </w:tblCellMar>
        </w:tblPrEx>
        <w:trPr>
          <w:trHeight w:val="390" w:hRule="atLeast"/>
        </w:trPr>
        <w:tc>
          <w:tcPr>
            <w:tcW w:w="24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磷酸盐分析仪</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台</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7</w:t>
            </w:r>
          </w:p>
        </w:tc>
        <w:tc>
          <w:tcPr>
            <w:tcW w:w="5272" w:type="dxa"/>
            <w:tcBorders>
              <w:top w:val="nil"/>
              <w:left w:val="nil"/>
              <w:bottom w:val="single" w:color="auto" w:sz="8" w:space="0"/>
            </w:tcBorders>
            <w:shd w:val="clear" w:color="auto" w:fill="auto"/>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钼酸铵分光光度法</w:t>
            </w:r>
          </w:p>
        </w:tc>
      </w:tr>
      <w:tr>
        <w:tblPrEx>
          <w:tblCellMar>
            <w:top w:w="0" w:type="dxa"/>
            <w:left w:w="108" w:type="dxa"/>
            <w:bottom w:w="0" w:type="dxa"/>
            <w:right w:w="108" w:type="dxa"/>
          </w:tblCellMar>
        </w:tblPrEx>
        <w:trPr>
          <w:trHeight w:val="390" w:hRule="atLeast"/>
        </w:trPr>
        <w:tc>
          <w:tcPr>
            <w:tcW w:w="24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采水单元</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套</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28</w:t>
            </w:r>
          </w:p>
        </w:tc>
        <w:tc>
          <w:tcPr>
            <w:tcW w:w="5272" w:type="dxa"/>
            <w:tcBorders>
              <w:top w:val="nil"/>
              <w:left w:val="nil"/>
              <w:bottom w:val="single" w:color="auto" w:sz="8" w:space="0"/>
            </w:tcBorders>
            <w:shd w:val="clear" w:color="auto" w:fill="auto"/>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浮动取样，双管双泵等</w:t>
            </w:r>
          </w:p>
        </w:tc>
      </w:tr>
      <w:tr>
        <w:tblPrEx>
          <w:tblCellMar>
            <w:top w:w="0" w:type="dxa"/>
            <w:left w:w="108" w:type="dxa"/>
            <w:bottom w:w="0" w:type="dxa"/>
            <w:right w:w="108" w:type="dxa"/>
          </w:tblCellMar>
        </w:tblPrEx>
        <w:trPr>
          <w:trHeight w:val="765" w:hRule="atLeast"/>
        </w:trPr>
        <w:tc>
          <w:tcPr>
            <w:tcW w:w="24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预处理及配水单元</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套</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7</w:t>
            </w:r>
          </w:p>
        </w:tc>
        <w:tc>
          <w:tcPr>
            <w:tcW w:w="5272" w:type="dxa"/>
            <w:tcBorders>
              <w:top w:val="nil"/>
              <w:left w:val="nil"/>
              <w:bottom w:val="single" w:color="auto" w:sz="8" w:space="0"/>
            </w:tcBorders>
            <w:shd w:val="clear" w:color="auto" w:fill="auto"/>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对水样进行预处理、为仪表提供样水（含超声波均化及清洗装置、气洗装置、沉砂静置装置、样水杯、管路、水阀等）</w:t>
            </w:r>
          </w:p>
        </w:tc>
      </w:tr>
      <w:tr>
        <w:tblPrEx>
          <w:tblCellMar>
            <w:top w:w="0" w:type="dxa"/>
            <w:left w:w="108" w:type="dxa"/>
            <w:bottom w:w="0" w:type="dxa"/>
            <w:right w:w="108" w:type="dxa"/>
          </w:tblCellMar>
        </w:tblPrEx>
        <w:trPr>
          <w:trHeight w:val="765" w:hRule="atLeast"/>
        </w:trPr>
        <w:tc>
          <w:tcPr>
            <w:tcW w:w="24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数据采集与传输、系统控制单元</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套</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7</w:t>
            </w:r>
          </w:p>
        </w:tc>
        <w:tc>
          <w:tcPr>
            <w:tcW w:w="5272" w:type="dxa"/>
            <w:tcBorders>
              <w:top w:val="nil"/>
              <w:left w:val="nil"/>
              <w:bottom w:val="single" w:color="auto" w:sz="8" w:space="0"/>
            </w:tcBorders>
            <w:shd w:val="clear" w:color="auto" w:fill="auto"/>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数据采集、传输和系统采配水控制等</w:t>
            </w:r>
          </w:p>
        </w:tc>
      </w:tr>
      <w:tr>
        <w:tblPrEx>
          <w:tblCellMar>
            <w:top w:w="0" w:type="dxa"/>
            <w:left w:w="108" w:type="dxa"/>
            <w:bottom w:w="0" w:type="dxa"/>
            <w:right w:w="108" w:type="dxa"/>
          </w:tblCellMar>
        </w:tblPrEx>
        <w:trPr>
          <w:trHeight w:val="390" w:hRule="atLeast"/>
        </w:trPr>
        <w:tc>
          <w:tcPr>
            <w:tcW w:w="24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一体化柜</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台</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7</w:t>
            </w:r>
          </w:p>
        </w:tc>
        <w:tc>
          <w:tcPr>
            <w:tcW w:w="5272" w:type="dxa"/>
            <w:tcBorders>
              <w:top w:val="nil"/>
              <w:left w:val="nil"/>
              <w:bottom w:val="single" w:color="auto" w:sz="8" w:space="0"/>
            </w:tcBorders>
            <w:shd w:val="clear" w:color="auto" w:fill="auto"/>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占地不大于2平方</w:t>
            </w:r>
          </w:p>
        </w:tc>
      </w:tr>
    </w:tbl>
    <w:p>
      <w:pPr>
        <w:ind w:firstLine="588" w:firstLineChars="210"/>
        <w:rPr>
          <w:rFonts w:ascii="仿宋" w:hAnsi="仿宋" w:eastAsia="仿宋" w:cs="仿宋"/>
          <w:sz w:val="28"/>
          <w:szCs w:val="28"/>
        </w:rPr>
      </w:pPr>
      <w:r>
        <w:rPr>
          <w:rFonts w:hint="eastAsia" w:ascii="仿宋" w:hAnsi="仿宋" w:eastAsia="仿宋" w:cs="仿宋"/>
          <w:sz w:val="28"/>
          <w:szCs w:val="28"/>
        </w:rPr>
        <w:t>2.报价人所提供的数据采集传输仪，须与已有监测仪器能匹配使用，并提供原厂商质量保证承诺书和售后服务承诺书及设备易损件的明细、价格、供应渠道和售后服务年限。</w:t>
      </w:r>
    </w:p>
    <w:p>
      <w:pPr>
        <w:ind w:firstLine="588" w:firstLineChars="210"/>
        <w:rPr>
          <w:rFonts w:ascii="仿宋" w:hAnsi="仿宋" w:eastAsia="仿宋" w:cs="仿宋"/>
          <w:sz w:val="28"/>
          <w:szCs w:val="28"/>
        </w:rPr>
      </w:pPr>
      <w:r>
        <w:rPr>
          <w:rFonts w:hint="eastAsia" w:ascii="仿宋" w:hAnsi="仿宋" w:eastAsia="仿宋" w:cs="仿宋"/>
          <w:sz w:val="28"/>
          <w:szCs w:val="28"/>
        </w:rPr>
        <w:t>3.报价人需提供数据采集、处理、分析系统，根据HJ212-2017传输标准，收集监测数值，并进行处理及分析，同时应提供标准数据接口，将仪表数据共享至广州市净水有限公司平台。</w:t>
      </w:r>
    </w:p>
    <w:p>
      <w:pPr>
        <w:pStyle w:val="2"/>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w:t>
      </w:r>
      <w:r>
        <w:rPr>
          <w:rFonts w:ascii="仿宋" w:hAnsi="仿宋" w:eastAsia="仿宋" w:cs="仿宋"/>
          <w:color w:val="auto"/>
          <w:sz w:val="28"/>
          <w:szCs w:val="28"/>
        </w:rPr>
        <w:t>4</w:t>
      </w:r>
      <w:r>
        <w:rPr>
          <w:rFonts w:hint="eastAsia" w:ascii="仿宋" w:hAnsi="仿宋" w:eastAsia="仿宋" w:cs="仿宋"/>
          <w:color w:val="auto"/>
          <w:sz w:val="28"/>
          <w:szCs w:val="28"/>
        </w:rPr>
        <w:t>.中选人需按照询价人的要求就预处理等系统在使用期间免费进行联合开发、调整，成果共享，为方便调试、调整，中选人须根据询价人要求长期派驻驻厂工程师至少一名。</w:t>
      </w:r>
    </w:p>
    <w:p>
      <w:pPr>
        <w:ind w:firstLine="588" w:firstLineChars="21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．中选人需与甲方签订保密协议，对项目实施过程中获取的广州市净水有限公司及所属净水厂所有运行数据、参数、经营信息保密。</w:t>
      </w:r>
    </w:p>
    <w:p>
      <w:pPr>
        <w:ind w:firstLine="560" w:firstLineChars="200"/>
        <w:rPr>
          <w:rFonts w:ascii="仿宋" w:hAnsi="仿宋" w:eastAsia="仿宋" w:cs="仿宋"/>
          <w:sz w:val="28"/>
          <w:szCs w:val="28"/>
        </w:rPr>
      </w:pPr>
      <w:r>
        <w:rPr>
          <w:rFonts w:hint="eastAsia" w:ascii="仿宋" w:hAnsi="仿宋" w:eastAsia="仿宋" w:cs="仿宋"/>
          <w:sz w:val="28"/>
          <w:szCs w:val="28"/>
          <w:lang w:val="zh-CN"/>
        </w:rPr>
        <w:t>六</w:t>
      </w:r>
      <w:r>
        <w:rPr>
          <w:rFonts w:hint="eastAsia" w:ascii="仿宋" w:hAnsi="仿宋" w:eastAsia="仿宋" w:cs="仿宋"/>
          <w:sz w:val="28"/>
          <w:szCs w:val="28"/>
        </w:rPr>
        <w:t>、报价单位资格要求：</w:t>
      </w:r>
    </w:p>
    <w:p>
      <w:pPr>
        <w:autoSpaceDE w:val="0"/>
        <w:autoSpaceDN w:val="0"/>
        <w:ind w:firstLine="560" w:firstLineChars="200"/>
        <w:rPr>
          <w:rFonts w:ascii="仿宋" w:hAnsi="仿宋" w:eastAsia="仿宋" w:cs="仿宋"/>
          <w:sz w:val="28"/>
          <w:szCs w:val="28"/>
          <w:u w:val="single"/>
        </w:rPr>
      </w:pPr>
      <w:r>
        <w:rPr>
          <w:rFonts w:hint="eastAsia" w:ascii="仿宋" w:hAnsi="仿宋" w:eastAsia="仿宋" w:cs="仿宋"/>
          <w:sz w:val="28"/>
          <w:szCs w:val="28"/>
          <w:u w:val="single"/>
        </w:rPr>
        <w:t>1.具有独立承担民事责任能力的中华人民共和国境内注册的法人且能开具增值税发票。</w:t>
      </w:r>
    </w:p>
    <w:p>
      <w:pPr>
        <w:autoSpaceDE w:val="0"/>
        <w:autoSpaceDN w:val="0"/>
        <w:ind w:firstLine="560" w:firstLineChars="200"/>
        <w:rPr>
          <w:rFonts w:ascii="仿宋" w:hAnsi="仿宋" w:eastAsia="仿宋" w:cs="仿宋"/>
          <w:sz w:val="28"/>
          <w:szCs w:val="28"/>
        </w:rPr>
      </w:pPr>
      <w:r>
        <w:rPr>
          <w:rFonts w:hint="eastAsia" w:ascii="仿宋" w:hAnsi="仿宋" w:eastAsia="仿宋" w:cs="仿宋"/>
          <w:sz w:val="28"/>
          <w:szCs w:val="28"/>
          <w:u w:val="single"/>
        </w:rPr>
        <w:t>2．</w:t>
      </w:r>
      <w:bookmarkStart w:id="0" w:name="OLE_LINK2"/>
      <w:bookmarkStart w:id="1" w:name="OLE_LINK1"/>
      <w:r>
        <w:rPr>
          <w:rFonts w:hint="eastAsia" w:ascii="仿宋" w:hAnsi="仿宋" w:eastAsia="仿宋" w:cs="仿宋"/>
          <w:sz w:val="28"/>
          <w:szCs w:val="28"/>
          <w:u w:val="single"/>
        </w:rPr>
        <w:t>2018年1月1日至今，最少具有一项合同金额不少于人民币100万元在线仪器仪表的销售和安装业绩（须提供合同复印件，包括但不限于项目名称、金额及实施内容、合同双方签字盖章、签订日期，并加盖单位公章）。</w:t>
      </w:r>
    </w:p>
    <w:bookmarkEnd w:id="0"/>
    <w:bookmarkEnd w:id="1"/>
    <w:p>
      <w:pPr>
        <w:autoSpaceDE w:val="0"/>
        <w:autoSpaceDN w:val="0"/>
        <w:ind w:firstLine="560" w:firstLineChars="200"/>
        <w:rPr>
          <w:rFonts w:ascii="仿宋" w:hAnsi="仿宋" w:eastAsia="仿宋" w:cs="仿宋"/>
          <w:sz w:val="28"/>
          <w:szCs w:val="28"/>
        </w:rPr>
      </w:pPr>
      <w:r>
        <w:rPr>
          <w:rFonts w:hint="eastAsia" w:ascii="仿宋" w:hAnsi="仿宋" w:eastAsia="仿宋" w:cs="仿宋"/>
          <w:sz w:val="28"/>
          <w:szCs w:val="28"/>
        </w:rPr>
        <w:t>3.</w:t>
      </w:r>
      <w:r>
        <w:rPr>
          <w:rFonts w:hint="eastAsia" w:ascii="仿宋_GB2312" w:hAnsi="仿宋" w:eastAsia="仿宋_GB2312" w:cs="仿宋_GB2312"/>
          <w:sz w:val="28"/>
          <w:szCs w:val="28"/>
          <w:u w:val="single"/>
          <w:lang w:val="zh-CN"/>
        </w:rPr>
        <w:t>报价单位须为</w:t>
      </w:r>
      <w:r>
        <w:rPr>
          <w:rFonts w:hint="eastAsia" w:ascii="仿宋_GB2312" w:hAnsi="仿宋" w:eastAsia="仿宋_GB2312" w:cs="仿宋_GB2312"/>
          <w:sz w:val="28"/>
          <w:szCs w:val="28"/>
          <w:u w:val="single"/>
        </w:rPr>
        <w:t>询价设备</w:t>
      </w:r>
      <w:r>
        <w:rPr>
          <w:rFonts w:hint="eastAsia" w:ascii="仿宋_GB2312" w:hAnsi="仿宋" w:eastAsia="仿宋_GB2312" w:cs="仿宋_GB2312"/>
          <w:sz w:val="28"/>
          <w:szCs w:val="28"/>
          <w:u w:val="single"/>
          <w:lang w:val="zh-CN"/>
        </w:rPr>
        <w:t>的制造商（需提供制造商说明文件原件或证明文件复印件，</w:t>
      </w:r>
      <w:r>
        <w:rPr>
          <w:rFonts w:hint="eastAsia" w:ascii="仿宋" w:hAnsi="仿宋" w:eastAsia="仿宋" w:cs="仿宋"/>
          <w:sz w:val="28"/>
          <w:szCs w:val="28"/>
          <w:u w:val="single"/>
        </w:rPr>
        <w:t>并加盖单位公章</w:t>
      </w:r>
      <w:r>
        <w:rPr>
          <w:rFonts w:hint="eastAsia" w:ascii="仿宋_GB2312" w:hAnsi="仿宋" w:eastAsia="仿宋_GB2312" w:cs="仿宋_GB2312"/>
          <w:sz w:val="28"/>
          <w:szCs w:val="28"/>
          <w:u w:val="single"/>
          <w:lang w:val="zh-CN"/>
        </w:rPr>
        <w:t>）。</w:t>
      </w:r>
    </w:p>
    <w:p>
      <w:pPr>
        <w:autoSpaceDE w:val="0"/>
        <w:autoSpaceDN w:val="0"/>
        <w:ind w:firstLine="560" w:firstLineChars="200"/>
        <w:rPr>
          <w:rFonts w:ascii="仿宋" w:hAnsi="仿宋" w:eastAsia="仿宋" w:cs="仿宋"/>
        </w:rPr>
      </w:pPr>
      <w:r>
        <w:rPr>
          <w:rFonts w:hint="eastAsia" w:ascii="仿宋" w:hAnsi="仿宋" w:eastAsia="仿宋" w:cs="仿宋"/>
          <w:sz w:val="28"/>
          <w:szCs w:val="28"/>
          <w:u w:val="single"/>
        </w:rPr>
        <w:t>4.本项目不接受联合体报价。</w:t>
      </w:r>
    </w:p>
    <w:p>
      <w:pPr>
        <w:ind w:firstLine="588" w:firstLineChars="210"/>
        <w:rPr>
          <w:rFonts w:ascii="仿宋" w:hAnsi="仿宋" w:eastAsia="仿宋" w:cs="仿宋"/>
          <w:sz w:val="28"/>
          <w:szCs w:val="28"/>
        </w:rPr>
      </w:pPr>
      <w:r>
        <w:rPr>
          <w:rFonts w:hint="eastAsia" w:ascii="仿宋" w:hAnsi="仿宋" w:eastAsia="仿宋" w:cs="仿宋"/>
          <w:sz w:val="28"/>
          <w:szCs w:val="28"/>
        </w:rPr>
        <w:t>七</w:t>
      </w:r>
      <w:r>
        <w:rPr>
          <w:rFonts w:hint="eastAsia" w:ascii="仿宋" w:hAnsi="仿宋" w:eastAsia="仿宋" w:cs="仿宋"/>
          <w:sz w:val="28"/>
          <w:szCs w:val="28"/>
          <w:lang w:val="zh-CN"/>
        </w:rPr>
        <w:t>、</w:t>
      </w:r>
      <w:r>
        <w:rPr>
          <w:rFonts w:hint="eastAsia" w:ascii="仿宋" w:hAnsi="仿宋" w:eastAsia="仿宋" w:cs="仿宋"/>
          <w:sz w:val="28"/>
          <w:szCs w:val="28"/>
        </w:rPr>
        <w:t>现场踏勘</w:t>
      </w:r>
      <w:r>
        <w:rPr>
          <w:rFonts w:ascii="仿宋" w:hAnsi="仿宋" w:eastAsia="仿宋" w:cs="仿宋"/>
          <w:sz w:val="28"/>
          <w:szCs w:val="28"/>
        </w:rPr>
        <w:t>(答疑会)时间、地点</w:t>
      </w:r>
      <w:r>
        <w:rPr>
          <w:rFonts w:hint="eastAsia" w:ascii="仿宋" w:hAnsi="仿宋" w:eastAsia="仿宋" w:cs="仿宋"/>
          <w:sz w:val="28"/>
          <w:szCs w:val="28"/>
        </w:rPr>
        <w:t>：</w:t>
      </w:r>
    </w:p>
    <w:p>
      <w:pPr>
        <w:ind w:firstLine="588" w:firstLineChars="210"/>
        <w:rPr>
          <w:rFonts w:ascii="仿宋" w:hAnsi="仿宋" w:eastAsia="仿宋" w:cs="仿宋"/>
          <w:sz w:val="28"/>
          <w:szCs w:val="28"/>
        </w:rPr>
      </w:pPr>
      <w:r>
        <w:rPr>
          <w:rFonts w:hint="eastAsia" w:ascii="仿宋" w:hAnsi="仿宋" w:eastAsia="仿宋" w:cs="仿宋"/>
          <w:sz w:val="28"/>
          <w:szCs w:val="28"/>
        </w:rPr>
        <w:t>为保证拟采购的设备能满足现场安装要求，以上拟采购设备项目需在提交报价文件前进行现场踏勘，未进行现场踏勘而报价的，一律视为无效报价，提交报价文件时需附上现场踏勘委派书（需求单位及报价单位均需盖章）复印件。由本项目承办单位在现场踏勘回执（见附件现场踏勘委派书）盖章确认。</w:t>
      </w:r>
    </w:p>
    <w:p>
      <w:pPr>
        <w:ind w:firstLine="588" w:firstLineChars="21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现场踏勘</w:t>
      </w:r>
      <w:r>
        <w:rPr>
          <w:rFonts w:ascii="仿宋" w:hAnsi="仿宋" w:eastAsia="仿宋" w:cs="仿宋"/>
          <w:sz w:val="28"/>
          <w:szCs w:val="28"/>
        </w:rPr>
        <w:t>(答疑会)集合时间：</w:t>
      </w:r>
      <w:r>
        <w:rPr>
          <w:rFonts w:ascii="仿宋" w:hAnsi="仿宋" w:eastAsia="仿宋" w:cs="仿宋"/>
          <w:sz w:val="28"/>
          <w:szCs w:val="28"/>
          <w:u w:val="single"/>
        </w:rPr>
        <w:t>2021</w:t>
      </w:r>
      <w:r>
        <w:rPr>
          <w:rFonts w:hint="eastAsia" w:ascii="仿宋" w:hAnsi="仿宋" w:eastAsia="仿宋" w:cs="仿宋"/>
          <w:sz w:val="28"/>
          <w:szCs w:val="28"/>
          <w:u w:val="single"/>
        </w:rPr>
        <w:t>年</w:t>
      </w:r>
      <w:r>
        <w:rPr>
          <w:rFonts w:ascii="仿宋" w:hAnsi="仿宋" w:eastAsia="仿宋" w:cs="仿宋"/>
          <w:sz w:val="28"/>
          <w:szCs w:val="28"/>
          <w:u w:val="single"/>
        </w:rPr>
        <w:t>4</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27</w:t>
      </w:r>
      <w:r>
        <w:rPr>
          <w:rFonts w:hint="eastAsia" w:ascii="仿宋" w:hAnsi="仿宋" w:eastAsia="仿宋" w:cs="仿宋"/>
          <w:sz w:val="28"/>
          <w:szCs w:val="28"/>
          <w:u w:val="single"/>
        </w:rPr>
        <w:t>日</w:t>
      </w:r>
      <w:r>
        <w:rPr>
          <w:rFonts w:hint="eastAsia" w:ascii="仿宋" w:hAnsi="仿宋" w:eastAsia="仿宋" w:cs="仿宋"/>
          <w:sz w:val="28"/>
          <w:szCs w:val="28"/>
          <w:u w:val="single"/>
          <w:lang w:val="en-US" w:eastAsia="zh-CN"/>
        </w:rPr>
        <w:t>14</w:t>
      </w:r>
      <w:r>
        <w:rPr>
          <w:rFonts w:ascii="仿宋" w:hAnsi="仿宋" w:eastAsia="仿宋" w:cs="仿宋"/>
          <w:sz w:val="28"/>
          <w:szCs w:val="28"/>
          <w:u w:val="single"/>
        </w:rPr>
        <w:t>时30分</w:t>
      </w:r>
      <w:r>
        <w:rPr>
          <w:rFonts w:hint="eastAsia" w:ascii="仿宋" w:hAnsi="仿宋" w:eastAsia="仿宋" w:cs="仿宋"/>
          <w:sz w:val="28"/>
          <w:szCs w:val="28"/>
          <w:u w:val="single"/>
        </w:rPr>
        <w:t>至1</w:t>
      </w:r>
      <w:r>
        <w:rPr>
          <w:rFonts w:ascii="仿宋" w:hAnsi="仿宋" w:eastAsia="仿宋" w:cs="仿宋"/>
          <w:sz w:val="28"/>
          <w:szCs w:val="28"/>
          <w:u w:val="single"/>
        </w:rPr>
        <w:t>5</w:t>
      </w:r>
      <w:r>
        <w:rPr>
          <w:rFonts w:hint="eastAsia" w:ascii="仿宋" w:hAnsi="仿宋" w:eastAsia="仿宋" w:cs="仿宋"/>
          <w:sz w:val="28"/>
          <w:szCs w:val="28"/>
          <w:u w:val="single"/>
        </w:rPr>
        <w:t>时0</w:t>
      </w:r>
      <w:r>
        <w:rPr>
          <w:rFonts w:hint="eastAsia" w:ascii="仿宋" w:hAnsi="仿宋" w:eastAsia="仿宋" w:cs="仿宋"/>
          <w:sz w:val="28"/>
          <w:szCs w:val="28"/>
          <w:u w:val="single"/>
          <w:lang w:val="en-US" w:eastAsia="zh-CN"/>
        </w:rPr>
        <w:t>0</w:t>
      </w:r>
      <w:r>
        <w:rPr>
          <w:rFonts w:hint="eastAsia" w:ascii="仿宋" w:hAnsi="仿宋" w:eastAsia="仿宋" w:cs="仿宋"/>
          <w:sz w:val="28"/>
          <w:szCs w:val="28"/>
          <w:u w:val="single"/>
        </w:rPr>
        <w:t>分整，逾时不再接待。</w:t>
      </w:r>
    </w:p>
    <w:p>
      <w:pPr>
        <w:ind w:firstLine="588" w:firstLineChars="21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现场踏勘</w:t>
      </w:r>
      <w:r>
        <w:rPr>
          <w:rFonts w:ascii="仿宋" w:hAnsi="仿宋" w:eastAsia="仿宋" w:cs="仿宋"/>
          <w:sz w:val="28"/>
          <w:szCs w:val="28"/>
        </w:rPr>
        <w:t>(答疑会)集合地点：</w:t>
      </w:r>
      <w:r>
        <w:rPr>
          <w:rFonts w:ascii="仿宋" w:hAnsi="仿宋" w:eastAsia="仿宋" w:cs="仿宋"/>
          <w:sz w:val="28"/>
          <w:szCs w:val="28"/>
          <w:u w:val="single"/>
        </w:rPr>
        <w:t>广州市净水有限公司</w:t>
      </w:r>
      <w:r>
        <w:rPr>
          <w:rFonts w:hint="eastAsia" w:ascii="仿宋" w:hAnsi="仿宋" w:eastAsia="仿宋" w:cs="仿宋"/>
          <w:sz w:val="28"/>
          <w:szCs w:val="28"/>
          <w:u w:val="single"/>
        </w:rPr>
        <w:t>沥滘分公司（广州市海珠区南洲路1375号）</w:t>
      </w:r>
      <w:r>
        <w:rPr>
          <w:rFonts w:ascii="仿宋" w:hAnsi="仿宋" w:eastAsia="仿宋" w:cs="仿宋"/>
          <w:sz w:val="28"/>
          <w:szCs w:val="28"/>
        </w:rPr>
        <w:t>。</w:t>
      </w:r>
    </w:p>
    <w:p>
      <w:pPr>
        <w:ind w:firstLine="588" w:firstLineChars="21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3）</w:t>
      </w:r>
      <w:r>
        <w:rPr>
          <w:rFonts w:hint="eastAsia" w:ascii="仿宋" w:hAnsi="仿宋" w:eastAsia="仿宋" w:cs="仿宋"/>
          <w:sz w:val="28"/>
          <w:szCs w:val="28"/>
        </w:rPr>
        <w:t>现场踏勘</w:t>
      </w:r>
      <w:r>
        <w:rPr>
          <w:rFonts w:ascii="仿宋" w:hAnsi="仿宋" w:eastAsia="仿宋" w:cs="仿宋"/>
          <w:sz w:val="28"/>
          <w:szCs w:val="28"/>
        </w:rPr>
        <w:t>(答疑会)</w:t>
      </w:r>
      <w:r>
        <w:rPr>
          <w:rFonts w:hint="eastAsia" w:ascii="仿宋" w:hAnsi="仿宋" w:eastAsia="仿宋" w:cs="仿宋"/>
          <w:sz w:val="28"/>
          <w:szCs w:val="28"/>
        </w:rPr>
        <w:t>时间：</w:t>
      </w:r>
      <w:r>
        <w:rPr>
          <w:rFonts w:ascii="仿宋" w:hAnsi="仿宋" w:eastAsia="仿宋" w:cs="仿宋"/>
          <w:sz w:val="28"/>
          <w:szCs w:val="28"/>
          <w:u w:val="single"/>
        </w:rPr>
        <w:t>2021</w:t>
      </w:r>
      <w:r>
        <w:rPr>
          <w:rFonts w:hint="eastAsia" w:ascii="仿宋" w:hAnsi="仿宋" w:eastAsia="仿宋" w:cs="仿宋"/>
          <w:sz w:val="28"/>
          <w:szCs w:val="28"/>
          <w:u w:val="single"/>
        </w:rPr>
        <w:t>年</w:t>
      </w:r>
      <w:r>
        <w:rPr>
          <w:rFonts w:ascii="仿宋" w:hAnsi="仿宋" w:eastAsia="仿宋" w:cs="仿宋"/>
          <w:sz w:val="28"/>
          <w:szCs w:val="28"/>
          <w:u w:val="single"/>
        </w:rPr>
        <w:t>4</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27</w:t>
      </w:r>
      <w:r>
        <w:rPr>
          <w:rFonts w:hint="eastAsia" w:ascii="仿宋" w:hAnsi="仿宋" w:eastAsia="仿宋" w:cs="仿宋"/>
          <w:sz w:val="28"/>
          <w:szCs w:val="28"/>
          <w:u w:val="single"/>
        </w:rPr>
        <w:t>日</w:t>
      </w:r>
      <w:r>
        <w:rPr>
          <w:rFonts w:ascii="仿宋" w:hAnsi="仿宋" w:eastAsia="仿宋" w:cs="仿宋"/>
          <w:sz w:val="28"/>
          <w:szCs w:val="28"/>
          <w:u w:val="single"/>
        </w:rPr>
        <w:t>15时0</w:t>
      </w:r>
      <w:r>
        <w:rPr>
          <w:rFonts w:hint="eastAsia" w:ascii="仿宋" w:hAnsi="仿宋" w:eastAsia="仿宋" w:cs="仿宋"/>
          <w:sz w:val="28"/>
          <w:szCs w:val="28"/>
          <w:u w:val="single"/>
          <w:lang w:val="en-US" w:eastAsia="zh-CN"/>
        </w:rPr>
        <w:t>0</w:t>
      </w:r>
      <w:r>
        <w:rPr>
          <w:rFonts w:ascii="仿宋" w:hAnsi="仿宋" w:eastAsia="仿宋" w:cs="仿宋"/>
          <w:sz w:val="28"/>
          <w:szCs w:val="28"/>
          <w:u w:val="single"/>
        </w:rPr>
        <w:t>分</w:t>
      </w:r>
      <w:r>
        <w:rPr>
          <w:rFonts w:hint="eastAsia" w:ascii="仿宋" w:hAnsi="仿宋" w:eastAsia="仿宋" w:cs="仿宋"/>
          <w:sz w:val="28"/>
          <w:szCs w:val="28"/>
          <w:u w:val="single"/>
        </w:rPr>
        <w:t>至1</w:t>
      </w:r>
      <w:r>
        <w:rPr>
          <w:rFonts w:ascii="仿宋" w:hAnsi="仿宋" w:eastAsia="仿宋" w:cs="仿宋"/>
          <w:sz w:val="28"/>
          <w:szCs w:val="28"/>
          <w:u w:val="single"/>
        </w:rPr>
        <w:t>6</w:t>
      </w:r>
      <w:r>
        <w:rPr>
          <w:rFonts w:hint="eastAsia" w:ascii="仿宋" w:hAnsi="仿宋" w:eastAsia="仿宋" w:cs="仿宋"/>
          <w:sz w:val="28"/>
          <w:szCs w:val="28"/>
          <w:u w:val="single"/>
        </w:rPr>
        <w:t>时</w:t>
      </w:r>
      <w:r>
        <w:rPr>
          <w:rFonts w:hint="eastAsia" w:ascii="仿宋" w:hAnsi="仿宋" w:eastAsia="仿宋" w:cs="仿宋"/>
          <w:sz w:val="28"/>
          <w:szCs w:val="28"/>
          <w:u w:val="single"/>
          <w:lang w:val="en-US" w:eastAsia="zh-CN"/>
        </w:rPr>
        <w:t>0</w:t>
      </w:r>
      <w:r>
        <w:rPr>
          <w:rFonts w:hint="eastAsia" w:ascii="仿宋" w:hAnsi="仿宋" w:eastAsia="仿宋" w:cs="仿宋"/>
          <w:sz w:val="28"/>
          <w:szCs w:val="28"/>
          <w:u w:val="single"/>
        </w:rPr>
        <w:t>0分整，合计1小时</w:t>
      </w:r>
      <w:r>
        <w:rPr>
          <w:rFonts w:hint="eastAsia" w:ascii="仿宋" w:hAnsi="仿宋" w:eastAsia="仿宋" w:cs="仿宋"/>
          <w:sz w:val="28"/>
          <w:szCs w:val="28"/>
        </w:rPr>
        <w:t>。</w:t>
      </w:r>
    </w:p>
    <w:p>
      <w:pPr>
        <w:ind w:firstLine="588" w:firstLineChars="210"/>
      </w:pPr>
      <w:r>
        <w:rPr>
          <w:rFonts w:hint="eastAsia" w:ascii="仿宋" w:hAnsi="仿宋" w:eastAsia="仿宋" w:cs="仿宋"/>
          <w:sz w:val="28"/>
          <w:szCs w:val="28"/>
        </w:rPr>
        <w:t>（</w:t>
      </w:r>
      <w:r>
        <w:rPr>
          <w:rFonts w:ascii="仿宋" w:hAnsi="仿宋" w:eastAsia="仿宋" w:cs="仿宋"/>
          <w:sz w:val="28"/>
          <w:szCs w:val="28"/>
        </w:rPr>
        <w:t>4）</w:t>
      </w:r>
      <w:r>
        <w:rPr>
          <w:rFonts w:hint="eastAsia" w:ascii="仿宋" w:hAnsi="仿宋" w:eastAsia="仿宋" w:cs="仿宋"/>
          <w:sz w:val="28"/>
          <w:szCs w:val="28"/>
        </w:rPr>
        <w:t>取现场踏勘</w:t>
      </w:r>
      <w:r>
        <w:rPr>
          <w:rFonts w:ascii="仿宋" w:hAnsi="仿宋" w:eastAsia="仿宋" w:cs="仿宋"/>
          <w:sz w:val="28"/>
          <w:szCs w:val="28"/>
        </w:rPr>
        <w:t>(答疑会)</w:t>
      </w:r>
      <w:r>
        <w:rPr>
          <w:rFonts w:hint="eastAsia" w:ascii="仿宋" w:hAnsi="仿宋" w:eastAsia="仿宋" w:cs="仿宋"/>
          <w:sz w:val="28"/>
          <w:szCs w:val="28"/>
        </w:rPr>
        <w:t>回执：因办公地点不同，按规定公章无法携带，故须在</w:t>
      </w:r>
      <w:r>
        <w:rPr>
          <w:rFonts w:ascii="仿宋" w:hAnsi="仿宋" w:eastAsia="仿宋" w:cs="仿宋"/>
          <w:sz w:val="28"/>
          <w:szCs w:val="28"/>
          <w:u w:val="single"/>
        </w:rPr>
        <w:t>2021</w:t>
      </w:r>
      <w:r>
        <w:rPr>
          <w:rFonts w:hint="eastAsia" w:ascii="仿宋" w:hAnsi="仿宋" w:eastAsia="仿宋" w:cs="仿宋"/>
          <w:sz w:val="28"/>
          <w:szCs w:val="28"/>
          <w:u w:val="single"/>
        </w:rPr>
        <w:t>年</w:t>
      </w:r>
      <w:r>
        <w:rPr>
          <w:rFonts w:ascii="仿宋" w:hAnsi="仿宋" w:eastAsia="仿宋" w:cs="仿宋"/>
          <w:sz w:val="28"/>
          <w:szCs w:val="28"/>
          <w:u w:val="single"/>
        </w:rPr>
        <w:t>4</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28</w:t>
      </w:r>
      <w:r>
        <w:rPr>
          <w:rFonts w:hint="eastAsia" w:ascii="仿宋" w:hAnsi="仿宋" w:eastAsia="仿宋" w:cs="仿宋"/>
          <w:sz w:val="28"/>
          <w:szCs w:val="28"/>
          <w:u w:val="single"/>
        </w:rPr>
        <w:t>日</w:t>
      </w:r>
      <w:r>
        <w:rPr>
          <w:rFonts w:ascii="仿宋" w:hAnsi="仿宋" w:eastAsia="仿宋" w:cs="仿宋"/>
          <w:sz w:val="28"/>
          <w:szCs w:val="28"/>
          <w:u w:val="single"/>
        </w:rPr>
        <w:t>10时</w:t>
      </w:r>
      <w:r>
        <w:rPr>
          <w:rFonts w:hint="eastAsia" w:ascii="仿宋" w:hAnsi="仿宋" w:eastAsia="仿宋" w:cs="仿宋"/>
          <w:sz w:val="28"/>
          <w:szCs w:val="28"/>
          <w:u w:val="single"/>
        </w:rPr>
        <w:t>3</w:t>
      </w:r>
      <w:r>
        <w:rPr>
          <w:rFonts w:ascii="仿宋" w:hAnsi="仿宋" w:eastAsia="仿宋" w:cs="仿宋"/>
          <w:sz w:val="28"/>
          <w:szCs w:val="28"/>
          <w:u w:val="single"/>
        </w:rPr>
        <w:t>0分</w:t>
      </w:r>
      <w:r>
        <w:rPr>
          <w:rFonts w:hint="eastAsia" w:ascii="仿宋" w:hAnsi="仿宋" w:eastAsia="仿宋" w:cs="仿宋"/>
          <w:sz w:val="28"/>
          <w:szCs w:val="28"/>
          <w:u w:val="single"/>
        </w:rPr>
        <w:t>至1</w:t>
      </w:r>
      <w:r>
        <w:rPr>
          <w:rFonts w:ascii="仿宋" w:hAnsi="仿宋" w:eastAsia="仿宋" w:cs="仿宋"/>
          <w:sz w:val="28"/>
          <w:szCs w:val="28"/>
          <w:u w:val="single"/>
        </w:rPr>
        <w:t>1</w:t>
      </w:r>
      <w:r>
        <w:rPr>
          <w:rFonts w:hint="eastAsia" w:ascii="仿宋" w:hAnsi="仿宋" w:eastAsia="仿宋" w:cs="仿宋"/>
          <w:sz w:val="28"/>
          <w:szCs w:val="28"/>
          <w:u w:val="single"/>
        </w:rPr>
        <w:t>时</w:t>
      </w:r>
      <w:r>
        <w:rPr>
          <w:rFonts w:ascii="仿宋" w:hAnsi="仿宋" w:eastAsia="仿宋" w:cs="仿宋"/>
          <w:sz w:val="28"/>
          <w:szCs w:val="28"/>
          <w:u w:val="single"/>
        </w:rPr>
        <w:t>30</w:t>
      </w:r>
      <w:r>
        <w:rPr>
          <w:rFonts w:hint="eastAsia" w:ascii="仿宋" w:hAnsi="仿宋" w:eastAsia="仿宋" w:cs="仿宋"/>
          <w:sz w:val="28"/>
          <w:szCs w:val="28"/>
          <w:u w:val="single"/>
        </w:rPr>
        <w:t>分整，携带有效证件至广州市净水有限公司技术中心二楼（</w:t>
      </w:r>
      <w:r>
        <w:rPr>
          <w:rFonts w:ascii="仿宋" w:hAnsi="仿宋" w:eastAsia="仿宋" w:cs="仿宋"/>
          <w:sz w:val="28"/>
          <w:szCs w:val="28"/>
          <w:u w:val="single"/>
        </w:rPr>
        <w:t>广州市荔湾区桥中南路10号</w:t>
      </w:r>
      <w:r>
        <w:rPr>
          <w:rFonts w:hint="eastAsia" w:ascii="仿宋" w:hAnsi="仿宋" w:eastAsia="仿宋" w:cs="仿宋"/>
          <w:sz w:val="28"/>
          <w:szCs w:val="28"/>
          <w:u w:val="single"/>
        </w:rPr>
        <w:t>）领取回执。</w:t>
      </w:r>
    </w:p>
    <w:p>
      <w:pPr>
        <w:ind w:firstLine="588" w:firstLineChars="210"/>
        <w:rPr>
          <w:rFonts w:ascii="仿宋" w:hAnsi="仿宋" w:eastAsia="仿宋" w:cs="仿宋"/>
          <w:sz w:val="28"/>
          <w:szCs w:val="28"/>
        </w:rPr>
      </w:pPr>
      <w:r>
        <w:rPr>
          <w:rFonts w:hint="eastAsia" w:ascii="仿宋" w:hAnsi="仿宋" w:eastAsia="仿宋" w:cs="仿宋"/>
          <w:sz w:val="28"/>
          <w:szCs w:val="28"/>
        </w:rPr>
        <w:t>现场踏勘要求：报价单位凭借《现场踏勘书》踏勘现场，完全了解项目地点、环境、内容和要求，其中，中、高风险地区人员需提供健康体检证明（7天有效期内核酸检测报告）。</w:t>
      </w:r>
    </w:p>
    <w:p>
      <w:pPr>
        <w:ind w:firstLine="588" w:firstLineChars="210"/>
        <w:rPr>
          <w:rFonts w:ascii="仿宋" w:hAnsi="仿宋" w:eastAsia="仿宋" w:cs="仿宋"/>
          <w:sz w:val="28"/>
          <w:szCs w:val="28"/>
        </w:rPr>
      </w:pPr>
      <w:r>
        <w:rPr>
          <w:rFonts w:hint="eastAsia" w:ascii="仿宋" w:hAnsi="仿宋" w:eastAsia="仿宋" w:cs="仿宋"/>
          <w:sz w:val="28"/>
          <w:szCs w:val="28"/>
        </w:rPr>
        <w:t>八、询价文件的获取：在2021年</w:t>
      </w:r>
      <w:r>
        <w:rPr>
          <w:rFonts w:hint="eastAsia" w:ascii="仿宋" w:hAnsi="仿宋" w:eastAsia="仿宋" w:cs="仿宋"/>
          <w:sz w:val="28"/>
          <w:szCs w:val="28"/>
          <w:lang w:val="en-US" w:eastAsia="zh-CN"/>
        </w:rPr>
        <w:t>4</w:t>
      </w:r>
      <w:r>
        <w:rPr>
          <w:rFonts w:hint="eastAsia" w:ascii="仿宋" w:hAnsi="仿宋" w:eastAsia="仿宋" w:cs="仿宋"/>
          <w:sz w:val="28"/>
          <w:szCs w:val="28"/>
        </w:rPr>
        <w:t>月</w:t>
      </w:r>
      <w:r>
        <w:rPr>
          <w:rFonts w:hint="eastAsia" w:ascii="仿宋" w:hAnsi="仿宋" w:eastAsia="仿宋" w:cs="仿宋"/>
          <w:sz w:val="28"/>
          <w:szCs w:val="28"/>
          <w:lang w:val="en-US" w:eastAsia="zh-CN"/>
        </w:rPr>
        <w:t>30</w:t>
      </w:r>
      <w:r>
        <w:rPr>
          <w:rFonts w:hint="eastAsia" w:ascii="仿宋" w:hAnsi="仿宋" w:eastAsia="仿宋" w:cs="仿宋"/>
          <w:sz w:val="28"/>
          <w:szCs w:val="28"/>
        </w:rPr>
        <w:t>日</w:t>
      </w:r>
      <w:r>
        <w:rPr>
          <w:rFonts w:hint="eastAsia" w:ascii="仿宋" w:hAnsi="仿宋" w:eastAsia="仿宋" w:cs="仿宋"/>
          <w:sz w:val="28"/>
          <w:szCs w:val="28"/>
          <w:lang w:val="en-US" w:eastAsia="zh-CN"/>
        </w:rPr>
        <w:t>10</w:t>
      </w:r>
      <w:r>
        <w:rPr>
          <w:rFonts w:hint="eastAsia" w:ascii="仿宋" w:hAnsi="仿宋" w:eastAsia="仿宋" w:cs="仿宋"/>
          <w:sz w:val="28"/>
          <w:szCs w:val="28"/>
        </w:rPr>
        <w:t>时</w:t>
      </w:r>
      <w:r>
        <w:rPr>
          <w:rFonts w:hint="eastAsia" w:ascii="仿宋" w:hAnsi="仿宋" w:eastAsia="仿宋" w:cs="仿宋"/>
          <w:sz w:val="28"/>
          <w:szCs w:val="28"/>
          <w:lang w:val="en-US" w:eastAsia="zh-CN"/>
        </w:rPr>
        <w:t>00</w:t>
      </w:r>
      <w:r>
        <w:rPr>
          <w:rFonts w:hint="eastAsia" w:ascii="仿宋" w:hAnsi="仿宋" w:eastAsia="仿宋" w:cs="仿宋"/>
          <w:sz w:val="28"/>
          <w:szCs w:val="28"/>
        </w:rPr>
        <w:t>分前，在广州市净水有限公司门户网站免费下载。</w:t>
      </w:r>
    </w:p>
    <w:p>
      <w:pPr>
        <w:ind w:firstLine="588" w:firstLineChars="210"/>
        <w:rPr>
          <w:rFonts w:ascii="仿宋" w:hAnsi="仿宋" w:eastAsia="仿宋" w:cs="仿宋"/>
          <w:sz w:val="28"/>
          <w:szCs w:val="28"/>
        </w:rPr>
      </w:pPr>
      <w:r>
        <w:rPr>
          <w:rFonts w:hint="eastAsia" w:ascii="仿宋" w:hAnsi="仿宋" w:eastAsia="仿宋" w:cs="仿宋"/>
          <w:sz w:val="28"/>
          <w:szCs w:val="28"/>
        </w:rPr>
        <w:t>九、询价响应文件递交时间：202</w:t>
      </w:r>
      <w:r>
        <w:rPr>
          <w:rFonts w:ascii="仿宋" w:hAnsi="仿宋" w:eastAsia="仿宋" w:cs="仿宋"/>
          <w:sz w:val="28"/>
          <w:szCs w:val="28"/>
        </w:rPr>
        <w:t>1</w:t>
      </w:r>
      <w:r>
        <w:rPr>
          <w:rFonts w:hint="eastAsia" w:ascii="仿宋" w:hAnsi="仿宋" w:eastAsia="仿宋" w:cs="仿宋"/>
          <w:sz w:val="28"/>
          <w:szCs w:val="28"/>
        </w:rPr>
        <w:t>年</w:t>
      </w:r>
      <w:r>
        <w:rPr>
          <w:rFonts w:hint="eastAsia" w:ascii="仿宋" w:hAnsi="仿宋" w:eastAsia="仿宋" w:cs="仿宋"/>
          <w:sz w:val="28"/>
          <w:szCs w:val="28"/>
          <w:lang w:val="en-US" w:eastAsia="zh-CN"/>
        </w:rPr>
        <w:t>4</w:t>
      </w:r>
      <w:r>
        <w:rPr>
          <w:rFonts w:hint="eastAsia" w:ascii="仿宋" w:hAnsi="仿宋" w:eastAsia="仿宋" w:cs="仿宋"/>
          <w:sz w:val="28"/>
          <w:szCs w:val="28"/>
        </w:rPr>
        <w:t>月</w:t>
      </w:r>
      <w:r>
        <w:rPr>
          <w:rFonts w:hint="eastAsia" w:ascii="仿宋" w:hAnsi="仿宋" w:eastAsia="仿宋" w:cs="仿宋"/>
          <w:sz w:val="28"/>
          <w:szCs w:val="28"/>
          <w:lang w:val="en-US" w:eastAsia="zh-CN"/>
        </w:rPr>
        <w:t>30</w:t>
      </w:r>
      <w:r>
        <w:rPr>
          <w:rFonts w:hint="eastAsia" w:ascii="仿宋" w:hAnsi="仿宋" w:eastAsia="仿宋" w:cs="仿宋"/>
          <w:sz w:val="28"/>
          <w:szCs w:val="28"/>
        </w:rPr>
        <w:t>日</w:t>
      </w:r>
      <w:r>
        <w:rPr>
          <w:rFonts w:hint="eastAsia" w:ascii="仿宋" w:hAnsi="仿宋" w:eastAsia="仿宋" w:cs="仿宋"/>
          <w:sz w:val="28"/>
          <w:szCs w:val="28"/>
          <w:lang w:val="en-US" w:eastAsia="zh-CN"/>
        </w:rPr>
        <w:t>9</w:t>
      </w:r>
      <w:r>
        <w:rPr>
          <w:rFonts w:hint="eastAsia" w:ascii="仿宋" w:hAnsi="仿宋" w:eastAsia="仿宋" w:cs="仿宋"/>
          <w:sz w:val="28"/>
          <w:szCs w:val="28"/>
        </w:rPr>
        <w:t>时</w:t>
      </w:r>
      <w:r>
        <w:rPr>
          <w:rFonts w:hint="eastAsia" w:ascii="仿宋" w:hAnsi="仿宋" w:eastAsia="仿宋" w:cs="仿宋"/>
          <w:sz w:val="28"/>
          <w:szCs w:val="28"/>
          <w:lang w:val="en-US" w:eastAsia="zh-CN"/>
        </w:rPr>
        <w:t>30</w:t>
      </w:r>
      <w:r>
        <w:rPr>
          <w:rFonts w:hint="eastAsia" w:ascii="仿宋" w:hAnsi="仿宋" w:eastAsia="仿宋" w:cs="仿宋"/>
          <w:sz w:val="28"/>
          <w:szCs w:val="28"/>
        </w:rPr>
        <w:t>分至</w:t>
      </w:r>
      <w:r>
        <w:rPr>
          <w:rFonts w:hint="eastAsia" w:ascii="仿宋" w:hAnsi="仿宋" w:eastAsia="仿宋" w:cs="仿宋"/>
          <w:sz w:val="28"/>
          <w:szCs w:val="28"/>
          <w:lang w:val="en-US" w:eastAsia="zh-CN"/>
        </w:rPr>
        <w:t>10</w:t>
      </w:r>
      <w:r>
        <w:rPr>
          <w:rFonts w:hint="eastAsia" w:ascii="仿宋" w:hAnsi="仿宋" w:eastAsia="仿宋" w:cs="仿宋"/>
          <w:sz w:val="28"/>
          <w:szCs w:val="28"/>
        </w:rPr>
        <w:t>时</w:t>
      </w:r>
      <w:r>
        <w:rPr>
          <w:rFonts w:hint="eastAsia" w:ascii="仿宋" w:hAnsi="仿宋" w:eastAsia="仿宋" w:cs="仿宋"/>
          <w:sz w:val="28"/>
          <w:szCs w:val="28"/>
          <w:lang w:val="en-US" w:eastAsia="zh-CN"/>
        </w:rPr>
        <w:t>00</w:t>
      </w:r>
      <w:r>
        <w:rPr>
          <w:rFonts w:hint="eastAsia" w:ascii="仿宋" w:hAnsi="仿宋" w:eastAsia="仿宋" w:cs="仿宋"/>
          <w:sz w:val="28"/>
          <w:szCs w:val="28"/>
        </w:rPr>
        <w:t>分；询价响应文件截止时间：202</w:t>
      </w:r>
      <w:r>
        <w:rPr>
          <w:rFonts w:ascii="仿宋" w:hAnsi="仿宋" w:eastAsia="仿宋" w:cs="仿宋"/>
          <w:sz w:val="28"/>
          <w:szCs w:val="28"/>
        </w:rPr>
        <w:t>1</w:t>
      </w:r>
      <w:r>
        <w:rPr>
          <w:rFonts w:hint="eastAsia" w:ascii="仿宋" w:hAnsi="仿宋" w:eastAsia="仿宋" w:cs="仿宋"/>
          <w:sz w:val="28"/>
          <w:szCs w:val="28"/>
        </w:rPr>
        <w:t>年</w:t>
      </w:r>
      <w:r>
        <w:rPr>
          <w:rFonts w:hint="eastAsia" w:ascii="仿宋" w:hAnsi="仿宋" w:eastAsia="仿宋" w:cs="仿宋"/>
          <w:sz w:val="28"/>
          <w:szCs w:val="28"/>
          <w:lang w:val="en-US" w:eastAsia="zh-CN"/>
        </w:rPr>
        <w:t>4</w:t>
      </w:r>
      <w:r>
        <w:rPr>
          <w:rFonts w:hint="eastAsia" w:ascii="仿宋" w:hAnsi="仿宋" w:eastAsia="仿宋" w:cs="仿宋"/>
          <w:sz w:val="28"/>
          <w:szCs w:val="28"/>
        </w:rPr>
        <w:t>月</w:t>
      </w:r>
      <w:r>
        <w:rPr>
          <w:rFonts w:hint="eastAsia" w:ascii="仿宋" w:hAnsi="仿宋" w:eastAsia="仿宋" w:cs="仿宋"/>
          <w:sz w:val="28"/>
          <w:szCs w:val="28"/>
          <w:lang w:val="en-US" w:eastAsia="zh-CN"/>
        </w:rPr>
        <w:t>30</w:t>
      </w:r>
      <w:r>
        <w:rPr>
          <w:rFonts w:hint="eastAsia" w:ascii="仿宋" w:hAnsi="仿宋" w:eastAsia="仿宋" w:cs="仿宋"/>
          <w:sz w:val="28"/>
          <w:szCs w:val="28"/>
        </w:rPr>
        <w:t>日</w:t>
      </w:r>
      <w:r>
        <w:rPr>
          <w:rFonts w:hint="eastAsia" w:ascii="仿宋" w:hAnsi="仿宋" w:eastAsia="仿宋" w:cs="仿宋"/>
          <w:sz w:val="28"/>
          <w:szCs w:val="28"/>
          <w:lang w:val="en-US" w:eastAsia="zh-CN"/>
        </w:rPr>
        <w:t>10</w:t>
      </w:r>
      <w:r>
        <w:rPr>
          <w:rFonts w:hint="eastAsia" w:ascii="仿宋" w:hAnsi="仿宋" w:eastAsia="仿宋" w:cs="仿宋"/>
          <w:sz w:val="28"/>
          <w:szCs w:val="28"/>
        </w:rPr>
        <w:t>时</w:t>
      </w:r>
      <w:r>
        <w:rPr>
          <w:rFonts w:hint="eastAsia" w:ascii="仿宋" w:hAnsi="仿宋" w:eastAsia="仿宋" w:cs="仿宋"/>
          <w:sz w:val="28"/>
          <w:szCs w:val="28"/>
          <w:lang w:val="en-US" w:eastAsia="zh-CN"/>
        </w:rPr>
        <w:t>00</w:t>
      </w:r>
      <w:r>
        <w:rPr>
          <w:rFonts w:hint="eastAsia" w:ascii="仿宋" w:hAnsi="仿宋" w:eastAsia="仿宋" w:cs="仿宋"/>
          <w:sz w:val="28"/>
          <w:szCs w:val="28"/>
        </w:rPr>
        <w:t>分。</w:t>
      </w:r>
      <w:r>
        <w:rPr>
          <w:rFonts w:hint="eastAsia" w:ascii="仿宋" w:hAnsi="仿宋" w:eastAsia="仿宋" w:cs="仿宋_GB2312"/>
          <w:color w:val="auto"/>
          <w:sz w:val="28"/>
          <w:szCs w:val="28"/>
          <w:highlight w:val="none"/>
        </w:rPr>
        <w:t>授权委托人递交响应文件时须附上在本单位近三个月社保记录，否则询价响应文件无效。</w:t>
      </w:r>
    </w:p>
    <w:p>
      <w:pPr>
        <w:ind w:firstLine="588" w:firstLineChars="210"/>
        <w:rPr>
          <w:rFonts w:ascii="仿宋" w:hAnsi="仿宋" w:eastAsia="仿宋" w:cs="仿宋"/>
          <w:sz w:val="28"/>
          <w:szCs w:val="28"/>
        </w:rPr>
      </w:pPr>
      <w:r>
        <w:rPr>
          <w:rFonts w:hint="eastAsia" w:ascii="仿宋" w:hAnsi="仿宋" w:eastAsia="仿宋" w:cs="仿宋"/>
          <w:sz w:val="28"/>
          <w:szCs w:val="28"/>
        </w:rPr>
        <w:t xml:space="preserve">十、询价响应文件送达地点：广州市净水有限公司              </w:t>
      </w:r>
    </w:p>
    <w:p>
      <w:pPr>
        <w:ind w:firstLine="588" w:firstLineChars="210"/>
        <w:rPr>
          <w:rFonts w:ascii="仿宋" w:hAnsi="仿宋" w:eastAsia="仿宋" w:cs="仿宋"/>
          <w:sz w:val="28"/>
          <w:szCs w:val="28"/>
        </w:rPr>
      </w:pPr>
      <w:r>
        <w:rPr>
          <w:rFonts w:hint="eastAsia" w:ascii="仿宋" w:hAnsi="仿宋" w:eastAsia="仿宋" w:cs="仿宋"/>
          <w:sz w:val="28"/>
          <w:szCs w:val="28"/>
        </w:rPr>
        <w:t>十一、评审时间：202</w:t>
      </w:r>
      <w:r>
        <w:rPr>
          <w:rFonts w:ascii="仿宋" w:hAnsi="仿宋" w:eastAsia="仿宋" w:cs="仿宋"/>
          <w:sz w:val="28"/>
          <w:szCs w:val="28"/>
        </w:rPr>
        <w:t>1</w:t>
      </w:r>
      <w:r>
        <w:rPr>
          <w:rFonts w:hint="eastAsia" w:ascii="仿宋" w:hAnsi="仿宋" w:eastAsia="仿宋" w:cs="仿宋"/>
          <w:sz w:val="28"/>
          <w:szCs w:val="28"/>
        </w:rPr>
        <w:t>年</w:t>
      </w:r>
      <w:r>
        <w:rPr>
          <w:rFonts w:hint="eastAsia" w:ascii="仿宋" w:hAnsi="仿宋" w:eastAsia="仿宋" w:cs="仿宋"/>
          <w:sz w:val="28"/>
          <w:szCs w:val="28"/>
          <w:lang w:val="en-US" w:eastAsia="zh-CN"/>
        </w:rPr>
        <w:t>4</w:t>
      </w:r>
      <w:r>
        <w:rPr>
          <w:rFonts w:hint="eastAsia" w:ascii="仿宋" w:hAnsi="仿宋" w:eastAsia="仿宋" w:cs="仿宋"/>
          <w:sz w:val="28"/>
          <w:szCs w:val="28"/>
        </w:rPr>
        <w:t>月</w:t>
      </w:r>
      <w:r>
        <w:rPr>
          <w:rFonts w:hint="eastAsia" w:ascii="仿宋" w:hAnsi="仿宋" w:eastAsia="仿宋" w:cs="仿宋"/>
          <w:sz w:val="28"/>
          <w:szCs w:val="28"/>
          <w:lang w:val="en-US" w:eastAsia="zh-CN"/>
        </w:rPr>
        <w:t>30</w:t>
      </w:r>
      <w:r>
        <w:rPr>
          <w:rFonts w:hint="eastAsia" w:ascii="仿宋" w:hAnsi="仿宋" w:eastAsia="仿宋" w:cs="仿宋"/>
          <w:sz w:val="28"/>
          <w:szCs w:val="28"/>
        </w:rPr>
        <w:t>日</w:t>
      </w:r>
      <w:r>
        <w:rPr>
          <w:rFonts w:hint="eastAsia" w:ascii="仿宋" w:hAnsi="仿宋" w:eastAsia="仿宋" w:cs="仿宋"/>
          <w:sz w:val="28"/>
          <w:szCs w:val="28"/>
          <w:lang w:val="en-US" w:eastAsia="zh-CN"/>
        </w:rPr>
        <w:t>10</w:t>
      </w:r>
      <w:r>
        <w:rPr>
          <w:rFonts w:hint="eastAsia" w:ascii="仿宋" w:hAnsi="仿宋" w:eastAsia="仿宋" w:cs="仿宋"/>
          <w:sz w:val="28"/>
          <w:szCs w:val="28"/>
        </w:rPr>
        <w:t>时</w:t>
      </w:r>
      <w:r>
        <w:rPr>
          <w:rFonts w:hint="eastAsia" w:ascii="仿宋" w:hAnsi="仿宋" w:eastAsia="仿宋" w:cs="仿宋"/>
          <w:sz w:val="28"/>
          <w:szCs w:val="28"/>
          <w:lang w:val="en-US" w:eastAsia="zh-CN"/>
        </w:rPr>
        <w:t>00</w:t>
      </w:r>
      <w:r>
        <w:rPr>
          <w:rFonts w:hint="eastAsia" w:ascii="仿宋" w:hAnsi="仿宋" w:eastAsia="仿宋" w:cs="仿宋"/>
          <w:sz w:val="28"/>
          <w:szCs w:val="28"/>
        </w:rPr>
        <w:t>分</w:t>
      </w:r>
    </w:p>
    <w:p>
      <w:pPr>
        <w:ind w:firstLine="588" w:firstLineChars="210"/>
        <w:rPr>
          <w:rFonts w:ascii="仿宋" w:hAnsi="仿宋" w:eastAsia="仿宋" w:cs="仿宋"/>
          <w:sz w:val="28"/>
          <w:szCs w:val="28"/>
        </w:rPr>
      </w:pPr>
      <w:r>
        <w:rPr>
          <w:rFonts w:hint="eastAsia" w:ascii="仿宋" w:hAnsi="仿宋" w:eastAsia="仿宋" w:cs="仿宋"/>
          <w:sz w:val="28"/>
          <w:szCs w:val="28"/>
        </w:rPr>
        <w:t>十二、评审地点：</w:t>
      </w:r>
      <w:r>
        <w:rPr>
          <w:rFonts w:hint="eastAsia" w:ascii="仿宋" w:hAnsi="仿宋" w:eastAsia="仿宋" w:cs="仿宋"/>
          <w:sz w:val="28"/>
          <w:szCs w:val="28"/>
          <w:lang w:val="zh-CN"/>
        </w:rPr>
        <w:t>广州市临江大道501号广州市净水有限公司六楼招标办</w:t>
      </w:r>
      <w:r>
        <w:rPr>
          <w:rFonts w:hint="eastAsia" w:ascii="仿宋" w:hAnsi="仿宋" w:eastAsia="仿宋" w:cs="仿宋"/>
          <w:sz w:val="28"/>
          <w:szCs w:val="28"/>
        </w:rPr>
        <w:t xml:space="preserve"> </w:t>
      </w:r>
    </w:p>
    <w:p>
      <w:pPr>
        <w:ind w:firstLine="588" w:firstLineChars="210"/>
        <w:rPr>
          <w:rFonts w:ascii="仿宋" w:hAnsi="仿宋" w:eastAsia="仿宋" w:cs="仿宋"/>
          <w:sz w:val="28"/>
          <w:szCs w:val="28"/>
        </w:rPr>
      </w:pPr>
      <w:r>
        <w:rPr>
          <w:rFonts w:hint="eastAsia" w:ascii="仿宋" w:hAnsi="仿宋" w:eastAsia="仿宋" w:cs="仿宋"/>
          <w:sz w:val="28"/>
          <w:szCs w:val="28"/>
        </w:rPr>
        <w:t>十三、联系方式</w:t>
      </w:r>
    </w:p>
    <w:p>
      <w:pPr>
        <w:snapToGrid w:val="0"/>
        <w:spacing w:line="360" w:lineRule="auto"/>
        <w:ind w:firstLine="630" w:firstLineChars="225"/>
        <w:rPr>
          <w:rFonts w:ascii="仿宋" w:hAnsi="仿宋" w:eastAsia="仿宋" w:cs="仿宋"/>
          <w:kern w:val="0"/>
          <w:sz w:val="28"/>
          <w:szCs w:val="28"/>
        </w:rPr>
      </w:pPr>
      <w:r>
        <w:rPr>
          <w:rFonts w:hint="eastAsia" w:ascii="仿宋" w:hAnsi="仿宋" w:eastAsia="仿宋" w:cs="仿宋"/>
          <w:kern w:val="0"/>
          <w:sz w:val="28"/>
          <w:szCs w:val="28"/>
        </w:rPr>
        <w:t>询价人：广州市净水有限公司</w:t>
      </w:r>
    </w:p>
    <w:p>
      <w:pPr>
        <w:snapToGrid w:val="0"/>
        <w:spacing w:line="360" w:lineRule="auto"/>
        <w:ind w:firstLine="630" w:firstLineChars="225"/>
        <w:rPr>
          <w:rFonts w:ascii="仿宋" w:hAnsi="仿宋" w:eastAsia="仿宋" w:cs="仿宋"/>
          <w:kern w:val="0"/>
          <w:sz w:val="28"/>
          <w:szCs w:val="28"/>
        </w:rPr>
      </w:pPr>
      <w:r>
        <w:rPr>
          <w:rFonts w:hint="eastAsia" w:ascii="仿宋" w:hAnsi="仿宋" w:eastAsia="仿宋" w:cs="仿宋"/>
          <w:kern w:val="0"/>
          <w:sz w:val="28"/>
          <w:szCs w:val="28"/>
        </w:rPr>
        <w:t xml:space="preserve">联系地址：广州市天河区临江大道501号            </w:t>
      </w:r>
    </w:p>
    <w:p>
      <w:pPr>
        <w:snapToGrid w:val="0"/>
        <w:spacing w:line="360" w:lineRule="auto"/>
        <w:ind w:firstLine="630" w:firstLineChars="225"/>
        <w:rPr>
          <w:rFonts w:ascii="仿宋" w:hAnsi="仿宋" w:eastAsia="仿宋" w:cs="仿宋"/>
          <w:kern w:val="0"/>
          <w:sz w:val="28"/>
          <w:szCs w:val="28"/>
        </w:rPr>
      </w:pPr>
      <w:r>
        <w:rPr>
          <w:rFonts w:hint="eastAsia" w:ascii="仿宋" w:hAnsi="仿宋" w:eastAsia="仿宋" w:cs="仿宋"/>
          <w:kern w:val="0"/>
          <w:sz w:val="28"/>
          <w:szCs w:val="28"/>
        </w:rPr>
        <w:t>联系人：</w:t>
      </w:r>
      <w:r>
        <w:rPr>
          <w:rFonts w:hint="eastAsia" w:ascii="仿宋" w:hAnsi="仿宋" w:eastAsia="仿宋" w:cs="仿宋"/>
          <w:kern w:val="0"/>
          <w:sz w:val="28"/>
          <w:szCs w:val="28"/>
          <w:lang w:val="en-US" w:eastAsia="zh-CN"/>
        </w:rPr>
        <w:t>黄工</w:t>
      </w:r>
      <w:r>
        <w:rPr>
          <w:rFonts w:hint="eastAsia" w:ascii="仿宋" w:hAnsi="仿宋" w:eastAsia="仿宋" w:cs="仿宋"/>
          <w:kern w:val="0"/>
          <w:sz w:val="28"/>
          <w:szCs w:val="28"/>
        </w:rPr>
        <w:t xml:space="preserve">                联系方式：020-62315524</w:t>
      </w:r>
    </w:p>
    <w:p>
      <w:pPr>
        <w:ind w:firstLine="4340" w:firstLineChars="1550"/>
        <w:rPr>
          <w:rFonts w:ascii="仿宋" w:hAnsi="仿宋" w:eastAsia="仿宋" w:cs="仿宋"/>
          <w:sz w:val="28"/>
          <w:szCs w:val="28"/>
        </w:rPr>
      </w:pPr>
    </w:p>
    <w:p>
      <w:pPr>
        <w:ind w:firstLine="4340" w:firstLineChars="1550"/>
        <w:rPr>
          <w:rFonts w:ascii="仿宋" w:hAnsi="仿宋" w:eastAsia="仿宋" w:cs="仿宋"/>
          <w:sz w:val="28"/>
          <w:szCs w:val="28"/>
        </w:rPr>
      </w:pPr>
      <w:r>
        <w:rPr>
          <w:rFonts w:hint="eastAsia" w:ascii="仿宋" w:hAnsi="仿宋" w:eastAsia="仿宋" w:cs="仿宋"/>
          <w:sz w:val="28"/>
          <w:szCs w:val="28"/>
        </w:rPr>
        <w:t xml:space="preserve">         </w:t>
      </w:r>
    </w:p>
    <w:p>
      <w:pPr>
        <w:ind w:firstLine="5320" w:firstLineChars="1900"/>
        <w:rPr>
          <w:rFonts w:ascii="仿宋" w:hAnsi="仿宋" w:eastAsia="仿宋" w:cs="仿宋"/>
          <w:sz w:val="28"/>
          <w:szCs w:val="28"/>
          <w:u w:val="single"/>
        </w:rPr>
      </w:pPr>
      <w:r>
        <w:rPr>
          <w:rFonts w:hint="eastAsia" w:ascii="仿宋" w:hAnsi="仿宋" w:eastAsia="仿宋" w:cs="仿宋"/>
          <w:sz w:val="28"/>
          <w:szCs w:val="28"/>
        </w:rPr>
        <w:t>广州市净水有限公司</w:t>
      </w:r>
    </w:p>
    <w:p>
      <w:pPr>
        <w:wordWrap w:val="0"/>
        <w:snapToGrid w:val="0"/>
        <w:spacing w:line="360" w:lineRule="auto"/>
        <w:ind w:right="840"/>
        <w:jc w:val="right"/>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202</w:t>
      </w:r>
      <w:r>
        <w:rPr>
          <w:rFonts w:ascii="仿宋" w:hAnsi="仿宋" w:eastAsia="仿宋" w:cs="仿宋"/>
          <w:sz w:val="28"/>
          <w:szCs w:val="28"/>
        </w:rPr>
        <w:t>1</w:t>
      </w:r>
      <w:r>
        <w:rPr>
          <w:rFonts w:hint="eastAsia" w:ascii="仿宋" w:hAnsi="仿宋" w:eastAsia="仿宋" w:cs="仿宋"/>
          <w:sz w:val="28"/>
          <w:szCs w:val="28"/>
        </w:rPr>
        <w:t>年</w:t>
      </w:r>
      <w:r>
        <w:rPr>
          <w:rFonts w:hint="eastAsia" w:ascii="仿宋" w:hAnsi="仿宋" w:eastAsia="仿宋" w:cs="仿宋"/>
          <w:sz w:val="28"/>
          <w:szCs w:val="28"/>
          <w:lang w:val="en-US" w:eastAsia="zh-CN"/>
        </w:rPr>
        <w:t>4</w:t>
      </w:r>
      <w:r>
        <w:rPr>
          <w:rFonts w:hint="eastAsia" w:ascii="仿宋" w:hAnsi="仿宋" w:eastAsia="仿宋" w:cs="仿宋"/>
          <w:sz w:val="28"/>
          <w:szCs w:val="28"/>
        </w:rPr>
        <w:t>月</w:t>
      </w:r>
      <w:r>
        <w:rPr>
          <w:rFonts w:hint="eastAsia" w:ascii="仿宋" w:hAnsi="仿宋" w:eastAsia="仿宋" w:cs="仿宋"/>
          <w:sz w:val="28"/>
          <w:szCs w:val="28"/>
          <w:lang w:val="en-US" w:eastAsia="zh-CN"/>
        </w:rPr>
        <w:t>25</w:t>
      </w:r>
      <w:r>
        <w:rPr>
          <w:rFonts w:hint="eastAsia" w:ascii="仿宋" w:hAnsi="仿宋" w:eastAsia="仿宋" w:cs="仿宋"/>
          <w:sz w:val="28"/>
          <w:szCs w:val="28"/>
        </w:rPr>
        <w:t>日　　</w:t>
      </w:r>
    </w:p>
    <w:p>
      <w:pPr>
        <w:widowControl/>
        <w:jc w:val="left"/>
        <w:rPr>
          <w:rFonts w:ascii="仿宋" w:hAnsi="仿宋" w:eastAsia="仿宋" w:cs="仿宋"/>
          <w:sz w:val="28"/>
          <w:szCs w:val="28"/>
        </w:rPr>
      </w:pPr>
      <w:r>
        <w:rPr>
          <w:rFonts w:ascii="仿宋" w:hAnsi="仿宋" w:eastAsia="仿宋" w:cs="仿宋"/>
          <w:sz w:val="28"/>
          <w:szCs w:val="28"/>
        </w:rPr>
        <w:br w:type="page"/>
      </w:r>
    </w:p>
    <w:p>
      <w:pPr>
        <w:spacing w:line="480" w:lineRule="auto"/>
        <w:jc w:val="center"/>
        <w:rPr>
          <w:rFonts w:ascii="仿宋_GB2312" w:hAnsi="Times New Roman" w:eastAsia="仿宋_GB2312"/>
          <w:b/>
          <w:sz w:val="28"/>
          <w:szCs w:val="28"/>
        </w:rPr>
      </w:pPr>
      <w:r>
        <w:rPr>
          <w:rFonts w:hint="eastAsia" w:ascii="仿宋_GB2312" w:eastAsia="仿宋_GB2312"/>
          <w:b/>
          <w:sz w:val="28"/>
          <w:szCs w:val="28"/>
        </w:rPr>
        <w:t>现场踏勘委派书</w:t>
      </w:r>
    </w:p>
    <w:p>
      <w:pPr>
        <w:spacing w:line="360" w:lineRule="auto"/>
        <w:rPr>
          <w:rFonts w:ascii="宋体" w:hAnsi="宋体"/>
          <w:szCs w:val="21"/>
        </w:rPr>
      </w:pPr>
      <w:r>
        <w:rPr>
          <w:rFonts w:hint="eastAsia" w:ascii="宋体" w:hAnsi="宋体"/>
        </w:rPr>
        <w:t xml:space="preserve"> </w:t>
      </w:r>
    </w:p>
    <w:p>
      <w:pPr>
        <w:spacing w:line="360" w:lineRule="auto"/>
        <w:rPr>
          <w:rFonts w:ascii="仿宋_GB2312" w:hAnsi="Times New Roman" w:eastAsia="仿宋_GB2312"/>
          <w:sz w:val="28"/>
          <w:szCs w:val="28"/>
        </w:rPr>
      </w:pPr>
      <w:r>
        <w:rPr>
          <w:rFonts w:hint="eastAsia" w:ascii="仿宋_GB2312" w:eastAsia="仿宋_GB2312"/>
          <w:sz w:val="28"/>
          <w:szCs w:val="28"/>
        </w:rPr>
        <w:t>致：广州市净水有限公司</w:t>
      </w:r>
    </w:p>
    <w:p>
      <w:pPr>
        <w:spacing w:line="360" w:lineRule="auto"/>
        <w:rPr>
          <w:rFonts w:ascii="仿宋_GB2312" w:eastAsia="仿宋_GB2312"/>
          <w:b/>
          <w:sz w:val="28"/>
          <w:szCs w:val="28"/>
        </w:rPr>
      </w:pPr>
      <w:r>
        <w:rPr>
          <w:rFonts w:hint="eastAsia" w:ascii="仿宋_GB2312" w:eastAsia="仿宋_GB2312"/>
          <w:b/>
          <w:sz w:val="28"/>
          <w:szCs w:val="28"/>
        </w:rPr>
        <w:t xml:space="preserve"> </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我公司（单位）</w:t>
      </w:r>
      <w:r>
        <w:rPr>
          <w:rFonts w:hint="eastAsia" w:ascii="仿宋_GB2312" w:eastAsia="仿宋_GB2312"/>
          <w:sz w:val="28"/>
          <w:szCs w:val="28"/>
          <w:u w:val="single"/>
        </w:rPr>
        <w:t xml:space="preserve">      </w:t>
      </w:r>
      <w:r>
        <w:rPr>
          <w:rFonts w:hint="eastAsia" w:ascii="仿宋_GB2312" w:eastAsia="仿宋_GB2312"/>
          <w:i/>
          <w:sz w:val="28"/>
          <w:szCs w:val="28"/>
          <w:u w:val="single"/>
        </w:rPr>
        <w:t xml:space="preserve">（报价单位名称）     </w:t>
      </w:r>
      <w:r>
        <w:rPr>
          <w:rFonts w:hint="eastAsia" w:ascii="仿宋_GB2312" w:eastAsia="仿宋_GB2312"/>
          <w:sz w:val="28"/>
          <w:szCs w:val="28"/>
        </w:rPr>
        <w:t>现委派</w:t>
      </w:r>
      <w:r>
        <w:rPr>
          <w:rFonts w:hint="eastAsia" w:ascii="仿宋_GB2312" w:eastAsia="仿宋_GB2312"/>
          <w:sz w:val="28"/>
          <w:szCs w:val="28"/>
          <w:u w:val="single"/>
        </w:rPr>
        <w:t xml:space="preserve">    </w:t>
      </w:r>
      <w:r>
        <w:rPr>
          <w:rFonts w:hint="eastAsia" w:ascii="仿宋_GB2312" w:eastAsia="仿宋_GB2312"/>
          <w:i/>
          <w:sz w:val="28"/>
          <w:szCs w:val="28"/>
          <w:u w:val="single"/>
        </w:rPr>
        <w:t xml:space="preserve">（姓名、职务、身份证号）    </w:t>
      </w:r>
      <w:r>
        <w:rPr>
          <w:rFonts w:hint="eastAsia" w:ascii="仿宋_GB2312" w:eastAsia="仿宋_GB2312"/>
          <w:sz w:val="28"/>
          <w:szCs w:val="28"/>
        </w:rPr>
        <w:t>处理本项目</w:t>
      </w:r>
      <w:r>
        <w:rPr>
          <w:rFonts w:hint="eastAsia" w:ascii="仿宋_GB2312" w:eastAsia="仿宋_GB2312"/>
          <w:sz w:val="28"/>
          <w:szCs w:val="28"/>
          <w:u w:val="single"/>
        </w:rPr>
        <w:t>污水处理过程精细化控制研究项目仪表采购</w:t>
      </w:r>
      <w:r>
        <w:rPr>
          <w:rFonts w:hint="eastAsia" w:ascii="仿宋_GB2312" w:eastAsia="仿宋_GB2312"/>
          <w:sz w:val="28"/>
          <w:szCs w:val="28"/>
        </w:rPr>
        <w:t>，项目编号：</w:t>
      </w:r>
      <w:r>
        <w:rPr>
          <w:rFonts w:hint="eastAsia" w:ascii="仿宋_GB2312" w:eastAsia="仿宋_GB2312"/>
          <w:sz w:val="28"/>
          <w:szCs w:val="28"/>
          <w:u w:val="single"/>
        </w:rPr>
        <w:t xml:space="preserve">            </w:t>
      </w:r>
      <w:r>
        <w:rPr>
          <w:rFonts w:hint="eastAsia" w:ascii="仿宋_GB2312" w:eastAsia="仿宋_GB2312"/>
          <w:sz w:val="28"/>
          <w:szCs w:val="28"/>
        </w:rPr>
        <w:t>的现场踏勘事宜。</w:t>
      </w:r>
    </w:p>
    <w:p>
      <w:pPr>
        <w:spacing w:line="360" w:lineRule="auto"/>
        <w:ind w:firstLine="540"/>
        <w:rPr>
          <w:rFonts w:ascii="仿宋_GB2312" w:eastAsia="仿宋_GB2312"/>
          <w:sz w:val="28"/>
          <w:szCs w:val="28"/>
        </w:rPr>
      </w:pPr>
      <w:r>
        <w:rPr>
          <w:rFonts w:hint="eastAsia" w:ascii="仿宋_GB2312" w:eastAsia="仿宋_GB2312"/>
          <w:sz w:val="28"/>
          <w:szCs w:val="28"/>
        </w:rPr>
        <w:t>特此声明！</w:t>
      </w:r>
    </w:p>
    <w:p>
      <w:pPr>
        <w:adjustRightInd w:val="0"/>
        <w:snapToGrid w:val="0"/>
        <w:spacing w:line="360" w:lineRule="auto"/>
        <w:rPr>
          <w:rFonts w:ascii="仿宋_GB2312" w:eastAsia="仿宋_GB2312"/>
          <w:sz w:val="28"/>
          <w:szCs w:val="28"/>
        </w:rPr>
      </w:pPr>
      <w:r>
        <w:rPr>
          <w:rFonts w:hint="eastAsia" w:ascii="仿宋_GB2312" w:eastAsia="仿宋_GB2312"/>
          <w:sz w:val="28"/>
          <w:szCs w:val="28"/>
        </w:rPr>
        <w:t xml:space="preserve"> </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报价单位法定代表人（或法定代表人授权代表）签字：</w:t>
      </w:r>
      <w:r>
        <w:rPr>
          <w:rFonts w:hint="eastAsia" w:ascii="仿宋_GB2312" w:eastAsia="仿宋_GB2312"/>
          <w:sz w:val="28"/>
          <w:szCs w:val="28"/>
          <w:u w:val="single"/>
        </w:rPr>
        <w:t xml:space="preserve">                   </w:t>
      </w:r>
    </w:p>
    <w:p>
      <w:pPr>
        <w:adjustRightInd w:val="0"/>
        <w:snapToGrid w:val="0"/>
        <w:spacing w:line="360" w:lineRule="auto"/>
        <w:ind w:firstLine="560" w:firstLineChars="200"/>
        <w:rPr>
          <w:rFonts w:ascii="仿宋_GB2312" w:eastAsia="仿宋_GB2312"/>
          <w:sz w:val="28"/>
          <w:szCs w:val="28"/>
          <w:u w:val="single"/>
        </w:rPr>
      </w:pPr>
      <w:r>
        <w:rPr>
          <w:rFonts w:hint="eastAsia" w:ascii="仿宋_GB2312" w:eastAsia="仿宋_GB2312"/>
          <w:sz w:val="28"/>
          <w:szCs w:val="28"/>
        </w:rPr>
        <w:t>报价单位名称（签章）：</w:t>
      </w:r>
      <w:r>
        <w:rPr>
          <w:rFonts w:hint="eastAsia" w:ascii="仿宋_GB2312" w:eastAsia="仿宋_GB2312"/>
          <w:sz w:val="28"/>
          <w:szCs w:val="28"/>
          <w:u w:val="single"/>
        </w:rPr>
        <w:t xml:space="preserve">                        </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日期：   年   月   日</w:t>
      </w:r>
    </w:p>
    <w:p>
      <w:pPr>
        <w:spacing w:line="360" w:lineRule="auto"/>
        <w:rPr>
          <w:rFonts w:ascii="仿宋_GB2312" w:eastAsia="仿宋_GB2312"/>
          <w:sz w:val="28"/>
          <w:szCs w:val="28"/>
        </w:rPr>
      </w:pPr>
    </w:p>
    <w:p>
      <w:pPr>
        <w:spacing w:line="360" w:lineRule="auto"/>
        <w:rPr>
          <w:rFonts w:ascii="仿宋_GB2312" w:eastAsia="仿宋_GB2312"/>
          <w:sz w:val="28"/>
          <w:szCs w:val="28"/>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0"/>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0" w:type="dxa"/>
          </w:tcPr>
          <w:p>
            <w:pPr>
              <w:spacing w:line="360" w:lineRule="auto"/>
              <w:rPr>
                <w:rFonts w:ascii="仿宋_GB2312" w:eastAsia="仿宋_GB2312"/>
                <w:sz w:val="28"/>
                <w:szCs w:val="28"/>
              </w:rPr>
            </w:pPr>
            <w:r>
              <w:rPr>
                <w:rFonts w:hint="eastAsia" w:ascii="仿宋_GB2312" w:eastAsia="仿宋_GB2312"/>
                <w:sz w:val="28"/>
                <w:szCs w:val="28"/>
              </w:rPr>
              <w:t>沥</w:t>
            </w:r>
            <w:r>
              <w:rPr>
                <w:rFonts w:hint="eastAsia" w:ascii="微软雅黑" w:hAnsi="微软雅黑" w:eastAsia="微软雅黑" w:cs="微软雅黑"/>
                <w:sz w:val="28"/>
                <w:szCs w:val="28"/>
              </w:rPr>
              <w:t>滘</w:t>
            </w:r>
            <w:r>
              <w:rPr>
                <w:rFonts w:hint="eastAsia" w:ascii="仿宋_GB2312" w:hAnsi="仿宋_GB2312" w:eastAsia="仿宋_GB2312" w:cs="仿宋_GB2312"/>
                <w:sz w:val="28"/>
                <w:szCs w:val="28"/>
              </w:rPr>
              <w:t>分公司（盖章</w:t>
            </w:r>
            <w:r>
              <w:rPr>
                <w:rFonts w:hint="eastAsia" w:ascii="仿宋_GB2312" w:eastAsia="仿宋_GB2312"/>
                <w:sz w:val="28"/>
                <w:szCs w:val="28"/>
              </w:rPr>
              <w:t>）</w:t>
            </w:r>
          </w:p>
        </w:tc>
        <w:tc>
          <w:tcPr>
            <w:tcW w:w="4531" w:type="dxa"/>
          </w:tcPr>
          <w:p>
            <w:pPr>
              <w:spacing w:line="360" w:lineRule="auto"/>
              <w:rPr>
                <w:rFonts w:ascii="仿宋_GB2312" w:eastAsia="仿宋_GB2312"/>
                <w:sz w:val="28"/>
                <w:szCs w:val="28"/>
              </w:rPr>
            </w:pPr>
            <w:r>
              <w:rPr>
                <w:rFonts w:hint="eastAsia" w:ascii="仿宋_GB2312" w:eastAsia="仿宋_GB2312"/>
                <w:sz w:val="28"/>
                <w:szCs w:val="28"/>
              </w:rPr>
              <w:t>技术中心（盖章）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spacing w:line="360" w:lineRule="auto"/>
              <w:rPr>
                <w:rFonts w:ascii="仿宋_GB2312" w:eastAsia="仿宋_GB2312"/>
                <w:sz w:val="28"/>
                <w:szCs w:val="28"/>
              </w:rPr>
            </w:pPr>
            <w:r>
              <w:rPr>
                <w:rFonts w:hint="eastAsia" w:ascii="仿宋_GB2312" w:eastAsia="仿宋_GB2312"/>
                <w:sz w:val="28"/>
                <w:szCs w:val="28"/>
              </w:rPr>
              <w:t>经办人：</w:t>
            </w:r>
          </w:p>
        </w:tc>
        <w:tc>
          <w:tcPr>
            <w:tcW w:w="4531" w:type="dxa"/>
          </w:tcPr>
          <w:p>
            <w:pPr>
              <w:spacing w:line="360" w:lineRule="auto"/>
              <w:rPr>
                <w:rFonts w:ascii="仿宋_GB2312" w:eastAsia="仿宋_GB2312"/>
                <w:sz w:val="28"/>
                <w:szCs w:val="28"/>
              </w:rPr>
            </w:pPr>
            <w:r>
              <w:rPr>
                <w:rFonts w:hint="eastAsia" w:ascii="仿宋_GB2312" w:eastAsia="仿宋_GB2312"/>
                <w:sz w:val="28"/>
                <w:szCs w:val="28"/>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spacing w:line="360" w:lineRule="auto"/>
              <w:rPr>
                <w:rFonts w:ascii="仿宋_GB2312" w:eastAsia="仿宋_GB2312"/>
                <w:sz w:val="28"/>
                <w:szCs w:val="28"/>
              </w:rPr>
            </w:pPr>
            <w:r>
              <w:rPr>
                <w:rFonts w:hint="eastAsia" w:ascii="仿宋_GB2312" w:eastAsia="仿宋_GB2312"/>
                <w:sz w:val="28"/>
                <w:szCs w:val="28"/>
              </w:rPr>
              <w:t>联系方式：</w:t>
            </w:r>
          </w:p>
        </w:tc>
        <w:tc>
          <w:tcPr>
            <w:tcW w:w="4531" w:type="dxa"/>
          </w:tcPr>
          <w:p>
            <w:pPr>
              <w:spacing w:line="360" w:lineRule="auto"/>
              <w:rPr>
                <w:rFonts w:ascii="仿宋_GB2312" w:eastAsia="仿宋_GB2312"/>
                <w:sz w:val="28"/>
                <w:szCs w:val="28"/>
              </w:rPr>
            </w:pPr>
            <w:r>
              <w:rPr>
                <w:rFonts w:hint="eastAsia" w:ascii="仿宋_GB2312" w:eastAsia="仿宋_GB2312"/>
                <w:sz w:val="28"/>
                <w:szCs w:val="28"/>
              </w:rPr>
              <w:t>联系方式：</w:t>
            </w:r>
          </w:p>
        </w:tc>
      </w:tr>
    </w:tbl>
    <w:p>
      <w:pPr>
        <w:spacing w:line="360" w:lineRule="auto"/>
        <w:rPr>
          <w:rFonts w:ascii="仿宋_GB2312" w:eastAsia="仿宋_GB2312"/>
          <w:sz w:val="28"/>
          <w:szCs w:val="28"/>
        </w:rPr>
      </w:pPr>
    </w:p>
    <w:p>
      <w:pPr>
        <w:snapToGrid w:val="0"/>
        <w:spacing w:line="360" w:lineRule="auto"/>
        <w:ind w:right="1960"/>
        <w:rPr>
          <w:rFonts w:ascii="仿宋" w:hAnsi="仿宋" w:eastAsia="仿宋" w:cs="仿宋"/>
          <w:sz w:val="28"/>
          <w:szCs w:val="28"/>
        </w:rPr>
      </w:pPr>
    </w:p>
    <w:p>
      <w:pPr>
        <w:wordWrap w:val="0"/>
        <w:snapToGrid w:val="0"/>
        <w:spacing w:line="360" w:lineRule="auto"/>
        <w:ind w:right="840"/>
        <w:jc w:val="right"/>
        <w:rPr>
          <w:rFonts w:ascii="仿宋" w:hAnsi="仿宋" w:eastAsia="仿宋" w:cs="仿宋"/>
          <w:sz w:val="28"/>
          <w:szCs w:val="28"/>
        </w:rPr>
        <w:sectPr>
          <w:footerReference r:id="rId7" w:type="default"/>
          <w:pgSz w:w="11906" w:h="16838"/>
          <w:pgMar w:top="1134" w:right="1134" w:bottom="1134" w:left="1701" w:header="851" w:footer="992" w:gutter="0"/>
          <w:pgNumType w:start="1"/>
          <w:cols w:space="720" w:num="1"/>
          <w:docGrid w:type="linesAndChars" w:linePitch="312" w:charSpace="0"/>
        </w:sectPr>
      </w:pPr>
    </w:p>
    <w:p>
      <w:pPr>
        <w:pStyle w:val="14"/>
        <w:adjustRightInd w:val="0"/>
        <w:snapToGrid w:val="0"/>
        <w:spacing w:line="300" w:lineRule="auto"/>
        <w:jc w:val="center"/>
        <w:rPr>
          <w:rFonts w:ascii="仿宋" w:hAnsi="仿宋" w:eastAsia="仿宋" w:cs="仿宋"/>
          <w:b/>
          <w:sz w:val="32"/>
          <w:szCs w:val="32"/>
          <w:lang w:val="zh-CN"/>
        </w:rPr>
      </w:pPr>
      <w:r>
        <w:rPr>
          <w:rFonts w:hint="eastAsia" w:ascii="仿宋" w:hAnsi="仿宋" w:eastAsia="仿宋" w:cs="仿宋"/>
          <w:b/>
          <w:sz w:val="32"/>
          <w:szCs w:val="32"/>
          <w:lang w:val="zh-CN"/>
        </w:rPr>
        <w:t>第二部分 项目内容</w:t>
      </w:r>
    </w:p>
    <w:p>
      <w:pPr>
        <w:rPr>
          <w:rFonts w:ascii="仿宋" w:hAnsi="仿宋" w:eastAsia="仿宋" w:cs="仿宋"/>
          <w:sz w:val="28"/>
          <w:szCs w:val="28"/>
        </w:rPr>
      </w:pPr>
      <w:r>
        <w:rPr>
          <w:rFonts w:hint="eastAsia" w:ascii="仿宋" w:hAnsi="仿宋" w:eastAsia="仿宋" w:cs="仿宋"/>
          <w:sz w:val="28"/>
          <w:szCs w:val="28"/>
        </w:rPr>
        <w:t>一、</w:t>
      </w:r>
      <w:r>
        <w:rPr>
          <w:rFonts w:hint="eastAsia" w:ascii="仿宋" w:hAnsi="仿宋" w:eastAsia="仿宋" w:cs="仿宋"/>
          <w:b/>
          <w:bCs/>
          <w:sz w:val="28"/>
          <w:szCs w:val="28"/>
        </w:rPr>
        <w:t>项目情况介绍</w:t>
      </w:r>
    </w:p>
    <w:p>
      <w:pPr>
        <w:ind w:firstLine="560" w:firstLineChars="200"/>
        <w:rPr>
          <w:rFonts w:ascii="仿宋" w:hAnsi="仿宋" w:eastAsia="仿宋" w:cs="仿宋"/>
          <w:sz w:val="28"/>
          <w:szCs w:val="28"/>
        </w:rPr>
      </w:pPr>
      <w:r>
        <w:rPr>
          <w:rFonts w:hint="eastAsia" w:ascii="仿宋" w:hAnsi="仿宋" w:eastAsia="仿宋" w:cs="仿宋"/>
          <w:sz w:val="28"/>
          <w:szCs w:val="28"/>
        </w:rPr>
        <w:t>2020年12月12日，国家主席习近平在纪念《巴黎协定》签订5周年的气候雄心峰会上发表“继往开来，开启全球应对气候变化新征程”的重要讲话，承诺到2030年，中国单位国内生产总值二氧化碳排放将比2005年下降65%以上，努力争取2060年前实现“碳中和”。这是中国致力于自身生态文明建设的战略举措，也是中国愿为人类社会发展做出新贡献的重大宣示。但是，面临日益复杂的国际形势，中国如何规划完善低碳发展路径，通过何种手段实现“碳中和”，是一项非常紧迫和充满挑战的任务。</w:t>
      </w:r>
    </w:p>
    <w:p>
      <w:pPr>
        <w:ind w:firstLine="560" w:firstLineChars="200"/>
        <w:rPr>
          <w:rFonts w:ascii="仿宋" w:hAnsi="仿宋" w:eastAsia="仿宋" w:cs="仿宋"/>
          <w:sz w:val="28"/>
          <w:szCs w:val="28"/>
        </w:rPr>
      </w:pPr>
      <w:r>
        <w:rPr>
          <w:rFonts w:hint="eastAsia" w:ascii="仿宋" w:hAnsi="仿宋" w:eastAsia="仿宋" w:cs="仿宋"/>
          <w:sz w:val="28"/>
          <w:szCs w:val="28"/>
        </w:rPr>
        <w:t>污水处理行业对全球温室气体的总贡献率虽然仅占2%～5%，但亦不可小觑，同样也面临着碳减排甚至碳中和的压力。污水处理实现碳中和途径无外乎也是直接利用清洁能源或间接通过特殊手段补偿碳排放。清洁能源包括太阳能、风能、潮汐能等，但清洁能源受地理位置、场地、光照等限制不适用于大多数污水处理厂；因此，污水处理碳减排只能从营养物去除过程或污水潜能入手，通过减少能耗、药耗使用或挖掘污水蕴含能量来实现。因此广州净水公司开展污水处理过程精细化控制研究工作，通过在生化池面加装氮、磷指标仪表，实时监控各功能段脱氮除磷的反应进程，将工艺参数控制在反应最佳条件，尽可能提升生物脱氮除磷效率，保障出水稳定达标的前提下做到降低药耗、节能减排。</w:t>
      </w:r>
    </w:p>
    <w:p>
      <w:pPr>
        <w:ind w:firstLine="560" w:firstLineChars="200"/>
        <w:rPr>
          <w:rFonts w:ascii="仿宋" w:hAnsi="仿宋" w:eastAsia="仿宋" w:cs="仿宋"/>
          <w:sz w:val="28"/>
          <w:szCs w:val="28"/>
        </w:rPr>
      </w:pPr>
      <w:r>
        <w:rPr>
          <w:rFonts w:hint="eastAsia" w:ascii="仿宋" w:hAnsi="仿宋" w:eastAsia="仿宋" w:cs="仿宋"/>
          <w:sz w:val="28"/>
          <w:szCs w:val="28"/>
        </w:rPr>
        <w:t>为实现污水处理过程段的精细化调控，选取沥滘和京溪两个净水厂的生化处理段作为试点，与项目中选单位就预处理、在线仪表等系统在使用期间进行联合开发、调整，以进行实时获取水面数据，从而实现提前调控，实现净水出水达到目标值，更好的符合国家出水标准要求。</w:t>
      </w:r>
    </w:p>
    <w:p>
      <w:pPr>
        <w:numPr>
          <w:ilvl w:val="255"/>
          <w:numId w:val="0"/>
        </w:numPr>
        <w:rPr>
          <w:rFonts w:ascii="仿宋" w:hAnsi="仿宋" w:eastAsia="仿宋" w:cs="仿宋"/>
          <w:sz w:val="28"/>
          <w:szCs w:val="28"/>
        </w:rPr>
      </w:pPr>
      <w:r>
        <w:rPr>
          <w:rFonts w:hint="eastAsia" w:ascii="仿宋" w:hAnsi="仿宋" w:eastAsia="仿宋" w:cs="仿宋"/>
          <w:b/>
          <w:bCs/>
          <w:sz w:val="28"/>
          <w:szCs w:val="28"/>
        </w:rPr>
        <w:t>二、项目技术要求</w:t>
      </w:r>
    </w:p>
    <w:p>
      <w:pPr>
        <w:pStyle w:val="5"/>
        <w:rPr>
          <w:rFonts w:ascii="仿宋" w:hAnsi="仿宋" w:eastAsia="仿宋" w:cs="仿宋"/>
          <w:sz w:val="28"/>
          <w:szCs w:val="28"/>
        </w:rPr>
      </w:pPr>
      <w:r>
        <w:rPr>
          <w:rFonts w:hint="eastAsia" w:ascii="仿宋" w:hAnsi="仿宋" w:eastAsia="仿宋" w:cs="仿宋"/>
          <w:sz w:val="28"/>
          <w:szCs w:val="28"/>
        </w:rPr>
        <w:t>（一）此次项目所需设备清单及要求如下</w:t>
      </w:r>
    </w:p>
    <w:tbl>
      <w:tblPr>
        <w:tblStyle w:val="27"/>
        <w:tblW w:w="9354" w:type="dxa"/>
        <w:tblInd w:w="0" w:type="dxa"/>
        <w:tblLayout w:type="autofit"/>
        <w:tblCellMar>
          <w:top w:w="0" w:type="dxa"/>
          <w:left w:w="108" w:type="dxa"/>
          <w:bottom w:w="0" w:type="dxa"/>
          <w:right w:w="108" w:type="dxa"/>
        </w:tblCellMar>
      </w:tblPr>
      <w:tblGrid>
        <w:gridCol w:w="2494"/>
        <w:gridCol w:w="794"/>
        <w:gridCol w:w="794"/>
        <w:gridCol w:w="5272"/>
      </w:tblGrid>
      <w:tr>
        <w:tblPrEx>
          <w:tblCellMar>
            <w:top w:w="0" w:type="dxa"/>
            <w:left w:w="108" w:type="dxa"/>
            <w:bottom w:w="0" w:type="dxa"/>
            <w:right w:w="108" w:type="dxa"/>
          </w:tblCellMar>
        </w:tblPrEx>
        <w:trPr>
          <w:trHeight w:val="390" w:hRule="atLeast"/>
        </w:trPr>
        <w:tc>
          <w:tcPr>
            <w:tcW w:w="249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bookmarkStart w:id="2" w:name="_Toc488152900"/>
            <w:bookmarkStart w:id="3" w:name="_Toc18895"/>
            <w:r>
              <w:rPr>
                <w:rFonts w:hint="eastAsia" w:ascii="仿宋" w:hAnsi="仿宋" w:eastAsia="仿宋" w:cs="宋体"/>
                <w:kern w:val="0"/>
                <w:sz w:val="28"/>
                <w:szCs w:val="28"/>
              </w:rPr>
              <w:t>新增配置名称</w:t>
            </w:r>
          </w:p>
        </w:tc>
        <w:tc>
          <w:tcPr>
            <w:tcW w:w="79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单位</w:t>
            </w:r>
          </w:p>
        </w:tc>
        <w:tc>
          <w:tcPr>
            <w:tcW w:w="79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数量</w:t>
            </w:r>
          </w:p>
        </w:tc>
        <w:tc>
          <w:tcPr>
            <w:tcW w:w="5272" w:type="dxa"/>
            <w:tcBorders>
              <w:top w:val="single" w:color="auto" w:sz="8" w:space="0"/>
              <w:left w:val="nil"/>
              <w:bottom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备注</w:t>
            </w:r>
          </w:p>
        </w:tc>
      </w:tr>
      <w:tr>
        <w:tblPrEx>
          <w:tblCellMar>
            <w:top w:w="0" w:type="dxa"/>
            <w:left w:w="108" w:type="dxa"/>
            <w:bottom w:w="0" w:type="dxa"/>
            <w:right w:w="108" w:type="dxa"/>
          </w:tblCellMar>
        </w:tblPrEx>
        <w:trPr>
          <w:trHeight w:val="390" w:hRule="atLeast"/>
        </w:trPr>
        <w:tc>
          <w:tcPr>
            <w:tcW w:w="24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氨氮在线分析仪</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台</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7</w:t>
            </w:r>
          </w:p>
        </w:tc>
        <w:tc>
          <w:tcPr>
            <w:tcW w:w="5272" w:type="dxa"/>
            <w:tcBorders>
              <w:top w:val="nil"/>
              <w:left w:val="nil"/>
              <w:bottom w:val="single" w:color="auto" w:sz="8" w:space="0"/>
            </w:tcBorders>
            <w:shd w:val="clear" w:color="auto" w:fill="auto"/>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水杨酸分光光度法/纳氏试剂比色法</w:t>
            </w:r>
          </w:p>
        </w:tc>
      </w:tr>
      <w:tr>
        <w:tblPrEx>
          <w:tblCellMar>
            <w:top w:w="0" w:type="dxa"/>
            <w:left w:w="108" w:type="dxa"/>
            <w:bottom w:w="0" w:type="dxa"/>
            <w:right w:w="108" w:type="dxa"/>
          </w:tblCellMar>
        </w:tblPrEx>
        <w:trPr>
          <w:trHeight w:val="390" w:hRule="atLeast"/>
        </w:trPr>
        <w:tc>
          <w:tcPr>
            <w:tcW w:w="24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硝酸盐氮分析仪</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台</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7</w:t>
            </w:r>
          </w:p>
        </w:tc>
        <w:tc>
          <w:tcPr>
            <w:tcW w:w="5272" w:type="dxa"/>
            <w:tcBorders>
              <w:top w:val="nil"/>
              <w:left w:val="nil"/>
              <w:bottom w:val="single" w:color="auto" w:sz="8" w:space="0"/>
            </w:tcBorders>
            <w:shd w:val="clear" w:color="auto" w:fill="auto"/>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紫外分光光度法</w:t>
            </w:r>
          </w:p>
        </w:tc>
      </w:tr>
      <w:tr>
        <w:tblPrEx>
          <w:tblCellMar>
            <w:top w:w="0" w:type="dxa"/>
            <w:left w:w="108" w:type="dxa"/>
            <w:bottom w:w="0" w:type="dxa"/>
            <w:right w:w="108" w:type="dxa"/>
          </w:tblCellMar>
        </w:tblPrEx>
        <w:trPr>
          <w:trHeight w:val="390" w:hRule="atLeast"/>
        </w:trPr>
        <w:tc>
          <w:tcPr>
            <w:tcW w:w="24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磷酸盐分析仪</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台</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7</w:t>
            </w:r>
          </w:p>
        </w:tc>
        <w:tc>
          <w:tcPr>
            <w:tcW w:w="5272" w:type="dxa"/>
            <w:tcBorders>
              <w:top w:val="nil"/>
              <w:left w:val="nil"/>
              <w:bottom w:val="single" w:color="auto" w:sz="8" w:space="0"/>
            </w:tcBorders>
            <w:shd w:val="clear" w:color="auto" w:fill="auto"/>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钼酸铵分光光度法</w:t>
            </w:r>
          </w:p>
        </w:tc>
      </w:tr>
      <w:tr>
        <w:tblPrEx>
          <w:tblCellMar>
            <w:top w:w="0" w:type="dxa"/>
            <w:left w:w="108" w:type="dxa"/>
            <w:bottom w:w="0" w:type="dxa"/>
            <w:right w:w="108" w:type="dxa"/>
          </w:tblCellMar>
        </w:tblPrEx>
        <w:trPr>
          <w:trHeight w:val="390" w:hRule="atLeast"/>
        </w:trPr>
        <w:tc>
          <w:tcPr>
            <w:tcW w:w="24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采水单元</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套</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28</w:t>
            </w:r>
          </w:p>
        </w:tc>
        <w:tc>
          <w:tcPr>
            <w:tcW w:w="5272" w:type="dxa"/>
            <w:tcBorders>
              <w:top w:val="nil"/>
              <w:left w:val="nil"/>
              <w:bottom w:val="single" w:color="auto" w:sz="8" w:space="0"/>
            </w:tcBorders>
            <w:shd w:val="clear" w:color="auto" w:fill="auto"/>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浮动取样，双管双泵等</w:t>
            </w:r>
          </w:p>
        </w:tc>
      </w:tr>
      <w:tr>
        <w:tblPrEx>
          <w:tblCellMar>
            <w:top w:w="0" w:type="dxa"/>
            <w:left w:w="108" w:type="dxa"/>
            <w:bottom w:w="0" w:type="dxa"/>
            <w:right w:w="108" w:type="dxa"/>
          </w:tblCellMar>
        </w:tblPrEx>
        <w:trPr>
          <w:trHeight w:val="765" w:hRule="atLeast"/>
        </w:trPr>
        <w:tc>
          <w:tcPr>
            <w:tcW w:w="24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预处理及配水单元</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套</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7</w:t>
            </w:r>
          </w:p>
        </w:tc>
        <w:tc>
          <w:tcPr>
            <w:tcW w:w="5272" w:type="dxa"/>
            <w:tcBorders>
              <w:top w:val="nil"/>
              <w:left w:val="nil"/>
              <w:bottom w:val="single" w:color="auto" w:sz="8" w:space="0"/>
            </w:tcBorders>
            <w:shd w:val="clear" w:color="auto" w:fill="auto"/>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对水样进行预处理、为仪表提供样水（含超声波均化及清洗装置、气洗装置、沉砂静置装置、样水杯、管路、水阀等）</w:t>
            </w:r>
          </w:p>
        </w:tc>
      </w:tr>
      <w:tr>
        <w:tblPrEx>
          <w:tblCellMar>
            <w:top w:w="0" w:type="dxa"/>
            <w:left w:w="108" w:type="dxa"/>
            <w:bottom w:w="0" w:type="dxa"/>
            <w:right w:w="108" w:type="dxa"/>
          </w:tblCellMar>
        </w:tblPrEx>
        <w:trPr>
          <w:trHeight w:val="765" w:hRule="atLeast"/>
        </w:trPr>
        <w:tc>
          <w:tcPr>
            <w:tcW w:w="24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数据采集与传输、系统控制单元</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套</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7</w:t>
            </w:r>
          </w:p>
        </w:tc>
        <w:tc>
          <w:tcPr>
            <w:tcW w:w="5272" w:type="dxa"/>
            <w:tcBorders>
              <w:top w:val="nil"/>
              <w:left w:val="nil"/>
              <w:bottom w:val="single" w:color="auto" w:sz="8" w:space="0"/>
            </w:tcBorders>
            <w:shd w:val="clear" w:color="auto" w:fill="auto"/>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数据采集、传输和系统采配水控制等</w:t>
            </w:r>
          </w:p>
        </w:tc>
      </w:tr>
      <w:tr>
        <w:tblPrEx>
          <w:tblCellMar>
            <w:top w:w="0" w:type="dxa"/>
            <w:left w:w="108" w:type="dxa"/>
            <w:bottom w:w="0" w:type="dxa"/>
            <w:right w:w="108" w:type="dxa"/>
          </w:tblCellMar>
        </w:tblPrEx>
        <w:trPr>
          <w:trHeight w:val="390" w:hRule="atLeast"/>
        </w:trPr>
        <w:tc>
          <w:tcPr>
            <w:tcW w:w="24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一体化柜</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台</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7</w:t>
            </w:r>
          </w:p>
        </w:tc>
        <w:tc>
          <w:tcPr>
            <w:tcW w:w="5272" w:type="dxa"/>
            <w:tcBorders>
              <w:top w:val="nil"/>
              <w:left w:val="nil"/>
              <w:bottom w:val="single" w:color="auto" w:sz="8" w:space="0"/>
            </w:tcBorders>
            <w:shd w:val="clear" w:color="auto" w:fill="auto"/>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占地不大于2平方</w:t>
            </w:r>
          </w:p>
        </w:tc>
      </w:tr>
    </w:tbl>
    <w:p>
      <w:pPr>
        <w:ind w:firstLine="588" w:firstLineChars="21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.报价人所提供的数据采集传输仪，须与已有监测仪器能匹配使用，并提供原厂商质量保证承诺书和售后服务承诺书及设备易损件的明细、价格、供应渠道和售后服务年限。</w:t>
      </w:r>
    </w:p>
    <w:p>
      <w:pPr>
        <w:ind w:firstLine="588" w:firstLineChars="21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.报价人需提供数据采集、处理、分析系统，根据HJ212-2017传输标准，收集监测数值，并进行处理及分析，同时应提供标准数据接口，将仪表数据共享至广州市净水有限公司平台。</w:t>
      </w:r>
    </w:p>
    <w:p>
      <w:pPr>
        <w:pStyle w:val="2"/>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▲3.中选人需按照询价人的要求就预处理等系统在使用期间免费进行联合开发、调整，成果共享，为方便调试、调整，中选人须根据询价人要求长期派驻驻厂工程师至少一名。</w:t>
      </w:r>
    </w:p>
    <w:p>
      <w:pPr>
        <w:pStyle w:val="2"/>
        <w:ind w:firstLine="560" w:firstLineChars="200"/>
        <w:rPr>
          <w:rFonts w:ascii="仿宋" w:hAnsi="仿宋" w:eastAsia="仿宋" w:cs="仿宋"/>
          <w:color w:val="auto"/>
          <w:kern w:val="2"/>
          <w:sz w:val="28"/>
          <w:szCs w:val="28"/>
        </w:rPr>
      </w:pPr>
      <w:r>
        <w:rPr>
          <w:rFonts w:hint="eastAsia" w:ascii="仿宋" w:hAnsi="仿宋" w:eastAsia="仿宋" w:cs="仿宋"/>
          <w:color w:val="auto"/>
          <w:kern w:val="2"/>
          <w:sz w:val="28"/>
          <w:szCs w:val="28"/>
        </w:rPr>
        <w:t>4．中选人需与甲方签订保密协议，对项目实施过程中获取的广州市净水有限公司及所属净水厂所有运行数据、参数、经营信息保密。</w:t>
      </w:r>
    </w:p>
    <w:p>
      <w:pPr>
        <w:pStyle w:val="5"/>
        <w:rPr>
          <w:rFonts w:ascii="仿宋" w:hAnsi="仿宋" w:eastAsia="仿宋" w:cs="仿宋"/>
          <w:sz w:val="28"/>
          <w:szCs w:val="28"/>
        </w:rPr>
      </w:pPr>
      <w:r>
        <w:rPr>
          <w:rFonts w:hint="eastAsia" w:ascii="仿宋" w:hAnsi="仿宋" w:eastAsia="仿宋" w:cs="仿宋"/>
          <w:sz w:val="28"/>
          <w:szCs w:val="28"/>
        </w:rPr>
        <w:t>（二）主要产品技术规格和参数</w:t>
      </w:r>
    </w:p>
    <w:p>
      <w:pPr>
        <w:pStyle w:val="6"/>
        <w:numPr>
          <w:ilvl w:val="0"/>
          <w:numId w:val="2"/>
        </w:numPr>
        <w:spacing w:line="288" w:lineRule="auto"/>
        <w:rPr>
          <w:rFonts w:ascii="仿宋" w:hAnsi="仿宋" w:eastAsia="仿宋" w:cs="仿宋"/>
        </w:rPr>
      </w:pPr>
      <w:r>
        <w:rPr>
          <w:rFonts w:hint="eastAsia" w:ascii="仿宋" w:hAnsi="仿宋" w:eastAsia="仿宋" w:cs="仿宋"/>
        </w:rPr>
        <w:t>氨氮在线分析仪</w:t>
      </w:r>
    </w:p>
    <w:p>
      <w:pPr>
        <w:pStyle w:val="7"/>
        <w:numPr>
          <w:ilvl w:val="255"/>
          <w:numId w:val="0"/>
        </w:numPr>
        <w:spacing w:line="288" w:lineRule="auto"/>
        <w:rPr>
          <w:rFonts w:ascii="仿宋" w:hAnsi="仿宋" w:eastAsia="仿宋" w:cs="仿宋"/>
        </w:rPr>
      </w:pPr>
      <w:bookmarkStart w:id="4" w:name="_Toc488152902"/>
      <w:r>
        <w:rPr>
          <w:rFonts w:hint="eastAsia" w:ascii="仿宋" w:hAnsi="仿宋" w:eastAsia="仿宋" w:cs="仿宋"/>
        </w:rPr>
        <w:t>1.1 功能要求</w:t>
      </w:r>
      <w:bookmarkEnd w:id="4"/>
    </w:p>
    <w:p>
      <w:pPr>
        <w:numPr>
          <w:ilvl w:val="0"/>
          <w:numId w:val="3"/>
        </w:numPr>
        <w:spacing w:line="288" w:lineRule="auto"/>
        <w:ind w:left="0"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仪器体积小，运输方便，安装灵活；</w:t>
      </w:r>
    </w:p>
    <w:p>
      <w:pPr>
        <w:numPr>
          <w:ilvl w:val="0"/>
          <w:numId w:val="3"/>
        </w:numPr>
        <w:spacing w:line="288" w:lineRule="auto"/>
        <w:ind w:left="0"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平台化和模块设计，易于维护和快速修复，通常模块达95%以上；</w:t>
      </w:r>
    </w:p>
    <w:p>
      <w:pPr>
        <w:numPr>
          <w:ilvl w:val="0"/>
          <w:numId w:val="3"/>
        </w:numPr>
        <w:spacing w:line="288" w:lineRule="auto"/>
        <w:ind w:left="0"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整套管路系统采用防腐材料，并且前向维护，故障率低，维护量少，使用寿命长；</w:t>
      </w:r>
    </w:p>
    <w:p>
      <w:pPr>
        <w:numPr>
          <w:ilvl w:val="0"/>
          <w:numId w:val="3"/>
        </w:numPr>
        <w:spacing w:line="288" w:lineRule="auto"/>
        <w:ind w:left="0"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采用进口触摸屏，中文界面显示，完善的用户权限管理；</w:t>
      </w:r>
    </w:p>
    <w:p>
      <w:pPr>
        <w:numPr>
          <w:ilvl w:val="0"/>
          <w:numId w:val="3"/>
        </w:numPr>
        <w:spacing w:line="288" w:lineRule="auto"/>
        <w:ind w:left="0"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支持RS-232、RS-485通讯端口、4～20mA模拟输出；</w:t>
      </w:r>
    </w:p>
    <w:p>
      <w:pPr>
        <w:numPr>
          <w:ilvl w:val="0"/>
          <w:numId w:val="3"/>
        </w:numPr>
        <w:spacing w:line="288" w:lineRule="auto"/>
        <w:ind w:left="0"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▲光电计量功能，蠕动泵提供动力，光电液位检测，实现计量；</w:t>
      </w:r>
    </w:p>
    <w:p>
      <w:pPr>
        <w:numPr>
          <w:ilvl w:val="0"/>
          <w:numId w:val="3"/>
        </w:numPr>
        <w:spacing w:line="288" w:lineRule="auto"/>
        <w:ind w:left="0"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▲采用多通切阀系统,实现多通道实时切换；</w:t>
      </w:r>
    </w:p>
    <w:p>
      <w:pPr>
        <w:numPr>
          <w:ilvl w:val="0"/>
          <w:numId w:val="3"/>
        </w:numPr>
        <w:spacing w:line="288" w:lineRule="auto"/>
        <w:ind w:left="0" w:firstLine="560" w:firstLineChars="200"/>
        <w:jc w:val="left"/>
        <w:rPr>
          <w:rFonts w:ascii="仿宋" w:hAnsi="仿宋" w:eastAsia="仿宋" w:cs="仿宋"/>
        </w:rPr>
      </w:pPr>
      <w:r>
        <w:rPr>
          <w:rFonts w:hint="eastAsia" w:ascii="仿宋" w:hAnsi="仿宋" w:eastAsia="仿宋" w:cs="仿宋"/>
          <w:kern w:val="0"/>
          <w:sz w:val="28"/>
          <w:szCs w:val="28"/>
        </w:rPr>
        <w:t>▲具有自动标定、测量、清洗以及标样核查功能</w:t>
      </w:r>
    </w:p>
    <w:p>
      <w:pPr>
        <w:numPr>
          <w:ilvl w:val="0"/>
          <w:numId w:val="3"/>
        </w:numPr>
        <w:spacing w:line="288" w:lineRule="auto"/>
        <w:ind w:left="0"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▲具有试剂余量不足告警功能</w:t>
      </w:r>
    </w:p>
    <w:p>
      <w:pPr>
        <w:numPr>
          <w:ilvl w:val="0"/>
          <w:numId w:val="3"/>
        </w:numPr>
        <w:spacing w:line="288" w:lineRule="auto"/>
        <w:ind w:left="0"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▲具有智能量程选择功能</w:t>
      </w:r>
    </w:p>
    <w:p>
      <w:pPr>
        <w:numPr>
          <w:ilvl w:val="0"/>
          <w:numId w:val="3"/>
        </w:numPr>
        <w:spacing w:line="288" w:lineRule="auto"/>
        <w:ind w:left="0"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▲具有仪表开门记录功能</w:t>
      </w:r>
    </w:p>
    <w:p>
      <w:pPr>
        <w:numPr>
          <w:ilvl w:val="0"/>
          <w:numId w:val="3"/>
        </w:numPr>
        <w:spacing w:line="288" w:lineRule="auto"/>
        <w:ind w:left="0" w:firstLine="560" w:firstLineChars="200"/>
        <w:jc w:val="left"/>
      </w:pPr>
      <w:r>
        <w:rPr>
          <w:rFonts w:hint="eastAsia" w:ascii="仿宋" w:hAnsi="仿宋" w:eastAsia="仿宋" w:cs="仿宋"/>
          <w:kern w:val="0"/>
          <w:sz w:val="28"/>
          <w:szCs w:val="28"/>
        </w:rPr>
        <w:t>▲可根据现场水样情况配置</w:t>
      </w:r>
      <w:r>
        <w:rPr>
          <w:rFonts w:hint="eastAsia" w:ascii="仿宋" w:hAnsi="仿宋" w:eastAsia="仿宋" w:cs="仿宋"/>
          <w:sz w:val="28"/>
          <w:szCs w:val="28"/>
        </w:rPr>
        <w:t>水杨酸分光光度法/纳氏试剂比色法</w:t>
      </w:r>
      <w:r>
        <w:rPr>
          <w:rFonts w:hint="eastAsia" w:ascii="仿宋" w:hAnsi="仿宋" w:eastAsia="仿宋" w:cs="仿宋"/>
          <w:kern w:val="0"/>
          <w:sz w:val="28"/>
          <w:szCs w:val="28"/>
        </w:rPr>
        <w:t>的氨氮在线分析仪。</w:t>
      </w:r>
    </w:p>
    <w:p>
      <w:pPr>
        <w:pStyle w:val="7"/>
        <w:numPr>
          <w:ilvl w:val="255"/>
          <w:numId w:val="0"/>
        </w:numPr>
        <w:spacing w:line="288" w:lineRule="auto"/>
        <w:rPr>
          <w:rFonts w:ascii="仿宋" w:hAnsi="仿宋" w:eastAsia="仿宋" w:cs="仿宋"/>
        </w:rPr>
      </w:pPr>
      <w:bookmarkStart w:id="5" w:name="_Toc488152903"/>
      <w:r>
        <w:rPr>
          <w:rFonts w:hint="eastAsia" w:ascii="仿宋" w:hAnsi="仿宋" w:eastAsia="仿宋" w:cs="仿宋"/>
        </w:rPr>
        <w:t>1.2 技术参数</w:t>
      </w:r>
      <w:bookmarkEnd w:id="5"/>
      <w:r>
        <w:rPr>
          <w:rFonts w:hint="eastAsia" w:ascii="仿宋" w:hAnsi="仿宋" w:eastAsia="仿宋" w:cs="仿宋"/>
        </w:rPr>
        <w:t>要求</w:t>
      </w:r>
    </w:p>
    <w:tbl>
      <w:tblPr>
        <w:tblStyle w:val="27"/>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4"/>
        <w:gridCol w:w="5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测量方法</w:t>
            </w:r>
          </w:p>
        </w:tc>
        <w:tc>
          <w:tcPr>
            <w:tcW w:w="5244" w:type="dxa"/>
            <w:vAlign w:val="center"/>
          </w:tcPr>
          <w:p>
            <w:pPr>
              <w:tabs>
                <w:tab w:val="left" w:pos="2049"/>
              </w:tabs>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sz w:val="28"/>
                <w:szCs w:val="28"/>
              </w:rPr>
              <w:t>水杨酸分光光度法/纳氏试剂比色法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测量范围</w:t>
            </w:r>
          </w:p>
        </w:tc>
        <w:tc>
          <w:tcPr>
            <w:tcW w:w="52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0～8mg/L, 0～80mg/L,0～300 mg/L（更多量程可扩展），可在一定范围内实现不同量程之间的自动切换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检出限</w:t>
            </w:r>
          </w:p>
        </w:tc>
        <w:tc>
          <w:tcPr>
            <w:tcW w:w="52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0.02mg/L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重复性</w:t>
            </w:r>
          </w:p>
        </w:tc>
        <w:tc>
          <w:tcPr>
            <w:tcW w:w="52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零点漂移</w:t>
            </w:r>
          </w:p>
        </w:tc>
        <w:tc>
          <w:tcPr>
            <w:tcW w:w="52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量程漂移</w:t>
            </w:r>
          </w:p>
        </w:tc>
        <w:tc>
          <w:tcPr>
            <w:tcW w:w="52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定量下限</w:t>
            </w:r>
          </w:p>
        </w:tc>
        <w:tc>
          <w:tcPr>
            <w:tcW w:w="52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0.05mg/L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实际废水样品比对实验</w:t>
            </w:r>
          </w:p>
        </w:tc>
        <w:tc>
          <w:tcPr>
            <w:tcW w:w="52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最小测量周期</w:t>
            </w:r>
          </w:p>
        </w:tc>
        <w:tc>
          <w:tcPr>
            <w:tcW w:w="52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≤30min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一次测量试剂消耗量</w:t>
            </w:r>
          </w:p>
        </w:tc>
        <w:tc>
          <w:tcPr>
            <w:tcW w:w="52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1.4ml（试剂更换时间：》30d）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平均无故障运行时间</w:t>
            </w:r>
          </w:p>
        </w:tc>
        <w:tc>
          <w:tcPr>
            <w:tcW w:w="52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≥1440h/次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电源要求</w:t>
            </w:r>
          </w:p>
        </w:tc>
        <w:tc>
          <w:tcPr>
            <w:tcW w:w="52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220VAC</w:t>
            </w:r>
            <w:r>
              <w:rPr>
                <w:rFonts w:hint="eastAsia" w:ascii="仿宋" w:hAnsi="仿宋" w:eastAsia="仿宋" w:cs="仿宋"/>
                <w:kern w:val="0"/>
                <w:sz w:val="28"/>
                <w:szCs w:val="28"/>
              </w:rPr>
              <w:object>
                <v:shape id="_x0000_i1025" o:spt="75" type="#_x0000_t75" style="height:12pt;width:11.25pt;" o:ole="t" filled="f" o:preferrelative="t" stroked="f" coordsize="21600,21600">
                  <v:path/>
                  <v:fill on="f" focussize="0,0"/>
                  <v:stroke on="f" joinstyle="miter"/>
                  <v:imagedata r:id="rId14" o:title=""/>
                  <o:lock v:ext="edit" aspectratio="t"/>
                  <w10:wrap type="none"/>
                  <w10:anchorlock/>
                </v:shape>
                <o:OLEObject Type="Embed" ProgID="Equation.3" ShapeID="_x0000_i1025" DrawAspect="Content" ObjectID="_1468075725" r:id="rId13">
                  <o:LockedField>false</o:LockedField>
                </o:OLEObject>
              </w:object>
            </w:r>
            <w:r>
              <w:rPr>
                <w:rFonts w:hint="eastAsia" w:ascii="仿宋" w:hAnsi="仿宋" w:eastAsia="仿宋" w:cs="仿宋"/>
                <w:kern w:val="0"/>
                <w:sz w:val="28"/>
                <w:szCs w:val="28"/>
              </w:rPr>
              <w:t>10%/50～60Hz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模拟输出及通讯</w:t>
            </w:r>
          </w:p>
        </w:tc>
        <w:tc>
          <w:tcPr>
            <w:tcW w:w="52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4～20mA  RS-232/RS-485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工作环境</w:t>
            </w:r>
          </w:p>
        </w:tc>
        <w:tc>
          <w:tcPr>
            <w:tcW w:w="52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5～45℃，RH≤90%</w:t>
            </w:r>
          </w:p>
        </w:tc>
      </w:tr>
    </w:tbl>
    <w:p>
      <w:pPr>
        <w:rPr>
          <w:rFonts w:ascii="仿宋" w:hAnsi="仿宋" w:eastAsia="仿宋" w:cs="仿宋"/>
        </w:rPr>
      </w:pPr>
    </w:p>
    <w:p>
      <w:pPr>
        <w:pStyle w:val="6"/>
        <w:numPr>
          <w:ilvl w:val="0"/>
          <w:numId w:val="2"/>
        </w:numPr>
        <w:spacing w:line="288" w:lineRule="auto"/>
        <w:rPr>
          <w:rFonts w:ascii="仿宋" w:hAnsi="仿宋" w:eastAsia="仿宋" w:cs="仿宋"/>
        </w:rPr>
      </w:pPr>
      <w:r>
        <w:rPr>
          <w:rFonts w:hint="eastAsia" w:ascii="仿宋" w:hAnsi="仿宋" w:eastAsia="仿宋" w:cs="仿宋"/>
        </w:rPr>
        <w:t>硝酸盐氮分析仪</w:t>
      </w:r>
    </w:p>
    <w:p>
      <w:pPr>
        <w:pStyle w:val="7"/>
        <w:numPr>
          <w:ilvl w:val="255"/>
          <w:numId w:val="0"/>
        </w:numPr>
        <w:spacing w:line="288" w:lineRule="auto"/>
        <w:rPr>
          <w:rFonts w:ascii="仿宋" w:hAnsi="仿宋" w:eastAsia="仿宋" w:cs="仿宋"/>
        </w:rPr>
      </w:pPr>
      <w:r>
        <w:rPr>
          <w:rFonts w:hint="eastAsia" w:ascii="仿宋" w:hAnsi="仿宋" w:eastAsia="仿宋" w:cs="仿宋"/>
        </w:rPr>
        <w:t>2.1 功能要求</w:t>
      </w:r>
    </w:p>
    <w:p>
      <w:pPr>
        <w:numPr>
          <w:ilvl w:val="0"/>
          <w:numId w:val="3"/>
        </w:numPr>
        <w:spacing w:line="288" w:lineRule="auto"/>
        <w:ind w:left="0"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仪表微型化，集成度高，便于运输和安装</w:t>
      </w:r>
    </w:p>
    <w:p>
      <w:pPr>
        <w:numPr>
          <w:ilvl w:val="0"/>
          <w:numId w:val="3"/>
        </w:numPr>
        <w:spacing w:line="288" w:lineRule="auto"/>
        <w:ind w:left="0"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平台化和模块化设计，易于维护和快速修复，通用模块达95%以上</w:t>
      </w:r>
    </w:p>
    <w:p>
      <w:pPr>
        <w:numPr>
          <w:ilvl w:val="0"/>
          <w:numId w:val="3"/>
        </w:numPr>
        <w:spacing w:line="288" w:lineRule="auto"/>
        <w:ind w:left="0"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试剂消耗少，试剂余量监控及预警，整体更换试剂，及时提示，方便更换试剂</w:t>
      </w:r>
    </w:p>
    <w:p>
      <w:pPr>
        <w:numPr>
          <w:ilvl w:val="0"/>
          <w:numId w:val="3"/>
        </w:numPr>
        <w:spacing w:line="288" w:lineRule="auto"/>
        <w:ind w:left="0"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整套管路系统采用防腐蚀材料，并且前向维护，故障率低，维护量少，使用寿命延长</w:t>
      </w:r>
    </w:p>
    <w:p>
      <w:pPr>
        <w:numPr>
          <w:ilvl w:val="0"/>
          <w:numId w:val="3"/>
        </w:numPr>
        <w:spacing w:line="288" w:lineRule="auto"/>
        <w:ind w:left="0"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具备网络化质控功能，远程标样核查，仪表状态远程监控及软件远程在线升级</w:t>
      </w:r>
    </w:p>
    <w:p>
      <w:pPr>
        <w:numPr>
          <w:ilvl w:val="0"/>
          <w:numId w:val="3"/>
        </w:numPr>
        <w:spacing w:line="288" w:lineRule="auto"/>
        <w:ind w:left="0"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微量计量保证试剂消耗低，节约运营成本</w:t>
      </w:r>
    </w:p>
    <w:p>
      <w:pPr>
        <w:numPr>
          <w:ilvl w:val="0"/>
          <w:numId w:val="3"/>
        </w:numPr>
        <w:spacing w:line="288" w:lineRule="auto"/>
        <w:ind w:left="0"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自动/手动/网络远程测量、清洗与校准</w:t>
      </w:r>
    </w:p>
    <w:p>
      <w:pPr>
        <w:numPr>
          <w:ilvl w:val="0"/>
          <w:numId w:val="3"/>
        </w:numPr>
        <w:spacing w:line="288" w:lineRule="auto"/>
        <w:ind w:left="0"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故障报警、试剂余量预警、上电自检、断电保护功能</w:t>
      </w:r>
    </w:p>
    <w:p>
      <w:pPr>
        <w:numPr>
          <w:ilvl w:val="0"/>
          <w:numId w:val="3"/>
        </w:numPr>
        <w:spacing w:line="288" w:lineRule="auto"/>
        <w:ind w:left="0"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支持4-20mA、RS232、RS485通讯接口以及MODBUS通讯方式</w:t>
      </w:r>
    </w:p>
    <w:p>
      <w:pPr>
        <w:numPr>
          <w:ilvl w:val="0"/>
          <w:numId w:val="3"/>
        </w:numPr>
        <w:spacing w:line="288" w:lineRule="auto"/>
        <w:ind w:left="0"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采用进口触摸屏，中文界面显示，完善的用户权限管理</w:t>
      </w:r>
    </w:p>
    <w:p>
      <w:pPr>
        <w:numPr>
          <w:ilvl w:val="0"/>
          <w:numId w:val="3"/>
        </w:numPr>
        <w:spacing w:line="288" w:lineRule="auto"/>
        <w:ind w:left="0"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 xml:space="preserve">▲高精度计量功能，采用蠕动泵光电计量方式，避免活塞泵和注射泵带来的高维护量； </w:t>
      </w:r>
    </w:p>
    <w:p>
      <w:pPr>
        <w:numPr>
          <w:ilvl w:val="0"/>
          <w:numId w:val="3"/>
        </w:numPr>
        <w:spacing w:line="288" w:lineRule="auto"/>
        <w:ind w:left="0" w:firstLine="560" w:firstLineChars="200"/>
        <w:jc w:val="left"/>
      </w:pPr>
      <w:r>
        <w:rPr>
          <w:rFonts w:hint="eastAsia" w:ascii="仿宋" w:hAnsi="仿宋" w:eastAsia="仿宋" w:cs="仿宋"/>
          <w:kern w:val="0"/>
          <w:sz w:val="28"/>
          <w:szCs w:val="28"/>
        </w:rPr>
        <w:t xml:space="preserve">▲采用多通切阀系统,实现多通道实时切换； </w:t>
      </w:r>
    </w:p>
    <w:p>
      <w:pPr>
        <w:numPr>
          <w:ilvl w:val="0"/>
          <w:numId w:val="3"/>
        </w:numPr>
        <w:spacing w:line="288"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▲具有自动标定、测量、清洗以及标样核查功能</w:t>
      </w:r>
    </w:p>
    <w:p>
      <w:pPr>
        <w:numPr>
          <w:ilvl w:val="0"/>
          <w:numId w:val="3"/>
        </w:numPr>
        <w:spacing w:line="288" w:lineRule="auto"/>
        <w:ind w:left="0"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▲具有试剂余量不足告警功能</w:t>
      </w:r>
    </w:p>
    <w:p>
      <w:pPr>
        <w:numPr>
          <w:ilvl w:val="0"/>
          <w:numId w:val="3"/>
        </w:numPr>
        <w:spacing w:line="288" w:lineRule="auto"/>
        <w:ind w:left="0"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▲具有仪表自检功能</w:t>
      </w:r>
    </w:p>
    <w:p>
      <w:pPr>
        <w:numPr>
          <w:ilvl w:val="0"/>
          <w:numId w:val="3"/>
        </w:numPr>
        <w:spacing w:line="288" w:lineRule="auto"/>
        <w:ind w:left="0"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▲具有超标留样功能</w:t>
      </w:r>
    </w:p>
    <w:p>
      <w:pPr>
        <w:numPr>
          <w:ilvl w:val="0"/>
          <w:numId w:val="3"/>
        </w:numPr>
        <w:spacing w:line="288" w:lineRule="auto"/>
        <w:ind w:left="0"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▲具有废液分离功能</w:t>
      </w:r>
    </w:p>
    <w:p>
      <w:pPr>
        <w:numPr>
          <w:ilvl w:val="0"/>
          <w:numId w:val="3"/>
        </w:numPr>
        <w:spacing w:line="288" w:lineRule="auto"/>
        <w:ind w:left="0"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▲具有远程操作和远程在线升级功能</w:t>
      </w:r>
    </w:p>
    <w:p>
      <w:pPr>
        <w:numPr>
          <w:ilvl w:val="0"/>
          <w:numId w:val="3"/>
        </w:numPr>
        <w:spacing w:line="288" w:lineRule="auto"/>
        <w:ind w:left="0"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▲具有智能量程选择功能</w:t>
      </w:r>
    </w:p>
    <w:p>
      <w:pPr>
        <w:numPr>
          <w:ilvl w:val="0"/>
          <w:numId w:val="3"/>
        </w:numPr>
        <w:spacing w:line="288" w:lineRule="auto"/>
        <w:ind w:left="0"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▲具有仪表开门记录功能</w:t>
      </w:r>
    </w:p>
    <w:p>
      <w:pPr>
        <w:pStyle w:val="7"/>
        <w:numPr>
          <w:ilvl w:val="255"/>
          <w:numId w:val="0"/>
        </w:numPr>
        <w:spacing w:line="288" w:lineRule="auto"/>
        <w:rPr>
          <w:rFonts w:ascii="仿宋" w:hAnsi="仿宋" w:eastAsia="仿宋" w:cs="仿宋"/>
        </w:rPr>
      </w:pPr>
      <w:r>
        <w:rPr>
          <w:rFonts w:hint="eastAsia" w:ascii="仿宋" w:hAnsi="仿宋" w:eastAsia="仿宋" w:cs="仿宋"/>
        </w:rPr>
        <w:t>2.2 技术参数要求</w:t>
      </w:r>
    </w:p>
    <w:tbl>
      <w:tblPr>
        <w:tblStyle w:val="27"/>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4"/>
        <w:gridCol w:w="5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测量方法</w:t>
            </w:r>
          </w:p>
        </w:tc>
        <w:tc>
          <w:tcPr>
            <w:tcW w:w="5244" w:type="dxa"/>
            <w:vAlign w:val="center"/>
          </w:tcPr>
          <w:p>
            <w:pPr>
              <w:tabs>
                <w:tab w:val="left" w:pos="2049"/>
              </w:tabs>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紫外分光光度法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测量范围</w:t>
            </w:r>
          </w:p>
        </w:tc>
        <w:tc>
          <w:tcPr>
            <w:tcW w:w="52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0~2.0/10.0/50.0mg/L（可扩展）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定量下限</w:t>
            </w:r>
          </w:p>
        </w:tc>
        <w:tc>
          <w:tcPr>
            <w:tcW w:w="52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0.15mg/L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检测限</w:t>
            </w:r>
          </w:p>
        </w:tc>
        <w:tc>
          <w:tcPr>
            <w:tcW w:w="52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0.05mg/L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重复性</w:t>
            </w:r>
          </w:p>
        </w:tc>
        <w:tc>
          <w:tcPr>
            <w:tcW w:w="52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精密度</w:t>
            </w:r>
          </w:p>
        </w:tc>
        <w:tc>
          <w:tcPr>
            <w:tcW w:w="52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准确度</w:t>
            </w:r>
          </w:p>
        </w:tc>
        <w:tc>
          <w:tcPr>
            <w:tcW w:w="52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平均无故障连续运行时间</w:t>
            </w:r>
          </w:p>
        </w:tc>
        <w:tc>
          <w:tcPr>
            <w:tcW w:w="52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object>
                <v:shape id="_x0000_i1026" o:spt="75" type="#_x0000_t75" style="height:10.5pt;width:9.75pt;" o:ole="t" filled="f" o:preferrelative="t" stroked="f" coordsize="21600,21600">
                  <v:path/>
                  <v:fill on="f" focussize="0,0"/>
                  <v:stroke on="f" joinstyle="miter"/>
                  <v:imagedata r:id="rId16" o:title=""/>
                  <o:lock v:ext="edit" aspectratio="t"/>
                  <w10:wrap type="none"/>
                  <w10:anchorlock/>
                </v:shape>
                <o:OLEObject Type="Embed" ProgID="Equation.3" ShapeID="_x0000_i1026" DrawAspect="Content" ObjectID="_1468075726" r:id="rId15">
                  <o:LockedField>false</o:LockedField>
                </o:OLEObject>
              </w:object>
            </w:r>
            <w:r>
              <w:rPr>
                <w:rFonts w:hint="eastAsia" w:ascii="仿宋" w:hAnsi="仿宋" w:eastAsia="仿宋" w:cs="仿宋"/>
                <w:kern w:val="0"/>
                <w:sz w:val="28"/>
                <w:szCs w:val="28"/>
              </w:rPr>
              <w:t>1440h/次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零点漂移</w:t>
            </w:r>
          </w:p>
        </w:tc>
        <w:tc>
          <w:tcPr>
            <w:tcW w:w="52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量程漂移</w:t>
            </w:r>
          </w:p>
        </w:tc>
        <w:tc>
          <w:tcPr>
            <w:tcW w:w="52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实际水样对比试验</w:t>
            </w:r>
          </w:p>
        </w:tc>
        <w:tc>
          <w:tcPr>
            <w:tcW w:w="52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测量间隔时间</w:t>
            </w:r>
          </w:p>
        </w:tc>
        <w:tc>
          <w:tcPr>
            <w:tcW w:w="52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间隔测量（1～9999 min）、整点测量、手动/远程触发测量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校准模式</w:t>
            </w:r>
          </w:p>
        </w:tc>
        <w:tc>
          <w:tcPr>
            <w:tcW w:w="52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自动校准（可设置校准间隔）、手动/远程触发校准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电源要求</w:t>
            </w:r>
          </w:p>
        </w:tc>
        <w:tc>
          <w:tcPr>
            <w:tcW w:w="52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220VAC±10%/50±0.5Hz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模拟输出及通讯</w:t>
            </w:r>
          </w:p>
        </w:tc>
        <w:tc>
          <w:tcPr>
            <w:tcW w:w="52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4～20mA  RS-232/RS-485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工作环境</w:t>
            </w:r>
          </w:p>
        </w:tc>
        <w:tc>
          <w:tcPr>
            <w:tcW w:w="524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5～45℃，RH≤90%</w:t>
            </w:r>
          </w:p>
        </w:tc>
      </w:tr>
    </w:tbl>
    <w:p>
      <w:pPr>
        <w:pStyle w:val="6"/>
        <w:numPr>
          <w:ilvl w:val="0"/>
          <w:numId w:val="2"/>
        </w:numPr>
        <w:spacing w:line="288" w:lineRule="auto"/>
        <w:rPr>
          <w:rFonts w:ascii="仿宋" w:hAnsi="仿宋" w:eastAsia="仿宋" w:cs="仿宋"/>
        </w:rPr>
      </w:pPr>
      <w:r>
        <w:rPr>
          <w:rFonts w:hint="eastAsia" w:ascii="仿宋" w:hAnsi="仿宋" w:eastAsia="仿宋" w:cs="仿宋"/>
        </w:rPr>
        <w:t>磷酸盐分析仪</w:t>
      </w:r>
    </w:p>
    <w:p>
      <w:pPr>
        <w:pStyle w:val="7"/>
        <w:numPr>
          <w:ilvl w:val="0"/>
          <w:numId w:val="4"/>
        </w:numPr>
        <w:spacing w:line="288" w:lineRule="auto"/>
        <w:rPr>
          <w:rFonts w:ascii="仿宋" w:hAnsi="仿宋" w:eastAsia="仿宋" w:cs="仿宋"/>
        </w:rPr>
      </w:pPr>
      <w:r>
        <w:rPr>
          <w:rFonts w:hint="eastAsia" w:ascii="仿宋" w:hAnsi="仿宋" w:eastAsia="仿宋" w:cs="仿宋"/>
        </w:rPr>
        <w:t>功能要求</w:t>
      </w:r>
    </w:p>
    <w:p>
      <w:pPr>
        <w:numPr>
          <w:ilvl w:val="0"/>
          <w:numId w:val="5"/>
        </w:numPr>
        <w:spacing w:line="288" w:lineRule="auto"/>
        <w:ind w:leftChars="200" w:firstLine="420"/>
        <w:jc w:val="left"/>
        <w:rPr>
          <w:rFonts w:ascii="仿宋" w:hAnsi="仿宋" w:eastAsia="仿宋" w:cs="仿宋"/>
          <w:kern w:val="0"/>
          <w:sz w:val="28"/>
          <w:szCs w:val="28"/>
        </w:rPr>
      </w:pPr>
      <w:r>
        <w:rPr>
          <w:rFonts w:hint="eastAsia" w:ascii="仿宋" w:hAnsi="仿宋" w:eastAsia="仿宋" w:cs="仿宋"/>
          <w:kern w:val="0"/>
          <w:sz w:val="28"/>
          <w:szCs w:val="28"/>
        </w:rPr>
        <w:t>采用特定掩蔽剂组合，可使水样中少量的砷、铬离子不干扰测定</w:t>
      </w:r>
    </w:p>
    <w:p>
      <w:pPr>
        <w:numPr>
          <w:ilvl w:val="0"/>
          <w:numId w:val="5"/>
        </w:numPr>
        <w:spacing w:line="288" w:lineRule="auto"/>
        <w:ind w:leftChars="200" w:firstLine="420"/>
        <w:jc w:val="left"/>
        <w:rPr>
          <w:rFonts w:ascii="仿宋" w:hAnsi="仿宋" w:eastAsia="仿宋" w:cs="仿宋"/>
          <w:kern w:val="0"/>
          <w:sz w:val="28"/>
          <w:szCs w:val="28"/>
        </w:rPr>
      </w:pPr>
      <w:r>
        <w:rPr>
          <w:rFonts w:hint="eastAsia" w:ascii="仿宋" w:hAnsi="仿宋" w:eastAsia="仿宋" w:cs="仿宋"/>
          <w:kern w:val="0"/>
          <w:sz w:val="28"/>
          <w:szCs w:val="28"/>
        </w:rPr>
        <w:t>仪表微型化，集成度高，体积只有电脑主机大小，便于运输和安装</w:t>
      </w:r>
    </w:p>
    <w:p>
      <w:pPr>
        <w:numPr>
          <w:ilvl w:val="0"/>
          <w:numId w:val="5"/>
        </w:numPr>
        <w:spacing w:line="288" w:lineRule="auto"/>
        <w:ind w:leftChars="200" w:firstLine="420"/>
        <w:jc w:val="left"/>
        <w:rPr>
          <w:rFonts w:ascii="仿宋" w:hAnsi="仿宋" w:eastAsia="仿宋" w:cs="仿宋"/>
          <w:kern w:val="0"/>
          <w:sz w:val="28"/>
          <w:szCs w:val="28"/>
        </w:rPr>
      </w:pPr>
      <w:r>
        <w:rPr>
          <w:rFonts w:hint="eastAsia" w:ascii="仿宋" w:hAnsi="仿宋" w:eastAsia="仿宋" w:cs="仿宋"/>
          <w:kern w:val="0"/>
          <w:sz w:val="28"/>
          <w:szCs w:val="28"/>
        </w:rPr>
        <w:t>平台化和模块化设计，易于维护和快速修复</w:t>
      </w:r>
    </w:p>
    <w:p>
      <w:pPr>
        <w:numPr>
          <w:ilvl w:val="0"/>
          <w:numId w:val="5"/>
        </w:numPr>
        <w:spacing w:line="288" w:lineRule="auto"/>
        <w:ind w:leftChars="200" w:firstLine="420"/>
        <w:jc w:val="left"/>
        <w:rPr>
          <w:rFonts w:ascii="仿宋" w:hAnsi="仿宋" w:eastAsia="仿宋" w:cs="仿宋"/>
          <w:kern w:val="0"/>
          <w:sz w:val="28"/>
          <w:szCs w:val="28"/>
        </w:rPr>
      </w:pPr>
      <w:r>
        <w:rPr>
          <w:rFonts w:hint="eastAsia" w:ascii="仿宋" w:hAnsi="仿宋" w:eastAsia="仿宋" w:cs="仿宋"/>
          <w:kern w:val="0"/>
          <w:sz w:val="28"/>
          <w:szCs w:val="28"/>
        </w:rPr>
        <w:t>试剂消耗少，试剂余量监控及预警，整体更换试剂，及时提示客户方便更换试剂</w:t>
      </w:r>
    </w:p>
    <w:p>
      <w:pPr>
        <w:numPr>
          <w:ilvl w:val="0"/>
          <w:numId w:val="5"/>
        </w:numPr>
        <w:spacing w:line="288" w:lineRule="auto"/>
        <w:ind w:leftChars="200" w:firstLine="420"/>
        <w:jc w:val="left"/>
        <w:rPr>
          <w:rFonts w:ascii="仿宋" w:hAnsi="仿宋" w:eastAsia="仿宋" w:cs="仿宋"/>
          <w:kern w:val="0"/>
          <w:sz w:val="28"/>
          <w:szCs w:val="28"/>
        </w:rPr>
      </w:pPr>
      <w:r>
        <w:rPr>
          <w:rFonts w:hint="eastAsia" w:ascii="仿宋" w:hAnsi="仿宋" w:eastAsia="仿宋" w:cs="仿宋"/>
          <w:kern w:val="0"/>
          <w:sz w:val="28"/>
          <w:szCs w:val="28"/>
        </w:rPr>
        <w:t>整套管路系统采用防腐蚀材料，并且前向维护，故障率低，维护量少，使用寿命延长</w:t>
      </w:r>
    </w:p>
    <w:p>
      <w:pPr>
        <w:numPr>
          <w:ilvl w:val="0"/>
          <w:numId w:val="5"/>
        </w:numPr>
        <w:spacing w:line="288" w:lineRule="auto"/>
        <w:ind w:leftChars="200" w:firstLine="420"/>
        <w:jc w:val="left"/>
        <w:rPr>
          <w:rFonts w:ascii="仿宋" w:hAnsi="仿宋" w:eastAsia="仿宋" w:cs="仿宋"/>
          <w:kern w:val="0"/>
          <w:sz w:val="28"/>
          <w:szCs w:val="28"/>
        </w:rPr>
      </w:pPr>
      <w:r>
        <w:rPr>
          <w:rFonts w:hint="eastAsia" w:ascii="仿宋" w:hAnsi="仿宋" w:eastAsia="仿宋" w:cs="仿宋"/>
          <w:kern w:val="0"/>
          <w:sz w:val="28"/>
          <w:szCs w:val="28"/>
        </w:rPr>
        <w:t>具备网络化质控功能，远程标样核查，仪表状态远程监控及软件远程在线升级</w:t>
      </w:r>
    </w:p>
    <w:p>
      <w:pPr>
        <w:numPr>
          <w:ilvl w:val="0"/>
          <w:numId w:val="5"/>
        </w:numPr>
        <w:spacing w:line="288" w:lineRule="auto"/>
        <w:ind w:leftChars="200" w:firstLine="420"/>
        <w:jc w:val="left"/>
        <w:rPr>
          <w:rFonts w:ascii="仿宋" w:hAnsi="仿宋" w:eastAsia="仿宋" w:cs="仿宋"/>
          <w:kern w:val="0"/>
          <w:sz w:val="28"/>
          <w:szCs w:val="28"/>
        </w:rPr>
      </w:pPr>
      <w:r>
        <w:rPr>
          <w:rFonts w:hint="eastAsia" w:ascii="仿宋" w:hAnsi="仿宋" w:eastAsia="仿宋" w:cs="仿宋"/>
          <w:kern w:val="0"/>
          <w:sz w:val="28"/>
          <w:szCs w:val="28"/>
        </w:rPr>
        <w:t>微量计量保证试剂消耗低，节约运营成本</w:t>
      </w:r>
    </w:p>
    <w:p>
      <w:pPr>
        <w:numPr>
          <w:ilvl w:val="0"/>
          <w:numId w:val="5"/>
        </w:numPr>
        <w:spacing w:line="288" w:lineRule="auto"/>
        <w:ind w:leftChars="200" w:firstLine="420"/>
        <w:jc w:val="left"/>
        <w:rPr>
          <w:rFonts w:ascii="仿宋" w:hAnsi="仿宋" w:eastAsia="仿宋" w:cs="仿宋"/>
          <w:kern w:val="0"/>
          <w:sz w:val="28"/>
          <w:szCs w:val="28"/>
        </w:rPr>
      </w:pPr>
      <w:r>
        <w:rPr>
          <w:rFonts w:hint="eastAsia" w:ascii="仿宋" w:hAnsi="仿宋" w:eastAsia="仿宋" w:cs="仿宋"/>
          <w:kern w:val="0"/>
          <w:sz w:val="28"/>
          <w:szCs w:val="28"/>
        </w:rPr>
        <w:t>自动/手动/网络远程测量、清洗与校准</w:t>
      </w:r>
    </w:p>
    <w:p>
      <w:pPr>
        <w:numPr>
          <w:ilvl w:val="0"/>
          <w:numId w:val="5"/>
        </w:numPr>
        <w:spacing w:line="288" w:lineRule="auto"/>
        <w:ind w:leftChars="200" w:firstLine="420"/>
        <w:jc w:val="left"/>
        <w:rPr>
          <w:rFonts w:ascii="仿宋" w:hAnsi="仿宋" w:eastAsia="仿宋" w:cs="仿宋"/>
          <w:kern w:val="0"/>
          <w:sz w:val="28"/>
          <w:szCs w:val="28"/>
        </w:rPr>
      </w:pPr>
      <w:r>
        <w:rPr>
          <w:rFonts w:hint="eastAsia" w:ascii="仿宋" w:hAnsi="仿宋" w:eastAsia="仿宋" w:cs="仿宋"/>
          <w:kern w:val="0"/>
          <w:sz w:val="28"/>
          <w:szCs w:val="28"/>
        </w:rPr>
        <w:t>故障报警、试剂余量预警、上电自检、断电保护功能</w:t>
      </w:r>
    </w:p>
    <w:p>
      <w:pPr>
        <w:numPr>
          <w:ilvl w:val="0"/>
          <w:numId w:val="5"/>
        </w:numPr>
        <w:spacing w:line="288" w:lineRule="auto"/>
        <w:ind w:leftChars="200" w:firstLine="420"/>
        <w:jc w:val="left"/>
        <w:rPr>
          <w:rFonts w:ascii="仿宋" w:hAnsi="仿宋" w:eastAsia="仿宋" w:cs="仿宋"/>
          <w:kern w:val="0"/>
          <w:sz w:val="28"/>
          <w:szCs w:val="28"/>
        </w:rPr>
      </w:pPr>
      <w:r>
        <w:rPr>
          <w:rFonts w:hint="eastAsia" w:ascii="仿宋" w:hAnsi="仿宋" w:eastAsia="仿宋" w:cs="仿宋"/>
          <w:kern w:val="0"/>
          <w:sz w:val="28"/>
          <w:szCs w:val="28"/>
        </w:rPr>
        <w:t>支持4-20mA、RS232、RS485通讯接口以及MODBUS通讯方式</w:t>
      </w:r>
    </w:p>
    <w:p>
      <w:pPr>
        <w:numPr>
          <w:ilvl w:val="0"/>
          <w:numId w:val="5"/>
        </w:numPr>
        <w:spacing w:line="288" w:lineRule="auto"/>
        <w:ind w:leftChars="200" w:firstLine="420"/>
        <w:jc w:val="left"/>
        <w:rPr>
          <w:rFonts w:ascii="仿宋" w:hAnsi="仿宋" w:eastAsia="仿宋" w:cs="仿宋"/>
          <w:kern w:val="0"/>
          <w:sz w:val="28"/>
          <w:szCs w:val="28"/>
        </w:rPr>
      </w:pPr>
      <w:r>
        <w:rPr>
          <w:rFonts w:hint="eastAsia" w:ascii="仿宋" w:hAnsi="仿宋" w:eastAsia="仿宋" w:cs="仿宋"/>
          <w:kern w:val="0"/>
          <w:sz w:val="28"/>
          <w:szCs w:val="28"/>
        </w:rPr>
        <w:t>采用进口触摸屏，中文界面显示，完善的用户权限管理</w:t>
      </w:r>
    </w:p>
    <w:p>
      <w:pPr>
        <w:numPr>
          <w:ilvl w:val="0"/>
          <w:numId w:val="5"/>
        </w:numPr>
        <w:spacing w:line="288" w:lineRule="auto"/>
        <w:ind w:leftChars="200" w:firstLine="420"/>
        <w:jc w:val="left"/>
        <w:rPr>
          <w:rFonts w:ascii="仿宋" w:hAnsi="仿宋" w:eastAsia="仿宋" w:cs="仿宋"/>
          <w:kern w:val="0"/>
          <w:sz w:val="28"/>
          <w:szCs w:val="28"/>
        </w:rPr>
      </w:pPr>
      <w:r>
        <w:rPr>
          <w:rFonts w:hint="eastAsia" w:ascii="仿宋" w:hAnsi="仿宋" w:eastAsia="仿宋" w:cs="仿宋"/>
          <w:kern w:val="0"/>
          <w:sz w:val="28"/>
          <w:szCs w:val="28"/>
        </w:rPr>
        <w:t xml:space="preserve">▲高精度计量功能，采用蠕动泵光电计量方式，避免活塞泵和注射泵带来的高维护量； </w:t>
      </w:r>
    </w:p>
    <w:p>
      <w:pPr>
        <w:numPr>
          <w:ilvl w:val="0"/>
          <w:numId w:val="5"/>
        </w:numPr>
        <w:spacing w:line="288" w:lineRule="auto"/>
        <w:ind w:leftChars="200" w:firstLine="420"/>
        <w:jc w:val="left"/>
      </w:pPr>
      <w:r>
        <w:rPr>
          <w:rFonts w:hint="eastAsia" w:ascii="仿宋" w:hAnsi="仿宋" w:eastAsia="仿宋" w:cs="仿宋"/>
          <w:kern w:val="0"/>
          <w:sz w:val="28"/>
          <w:szCs w:val="28"/>
        </w:rPr>
        <w:t xml:space="preserve">▲采用多通切阀系统,实现多通道实时切换； </w:t>
      </w:r>
    </w:p>
    <w:p>
      <w:pPr>
        <w:numPr>
          <w:ilvl w:val="0"/>
          <w:numId w:val="5"/>
        </w:numPr>
        <w:spacing w:line="288" w:lineRule="auto"/>
        <w:ind w:leftChars="200" w:firstLine="420"/>
        <w:jc w:val="left"/>
        <w:rPr>
          <w:rFonts w:ascii="仿宋" w:hAnsi="仿宋" w:eastAsia="仿宋" w:cs="仿宋"/>
          <w:kern w:val="0"/>
          <w:sz w:val="28"/>
          <w:szCs w:val="28"/>
        </w:rPr>
      </w:pPr>
      <w:r>
        <w:rPr>
          <w:rFonts w:hint="eastAsia" w:ascii="仿宋" w:hAnsi="仿宋" w:eastAsia="仿宋" w:cs="仿宋"/>
          <w:kern w:val="0"/>
          <w:sz w:val="28"/>
          <w:szCs w:val="28"/>
        </w:rPr>
        <w:t>▲具有自动标定、测量、清洗以及标样核查功能</w:t>
      </w:r>
    </w:p>
    <w:p>
      <w:pPr>
        <w:numPr>
          <w:ilvl w:val="0"/>
          <w:numId w:val="5"/>
        </w:numPr>
        <w:spacing w:line="288" w:lineRule="auto"/>
        <w:ind w:leftChars="200" w:firstLine="420"/>
        <w:jc w:val="left"/>
        <w:rPr>
          <w:rFonts w:ascii="仿宋" w:hAnsi="仿宋" w:eastAsia="仿宋" w:cs="仿宋"/>
          <w:kern w:val="0"/>
          <w:sz w:val="28"/>
          <w:szCs w:val="28"/>
        </w:rPr>
      </w:pPr>
      <w:r>
        <w:rPr>
          <w:rFonts w:hint="eastAsia" w:ascii="仿宋" w:hAnsi="仿宋" w:eastAsia="仿宋" w:cs="仿宋"/>
          <w:kern w:val="0"/>
          <w:sz w:val="28"/>
          <w:szCs w:val="28"/>
        </w:rPr>
        <w:t>▲具有试剂余量不足告警功能</w:t>
      </w:r>
    </w:p>
    <w:p>
      <w:pPr>
        <w:numPr>
          <w:ilvl w:val="0"/>
          <w:numId w:val="5"/>
        </w:numPr>
        <w:spacing w:line="288" w:lineRule="auto"/>
        <w:ind w:leftChars="200" w:firstLine="420"/>
        <w:jc w:val="left"/>
        <w:rPr>
          <w:rFonts w:ascii="仿宋" w:hAnsi="仿宋" w:eastAsia="仿宋" w:cs="仿宋"/>
          <w:kern w:val="0"/>
          <w:sz w:val="28"/>
          <w:szCs w:val="28"/>
        </w:rPr>
      </w:pPr>
      <w:r>
        <w:rPr>
          <w:rFonts w:hint="eastAsia" w:ascii="仿宋" w:hAnsi="仿宋" w:eastAsia="仿宋" w:cs="仿宋"/>
          <w:kern w:val="0"/>
          <w:sz w:val="28"/>
          <w:szCs w:val="28"/>
        </w:rPr>
        <w:t>▲具有仪表自检功能</w:t>
      </w:r>
    </w:p>
    <w:p>
      <w:pPr>
        <w:numPr>
          <w:ilvl w:val="0"/>
          <w:numId w:val="5"/>
        </w:numPr>
        <w:spacing w:line="288" w:lineRule="auto"/>
        <w:ind w:leftChars="200" w:firstLine="420"/>
        <w:jc w:val="left"/>
        <w:rPr>
          <w:rFonts w:ascii="仿宋" w:hAnsi="仿宋" w:eastAsia="仿宋" w:cs="仿宋"/>
          <w:kern w:val="0"/>
          <w:sz w:val="28"/>
          <w:szCs w:val="28"/>
        </w:rPr>
      </w:pPr>
      <w:r>
        <w:rPr>
          <w:rFonts w:hint="eastAsia" w:ascii="仿宋" w:hAnsi="仿宋" w:eastAsia="仿宋" w:cs="仿宋"/>
          <w:kern w:val="0"/>
          <w:sz w:val="28"/>
          <w:szCs w:val="28"/>
        </w:rPr>
        <w:t>▲具有超标留样功能</w:t>
      </w:r>
    </w:p>
    <w:p>
      <w:pPr>
        <w:numPr>
          <w:ilvl w:val="0"/>
          <w:numId w:val="5"/>
        </w:numPr>
        <w:spacing w:line="288" w:lineRule="auto"/>
        <w:ind w:leftChars="200" w:firstLine="420"/>
        <w:jc w:val="left"/>
        <w:rPr>
          <w:rFonts w:ascii="仿宋" w:hAnsi="仿宋" w:eastAsia="仿宋" w:cs="仿宋"/>
          <w:kern w:val="0"/>
          <w:sz w:val="28"/>
          <w:szCs w:val="28"/>
        </w:rPr>
      </w:pPr>
      <w:r>
        <w:rPr>
          <w:rFonts w:hint="eastAsia" w:ascii="仿宋" w:hAnsi="仿宋" w:eastAsia="仿宋" w:cs="仿宋"/>
          <w:kern w:val="0"/>
          <w:sz w:val="28"/>
          <w:szCs w:val="28"/>
        </w:rPr>
        <w:t>▲具有废液分离功能</w:t>
      </w:r>
    </w:p>
    <w:p>
      <w:pPr>
        <w:numPr>
          <w:ilvl w:val="0"/>
          <w:numId w:val="5"/>
        </w:numPr>
        <w:spacing w:line="288" w:lineRule="auto"/>
        <w:ind w:leftChars="200" w:firstLine="420"/>
        <w:jc w:val="left"/>
        <w:rPr>
          <w:rFonts w:ascii="仿宋" w:hAnsi="仿宋" w:eastAsia="仿宋" w:cs="仿宋"/>
          <w:kern w:val="0"/>
          <w:sz w:val="28"/>
          <w:szCs w:val="28"/>
        </w:rPr>
      </w:pPr>
      <w:r>
        <w:rPr>
          <w:rFonts w:hint="eastAsia" w:ascii="仿宋" w:hAnsi="仿宋" w:eastAsia="仿宋" w:cs="仿宋"/>
          <w:kern w:val="0"/>
          <w:sz w:val="28"/>
          <w:szCs w:val="28"/>
        </w:rPr>
        <w:t>▲具有远程操作和远程在线升级功能</w:t>
      </w:r>
    </w:p>
    <w:p>
      <w:pPr>
        <w:numPr>
          <w:ilvl w:val="0"/>
          <w:numId w:val="5"/>
        </w:numPr>
        <w:spacing w:line="288" w:lineRule="auto"/>
        <w:ind w:leftChars="200" w:firstLine="420"/>
        <w:jc w:val="left"/>
        <w:rPr>
          <w:rFonts w:ascii="仿宋" w:hAnsi="仿宋" w:eastAsia="仿宋" w:cs="仿宋"/>
          <w:kern w:val="0"/>
          <w:sz w:val="28"/>
          <w:szCs w:val="28"/>
        </w:rPr>
      </w:pPr>
      <w:r>
        <w:rPr>
          <w:rFonts w:hint="eastAsia" w:ascii="仿宋" w:hAnsi="仿宋" w:eastAsia="仿宋" w:cs="仿宋"/>
          <w:kern w:val="0"/>
          <w:sz w:val="28"/>
          <w:szCs w:val="28"/>
        </w:rPr>
        <w:t>▲具有智能量程选择功能</w:t>
      </w:r>
    </w:p>
    <w:p>
      <w:pPr>
        <w:numPr>
          <w:ilvl w:val="0"/>
          <w:numId w:val="5"/>
        </w:numPr>
        <w:spacing w:line="288" w:lineRule="auto"/>
        <w:ind w:leftChars="200" w:firstLine="420"/>
        <w:jc w:val="left"/>
        <w:rPr>
          <w:rFonts w:ascii="仿宋" w:hAnsi="仿宋" w:eastAsia="仿宋" w:cs="仿宋"/>
          <w:kern w:val="0"/>
          <w:sz w:val="28"/>
          <w:szCs w:val="28"/>
        </w:rPr>
      </w:pPr>
      <w:r>
        <w:rPr>
          <w:rFonts w:hint="eastAsia" w:ascii="仿宋" w:hAnsi="仿宋" w:eastAsia="仿宋" w:cs="仿宋"/>
          <w:kern w:val="0"/>
          <w:sz w:val="28"/>
          <w:szCs w:val="28"/>
        </w:rPr>
        <w:t>▲具有仪表开门记录功能</w:t>
      </w:r>
    </w:p>
    <w:p>
      <w:pPr>
        <w:pStyle w:val="7"/>
        <w:numPr>
          <w:ilvl w:val="0"/>
          <w:numId w:val="4"/>
        </w:numPr>
        <w:spacing w:line="288" w:lineRule="auto"/>
        <w:rPr>
          <w:rFonts w:ascii="仿宋" w:hAnsi="仿宋" w:eastAsia="仿宋" w:cs="仿宋"/>
        </w:rPr>
      </w:pPr>
      <w:r>
        <w:rPr>
          <w:rFonts w:hint="eastAsia" w:ascii="仿宋" w:hAnsi="仿宋" w:eastAsia="仿宋" w:cs="仿宋"/>
        </w:rPr>
        <w:t>技术参数要求</w:t>
      </w:r>
    </w:p>
    <w:tbl>
      <w:tblPr>
        <w:tblStyle w:val="27"/>
        <w:tblW w:w="8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1"/>
        <w:gridCol w:w="5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1" w:type="dxa"/>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测量方法</w:t>
            </w:r>
          </w:p>
        </w:tc>
        <w:tc>
          <w:tcPr>
            <w:tcW w:w="5474" w:type="dxa"/>
          </w:tcPr>
          <w:p>
            <w:pPr>
              <w:tabs>
                <w:tab w:val="left" w:pos="2049"/>
              </w:tabs>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钼酸铵分光光度法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1" w:type="dxa"/>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测量范围</w:t>
            </w:r>
          </w:p>
        </w:tc>
        <w:tc>
          <w:tcPr>
            <w:tcW w:w="5474" w:type="dxa"/>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0~2.0/10.0/50.0mg/L（可扩展）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1" w:type="dxa"/>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重复性</w:t>
            </w:r>
          </w:p>
        </w:tc>
        <w:tc>
          <w:tcPr>
            <w:tcW w:w="5474" w:type="dxa"/>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1" w:type="dxa"/>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精密度</w:t>
            </w:r>
          </w:p>
        </w:tc>
        <w:tc>
          <w:tcPr>
            <w:tcW w:w="5474" w:type="dxa"/>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1" w:type="dxa"/>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准确度</w:t>
            </w:r>
          </w:p>
        </w:tc>
        <w:tc>
          <w:tcPr>
            <w:tcW w:w="5474" w:type="dxa"/>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1" w:type="dxa"/>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平均无故障连续运行时间</w:t>
            </w:r>
          </w:p>
        </w:tc>
        <w:tc>
          <w:tcPr>
            <w:tcW w:w="5474" w:type="dxa"/>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≥1440 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1" w:type="dxa"/>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零点漂移</w:t>
            </w:r>
          </w:p>
        </w:tc>
        <w:tc>
          <w:tcPr>
            <w:tcW w:w="5474" w:type="dxa"/>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1" w:type="dxa"/>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量程漂移</w:t>
            </w:r>
          </w:p>
        </w:tc>
        <w:tc>
          <w:tcPr>
            <w:tcW w:w="5474" w:type="dxa"/>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1" w:type="dxa"/>
            <w:vAlign w:val="bottom"/>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定量下限</w:t>
            </w:r>
          </w:p>
        </w:tc>
        <w:tc>
          <w:tcPr>
            <w:tcW w:w="5474" w:type="dxa"/>
            <w:vAlign w:val="bottom"/>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0.015mg/L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1" w:type="dxa"/>
            <w:vAlign w:val="bottom"/>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检出限</w:t>
            </w:r>
          </w:p>
        </w:tc>
        <w:tc>
          <w:tcPr>
            <w:tcW w:w="5474" w:type="dxa"/>
            <w:vAlign w:val="bottom"/>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0.005mg/L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1" w:type="dxa"/>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实际废水样品比对实验</w:t>
            </w:r>
          </w:p>
        </w:tc>
        <w:tc>
          <w:tcPr>
            <w:tcW w:w="5474" w:type="dxa"/>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1"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测量间隔时间</w:t>
            </w:r>
          </w:p>
        </w:tc>
        <w:tc>
          <w:tcPr>
            <w:tcW w:w="547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间隔测量（1～9999 min）、整点测量、手动/远程触发测量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1"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校准模式</w:t>
            </w:r>
          </w:p>
        </w:tc>
        <w:tc>
          <w:tcPr>
            <w:tcW w:w="547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自动校准（可设置校准间隔）、手动/远程触发校准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1"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电源要求</w:t>
            </w:r>
          </w:p>
        </w:tc>
        <w:tc>
          <w:tcPr>
            <w:tcW w:w="547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220VAC±10%/50±0.5Hz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1"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模拟输出及通讯</w:t>
            </w:r>
          </w:p>
        </w:tc>
        <w:tc>
          <w:tcPr>
            <w:tcW w:w="547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4～20mA  RS-232/RS-485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1"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工作环境</w:t>
            </w:r>
          </w:p>
        </w:tc>
        <w:tc>
          <w:tcPr>
            <w:tcW w:w="5474" w:type="dxa"/>
            <w:vAlign w:val="center"/>
          </w:tcPr>
          <w:p>
            <w:pPr>
              <w:adjustRightInd w:val="0"/>
              <w:snapToGrid w:val="0"/>
              <w:spacing w:line="288" w:lineRule="auto"/>
              <w:jc w:val="center"/>
              <w:rPr>
                <w:rFonts w:ascii="仿宋" w:hAnsi="仿宋" w:eastAsia="仿宋" w:cs="仿宋"/>
                <w:kern w:val="0"/>
                <w:sz w:val="28"/>
                <w:szCs w:val="28"/>
              </w:rPr>
            </w:pPr>
            <w:r>
              <w:rPr>
                <w:rFonts w:hint="eastAsia" w:ascii="仿宋" w:hAnsi="仿宋" w:eastAsia="仿宋" w:cs="仿宋"/>
                <w:kern w:val="0"/>
                <w:sz w:val="28"/>
                <w:szCs w:val="28"/>
              </w:rPr>
              <w:t>5～45℃，RH≤90%</w:t>
            </w:r>
          </w:p>
        </w:tc>
      </w:tr>
    </w:tbl>
    <w:p>
      <w:pPr>
        <w:pStyle w:val="5"/>
        <w:rPr>
          <w:rFonts w:ascii="仿宋" w:hAnsi="仿宋" w:eastAsia="仿宋" w:cs="仿宋"/>
          <w:sz w:val="28"/>
          <w:szCs w:val="28"/>
        </w:rPr>
      </w:pPr>
      <w:r>
        <w:rPr>
          <w:rFonts w:hint="eastAsia" w:ascii="仿宋" w:hAnsi="仿宋" w:eastAsia="仿宋" w:cs="仿宋"/>
          <w:sz w:val="28"/>
          <w:szCs w:val="28"/>
        </w:rPr>
        <w:t>（三）水污染源在线监测系统集成</w:t>
      </w:r>
    </w:p>
    <w:p>
      <w:pPr>
        <w:pStyle w:val="6"/>
        <w:numPr>
          <w:ilvl w:val="0"/>
          <w:numId w:val="6"/>
        </w:numPr>
        <w:rPr>
          <w:rFonts w:ascii="仿宋" w:hAnsi="仿宋" w:eastAsia="仿宋" w:cs="仿宋"/>
        </w:rPr>
      </w:pPr>
      <w:r>
        <w:rPr>
          <w:rFonts w:hint="eastAsia" w:ascii="仿宋" w:hAnsi="仿宋" w:eastAsia="仿宋" w:cs="仿宋"/>
        </w:rPr>
        <w:t>一体化柜</w:t>
      </w:r>
    </w:p>
    <w:p>
      <w:pPr>
        <w:pStyle w:val="7"/>
        <w:numPr>
          <w:ilvl w:val="0"/>
          <w:numId w:val="7"/>
        </w:numPr>
        <w:rPr>
          <w:rFonts w:ascii="仿宋" w:hAnsi="仿宋" w:eastAsia="仿宋" w:cs="仿宋"/>
        </w:rPr>
      </w:pPr>
      <w:r>
        <w:rPr>
          <w:rFonts w:hint="eastAsia" w:ascii="仿宋" w:hAnsi="仿宋" w:eastAsia="仿宋" w:cs="仿宋"/>
        </w:rPr>
        <w:t>总体原则</w:t>
      </w:r>
    </w:p>
    <w:p>
      <w:pPr>
        <w:rPr>
          <w:rFonts w:ascii="仿宋" w:hAnsi="仿宋" w:eastAsia="仿宋" w:cs="仿宋"/>
          <w:sz w:val="28"/>
          <w:szCs w:val="28"/>
        </w:rPr>
      </w:pPr>
      <w:r>
        <w:rPr>
          <w:rFonts w:hint="eastAsia" w:ascii="仿宋" w:hAnsi="仿宋" w:eastAsia="仿宋" w:cs="仿宋"/>
          <w:sz w:val="28"/>
          <w:szCs w:val="28"/>
        </w:rPr>
        <w:t>（1）材质：碳钢喷塑。</w:t>
      </w:r>
    </w:p>
    <w:p>
      <w:pPr>
        <w:rPr>
          <w:rFonts w:ascii="仿宋" w:hAnsi="仿宋" w:eastAsia="仿宋" w:cs="仿宋"/>
          <w:sz w:val="28"/>
          <w:szCs w:val="28"/>
        </w:rPr>
      </w:pPr>
      <w:r>
        <w:rPr>
          <w:rFonts w:hint="eastAsia" w:ascii="仿宋" w:hAnsi="仿宋" w:eastAsia="仿宋" w:cs="仿宋"/>
          <w:sz w:val="28"/>
          <w:szCs w:val="28"/>
        </w:rPr>
        <w:t>（2）站房占地面积≤2平方米。</w:t>
      </w:r>
    </w:p>
    <w:p>
      <w:pPr>
        <w:rPr>
          <w:rFonts w:ascii="仿宋" w:hAnsi="仿宋" w:eastAsia="仿宋" w:cs="仿宋"/>
          <w:sz w:val="28"/>
          <w:szCs w:val="28"/>
        </w:rPr>
      </w:pPr>
      <w:r>
        <w:rPr>
          <w:rFonts w:hint="eastAsia" w:ascii="仿宋" w:hAnsi="仿宋" w:eastAsia="仿宋" w:cs="仿宋"/>
          <w:sz w:val="28"/>
          <w:szCs w:val="28"/>
        </w:rPr>
        <w:t>（3）站房的其他设施：</w:t>
      </w:r>
    </w:p>
    <w:p>
      <w:pPr>
        <w:ind w:firstLine="560" w:firstLineChars="200"/>
        <w:rPr>
          <w:rFonts w:ascii="仿宋" w:hAnsi="仿宋" w:eastAsia="仿宋" w:cs="仿宋"/>
          <w:sz w:val="28"/>
          <w:szCs w:val="28"/>
        </w:rPr>
      </w:pPr>
      <w:r>
        <w:rPr>
          <w:rFonts w:hint="eastAsia" w:ascii="仿宋" w:hAnsi="仿宋" w:eastAsia="仿宋" w:cs="仿宋"/>
          <w:sz w:val="28"/>
          <w:szCs w:val="28"/>
        </w:rPr>
        <w:t>保温：机柜柜体需采用石英棉填充保温。</w:t>
      </w:r>
    </w:p>
    <w:p>
      <w:pPr>
        <w:ind w:firstLine="560" w:firstLineChars="200"/>
        <w:rPr>
          <w:rFonts w:ascii="仿宋" w:hAnsi="仿宋" w:eastAsia="仿宋" w:cs="仿宋"/>
          <w:sz w:val="28"/>
          <w:szCs w:val="28"/>
        </w:rPr>
      </w:pPr>
      <w:r>
        <w:rPr>
          <w:rFonts w:hint="eastAsia" w:ascii="仿宋" w:hAnsi="仿宋" w:eastAsia="仿宋" w:cs="仿宋"/>
          <w:sz w:val="28"/>
          <w:szCs w:val="28"/>
        </w:rPr>
        <w:t>密封：排水口，接线口都配备密封垫圈，在线缆和水管连接好后，将相应的开孔使用密封圈填满。同时门体配有密封条，在门关闭后，整个箱体实现全密封。</w:t>
      </w:r>
    </w:p>
    <w:p>
      <w:pPr>
        <w:pStyle w:val="7"/>
        <w:numPr>
          <w:ilvl w:val="0"/>
          <w:numId w:val="7"/>
        </w:numPr>
        <w:rPr>
          <w:rFonts w:ascii="仿宋" w:hAnsi="仿宋" w:eastAsia="仿宋" w:cs="仿宋"/>
        </w:rPr>
      </w:pPr>
      <w:r>
        <w:rPr>
          <w:rFonts w:hint="eastAsia" w:ascii="仿宋" w:hAnsi="仿宋" w:eastAsia="仿宋" w:cs="仿宋"/>
        </w:rPr>
        <w:t>相关要求布置</w:t>
      </w:r>
    </w:p>
    <w:p>
      <w:pPr>
        <w:tabs>
          <w:tab w:val="left" w:pos="420"/>
        </w:tabs>
        <w:rPr>
          <w:rFonts w:ascii="仿宋" w:hAnsi="仿宋" w:eastAsia="仿宋" w:cs="仿宋"/>
          <w:sz w:val="28"/>
          <w:szCs w:val="28"/>
        </w:rPr>
      </w:pPr>
      <w:r>
        <w:rPr>
          <w:rFonts w:hint="eastAsia" w:ascii="仿宋" w:hAnsi="仿宋" w:eastAsia="仿宋" w:cs="仿宋"/>
          <w:sz w:val="28"/>
          <w:szCs w:val="28"/>
        </w:rPr>
        <w:t>（1）监测一体化柜不应位于通讯盲区，应能够实现数据传输。</w:t>
      </w:r>
    </w:p>
    <w:p>
      <w:pPr>
        <w:tabs>
          <w:tab w:val="left" w:pos="420"/>
        </w:tabs>
        <w:rPr>
          <w:rFonts w:ascii="仿宋" w:hAnsi="仿宋" w:eastAsia="仿宋" w:cs="仿宋"/>
          <w:sz w:val="28"/>
          <w:szCs w:val="28"/>
        </w:rPr>
      </w:pPr>
      <w:r>
        <w:rPr>
          <w:rFonts w:hint="eastAsia" w:ascii="仿宋" w:hAnsi="仿宋" w:eastAsia="仿宋" w:cs="仿宋"/>
          <w:sz w:val="28"/>
          <w:szCs w:val="28"/>
        </w:rPr>
        <w:t>（2）监测一体化柜的设置应避免对企业安全生产和环境造成影响。</w:t>
      </w:r>
    </w:p>
    <w:p>
      <w:pPr>
        <w:pStyle w:val="6"/>
        <w:numPr>
          <w:ilvl w:val="0"/>
          <w:numId w:val="6"/>
        </w:numPr>
        <w:rPr>
          <w:rFonts w:ascii="仿宋" w:hAnsi="仿宋" w:eastAsia="仿宋" w:cs="仿宋"/>
        </w:rPr>
      </w:pPr>
      <w:r>
        <w:rPr>
          <w:rFonts w:hint="eastAsia" w:ascii="仿宋" w:hAnsi="仿宋" w:eastAsia="仿宋" w:cs="仿宋"/>
        </w:rPr>
        <w:t>采配水单元</w:t>
      </w:r>
    </w:p>
    <w:p>
      <w:pPr>
        <w:pStyle w:val="7"/>
        <w:numPr>
          <w:ilvl w:val="0"/>
          <w:numId w:val="8"/>
        </w:numPr>
        <w:rPr>
          <w:rFonts w:ascii="仿宋" w:hAnsi="仿宋" w:eastAsia="仿宋" w:cs="仿宋"/>
        </w:rPr>
      </w:pPr>
      <w:r>
        <w:rPr>
          <w:rFonts w:hint="eastAsia" w:ascii="仿宋" w:hAnsi="仿宋" w:eastAsia="仿宋" w:cs="仿宋"/>
        </w:rPr>
        <w:t>水质自动采样单元总体原则</w:t>
      </w:r>
    </w:p>
    <w:p>
      <w:pPr>
        <w:tabs>
          <w:tab w:val="left" w:pos="420"/>
        </w:tabs>
        <w:rPr>
          <w:rFonts w:ascii="仿宋" w:hAnsi="仿宋" w:eastAsia="仿宋" w:cs="仿宋"/>
          <w:sz w:val="28"/>
          <w:szCs w:val="28"/>
        </w:rPr>
      </w:pPr>
      <w:r>
        <w:rPr>
          <w:rFonts w:hint="eastAsia" w:ascii="仿宋" w:hAnsi="仿宋" w:eastAsia="仿宋" w:cs="仿宋"/>
          <w:sz w:val="28"/>
          <w:szCs w:val="28"/>
        </w:rPr>
        <w:t>（1）水质自动采样单元的构造应保证将水样不变质地输送到各水质分析仪，应有必要的防冻和防腐设施。</w:t>
      </w:r>
    </w:p>
    <w:p>
      <w:pPr>
        <w:tabs>
          <w:tab w:val="left" w:pos="420"/>
        </w:tabs>
        <w:rPr>
          <w:rFonts w:ascii="仿宋" w:hAnsi="仿宋" w:eastAsia="仿宋" w:cs="仿宋"/>
          <w:sz w:val="28"/>
          <w:szCs w:val="28"/>
        </w:rPr>
      </w:pPr>
      <w:r>
        <w:rPr>
          <w:rFonts w:hint="eastAsia" w:ascii="仿宋" w:hAnsi="仿宋" w:eastAsia="仿宋" w:cs="仿宋"/>
          <w:sz w:val="28"/>
          <w:szCs w:val="28"/>
        </w:rPr>
        <w:t>（2）水质自动采样单元应设置混合水样的人工比对采样口。</w:t>
      </w:r>
    </w:p>
    <w:p>
      <w:pPr>
        <w:tabs>
          <w:tab w:val="left" w:pos="420"/>
        </w:tabs>
        <w:rPr>
          <w:rFonts w:ascii="仿宋" w:hAnsi="仿宋" w:eastAsia="仿宋" w:cs="仿宋"/>
          <w:sz w:val="28"/>
          <w:szCs w:val="28"/>
        </w:rPr>
      </w:pPr>
      <w:r>
        <w:rPr>
          <w:rFonts w:hint="eastAsia" w:ascii="仿宋" w:hAnsi="仿宋" w:eastAsia="仿宋" w:cs="仿宋"/>
          <w:sz w:val="28"/>
          <w:szCs w:val="28"/>
        </w:rPr>
        <w:t>（3）水质自动采样单元的管路宜设置为明管，并标注水流方向。</w:t>
      </w:r>
    </w:p>
    <w:p>
      <w:pPr>
        <w:tabs>
          <w:tab w:val="left" w:pos="420"/>
        </w:tabs>
        <w:rPr>
          <w:rFonts w:ascii="仿宋" w:hAnsi="仿宋" w:eastAsia="仿宋" w:cs="仿宋"/>
          <w:sz w:val="28"/>
          <w:szCs w:val="28"/>
        </w:rPr>
      </w:pPr>
      <w:r>
        <w:rPr>
          <w:rFonts w:hint="eastAsia" w:ascii="仿宋" w:hAnsi="仿宋" w:eastAsia="仿宋" w:cs="仿宋"/>
          <w:sz w:val="28"/>
          <w:szCs w:val="28"/>
        </w:rPr>
        <w:t>（4）水质自动采样单元的管材应采用优质的聚氯乙烯（PVC）、三丙聚丙烯（PPR）等不影响分析结果的硬管。</w:t>
      </w:r>
    </w:p>
    <w:p>
      <w:pPr>
        <w:tabs>
          <w:tab w:val="left" w:pos="420"/>
        </w:tabs>
        <w:rPr>
          <w:rFonts w:ascii="仿宋" w:hAnsi="仿宋" w:eastAsia="仿宋" w:cs="仿宋"/>
          <w:sz w:val="28"/>
          <w:szCs w:val="28"/>
        </w:rPr>
      </w:pPr>
      <w:r>
        <w:rPr>
          <w:rFonts w:hint="eastAsia" w:ascii="仿宋" w:hAnsi="仿宋" w:eastAsia="仿宋" w:cs="仿宋"/>
          <w:sz w:val="28"/>
          <w:szCs w:val="28"/>
        </w:rPr>
        <w:t>（5）采样泵应根据采样流量、水质自动采样单元的水头损失及水位差合理选择。应使用寿命长、易维护的，不易堵塞并且对水质参数没有影响的采样泵，安装位置应便于采样泵的维护。</w:t>
      </w:r>
    </w:p>
    <w:p>
      <w:pPr>
        <w:pStyle w:val="7"/>
        <w:numPr>
          <w:ilvl w:val="0"/>
          <w:numId w:val="8"/>
        </w:numPr>
        <w:rPr>
          <w:rFonts w:ascii="仿宋" w:hAnsi="仿宋" w:eastAsia="仿宋" w:cs="仿宋"/>
        </w:rPr>
      </w:pPr>
      <w:r>
        <w:rPr>
          <w:rFonts w:hint="eastAsia" w:ascii="仿宋" w:hAnsi="仿宋" w:eastAsia="仿宋" w:cs="仿宋"/>
        </w:rPr>
        <w:t>采水技术要求</w:t>
      </w:r>
    </w:p>
    <w:p>
      <w:pPr>
        <w:tabs>
          <w:tab w:val="left" w:pos="420"/>
        </w:tabs>
        <w:rPr>
          <w:rFonts w:ascii="仿宋" w:hAnsi="仿宋" w:eastAsia="仿宋" w:cs="仿宋"/>
          <w:sz w:val="28"/>
          <w:szCs w:val="28"/>
        </w:rPr>
      </w:pPr>
      <w:r>
        <w:rPr>
          <w:rFonts w:hint="eastAsia" w:ascii="仿宋" w:hAnsi="仿宋" w:eastAsia="仿宋" w:cs="仿宋"/>
          <w:sz w:val="28"/>
          <w:szCs w:val="28"/>
        </w:rPr>
        <w:t>（1）采水部分应持续保证有水，防止水泵干抽。</w:t>
      </w:r>
    </w:p>
    <w:p>
      <w:pPr>
        <w:tabs>
          <w:tab w:val="left" w:pos="420"/>
        </w:tabs>
        <w:rPr>
          <w:rFonts w:ascii="仿宋" w:hAnsi="仿宋" w:eastAsia="仿宋" w:cs="仿宋"/>
          <w:sz w:val="28"/>
          <w:szCs w:val="28"/>
        </w:rPr>
      </w:pPr>
      <w:r>
        <w:rPr>
          <w:rFonts w:hint="eastAsia" w:ascii="仿宋" w:hAnsi="仿宋" w:eastAsia="仿宋" w:cs="仿宋"/>
          <w:sz w:val="28"/>
          <w:szCs w:val="28"/>
        </w:rPr>
        <w:t>（2）监测点位应避开有腐蚀性气体、较强的电磁干扰和振动的地方，应易于到达。</w:t>
      </w:r>
    </w:p>
    <w:p>
      <w:pPr>
        <w:tabs>
          <w:tab w:val="left" w:pos="420"/>
        </w:tabs>
        <w:rPr>
          <w:rFonts w:ascii="仿宋" w:hAnsi="仿宋" w:eastAsia="仿宋" w:cs="仿宋"/>
          <w:sz w:val="28"/>
          <w:szCs w:val="28"/>
        </w:rPr>
      </w:pPr>
      <w:r>
        <w:rPr>
          <w:rFonts w:hint="eastAsia" w:ascii="仿宋" w:hAnsi="仿宋" w:eastAsia="仿宋" w:cs="仿宋"/>
          <w:sz w:val="28"/>
          <w:szCs w:val="28"/>
        </w:rPr>
        <w:t>（3）采样点到一体化柜距离应不超过50m。</w:t>
      </w:r>
    </w:p>
    <w:p>
      <w:pPr>
        <w:tabs>
          <w:tab w:val="left" w:pos="420"/>
        </w:tabs>
        <w:rPr>
          <w:rFonts w:ascii="仿宋" w:hAnsi="仿宋" w:eastAsia="仿宋" w:cs="仿宋"/>
          <w:sz w:val="28"/>
          <w:szCs w:val="28"/>
        </w:rPr>
      </w:pPr>
      <w:r>
        <w:rPr>
          <w:rFonts w:hint="eastAsia" w:ascii="仿宋" w:hAnsi="仿宋" w:eastAsia="仿宋" w:cs="仿宋"/>
          <w:sz w:val="28"/>
          <w:szCs w:val="28"/>
        </w:rPr>
        <w:t>（4）采样点位应有足够的工作空间和安全措施，便于采样和维护操作。</w:t>
      </w:r>
    </w:p>
    <w:p>
      <w:pPr>
        <w:tabs>
          <w:tab w:val="left" w:pos="420"/>
        </w:tabs>
        <w:rPr>
          <w:rFonts w:ascii="仿宋" w:hAnsi="仿宋" w:eastAsia="仿宋" w:cs="仿宋"/>
          <w:sz w:val="28"/>
          <w:szCs w:val="28"/>
        </w:rPr>
      </w:pPr>
      <w:r>
        <w:rPr>
          <w:rFonts w:hint="eastAsia" w:ascii="仿宋" w:hAnsi="仿宋" w:eastAsia="仿宋" w:cs="仿宋"/>
          <w:sz w:val="28"/>
          <w:szCs w:val="28"/>
        </w:rPr>
        <w:t>（5）采样泵应根据采样流量、采水单元的水头损失及水位差合理选择。</w:t>
      </w:r>
    </w:p>
    <w:p>
      <w:pPr>
        <w:tabs>
          <w:tab w:val="left" w:pos="420"/>
        </w:tabs>
        <w:rPr>
          <w:rFonts w:ascii="仿宋" w:hAnsi="仿宋" w:eastAsia="仿宋" w:cs="仿宋"/>
          <w:sz w:val="28"/>
          <w:szCs w:val="28"/>
        </w:rPr>
      </w:pPr>
      <w:r>
        <w:rPr>
          <w:rFonts w:hint="eastAsia" w:ascii="仿宋" w:hAnsi="仿宋" w:eastAsia="仿宋" w:cs="仿宋"/>
          <w:sz w:val="28"/>
          <w:szCs w:val="28"/>
        </w:rPr>
        <w:t>（6）安装管路应管线美观，尽量保持横平竖直。</w:t>
      </w:r>
    </w:p>
    <w:p>
      <w:pPr>
        <w:tabs>
          <w:tab w:val="left" w:pos="420"/>
        </w:tabs>
        <w:rPr>
          <w:rFonts w:ascii="仿宋" w:hAnsi="仿宋" w:eastAsia="仿宋" w:cs="仿宋"/>
          <w:sz w:val="28"/>
          <w:szCs w:val="28"/>
        </w:rPr>
      </w:pPr>
      <w:r>
        <w:rPr>
          <w:rFonts w:hint="eastAsia" w:ascii="仿宋" w:hAnsi="仿宋" w:eastAsia="仿宋" w:cs="仿宋"/>
          <w:sz w:val="28"/>
          <w:szCs w:val="28"/>
        </w:rPr>
        <w:t>（7）采样管材应适用外部环境要求。</w:t>
      </w:r>
    </w:p>
    <w:p>
      <w:pPr>
        <w:pStyle w:val="7"/>
        <w:numPr>
          <w:ilvl w:val="0"/>
          <w:numId w:val="8"/>
        </w:numPr>
        <w:rPr>
          <w:rFonts w:ascii="仿宋" w:hAnsi="仿宋" w:eastAsia="仿宋" w:cs="仿宋"/>
        </w:rPr>
      </w:pPr>
      <w:r>
        <w:rPr>
          <w:rFonts w:hint="eastAsia" w:ascii="仿宋" w:hAnsi="仿宋" w:eastAsia="仿宋" w:cs="仿宋"/>
        </w:rPr>
        <w:t>水样预处理部分</w:t>
      </w:r>
    </w:p>
    <w:p>
      <w:pPr>
        <w:tabs>
          <w:tab w:val="left" w:pos="420"/>
        </w:tabs>
        <w:rPr>
          <w:rFonts w:ascii="仿宋" w:hAnsi="仿宋" w:eastAsia="仿宋" w:cs="仿宋"/>
          <w:sz w:val="28"/>
          <w:szCs w:val="28"/>
        </w:rPr>
      </w:pPr>
      <w:r>
        <w:rPr>
          <w:rFonts w:hint="eastAsia" w:ascii="仿宋" w:hAnsi="仿宋" w:eastAsia="仿宋" w:cs="仿宋"/>
          <w:sz w:val="28"/>
          <w:szCs w:val="28"/>
        </w:rPr>
        <w:t>（1）水样预处理应在不失去水样的代表性的前提下。</w:t>
      </w:r>
    </w:p>
    <w:p>
      <w:pPr>
        <w:tabs>
          <w:tab w:val="left" w:pos="420"/>
        </w:tabs>
        <w:rPr>
          <w:rFonts w:ascii="仿宋" w:hAnsi="仿宋" w:eastAsia="仿宋" w:cs="仿宋"/>
          <w:sz w:val="28"/>
          <w:szCs w:val="28"/>
        </w:rPr>
      </w:pPr>
      <w:r>
        <w:rPr>
          <w:rFonts w:hint="eastAsia" w:ascii="仿宋" w:hAnsi="仿宋" w:eastAsia="仿宋" w:cs="仿宋"/>
          <w:sz w:val="28"/>
          <w:szCs w:val="28"/>
        </w:rPr>
        <w:t>（2）采用串并联结合结构，管道上设调节阀门，调节流量，满足对水量的需求。</w:t>
      </w:r>
    </w:p>
    <w:p>
      <w:pPr>
        <w:tabs>
          <w:tab w:val="left" w:pos="420"/>
        </w:tabs>
        <w:rPr>
          <w:rFonts w:ascii="仿宋" w:hAnsi="仿宋" w:eastAsia="仿宋" w:cs="仿宋"/>
          <w:sz w:val="28"/>
          <w:szCs w:val="28"/>
        </w:rPr>
      </w:pPr>
      <w:r>
        <w:rPr>
          <w:rFonts w:hint="eastAsia" w:ascii="仿宋" w:hAnsi="仿宋" w:eastAsia="仿宋" w:cs="仿宋"/>
          <w:sz w:val="28"/>
          <w:szCs w:val="28"/>
        </w:rPr>
        <w:t>（3）水样预处理单元应具自清洗功能，降低日常维护工作量。</w:t>
      </w:r>
    </w:p>
    <w:p>
      <w:pPr>
        <w:pStyle w:val="6"/>
        <w:numPr>
          <w:ilvl w:val="0"/>
          <w:numId w:val="6"/>
        </w:numPr>
        <w:rPr>
          <w:rFonts w:ascii="仿宋" w:hAnsi="仿宋" w:eastAsia="仿宋" w:cs="仿宋"/>
        </w:rPr>
      </w:pPr>
      <w:r>
        <w:rPr>
          <w:rFonts w:hint="eastAsia" w:ascii="仿宋" w:hAnsi="仿宋" w:eastAsia="仿宋" w:cs="仿宋"/>
        </w:rPr>
        <w:t>数据采集传输控制单元</w:t>
      </w:r>
    </w:p>
    <w:p>
      <w:pPr>
        <w:tabs>
          <w:tab w:val="left" w:pos="420"/>
        </w:tabs>
        <w:rPr>
          <w:rFonts w:ascii="仿宋" w:hAnsi="仿宋" w:eastAsia="仿宋" w:cs="仿宋"/>
          <w:sz w:val="28"/>
          <w:szCs w:val="28"/>
        </w:rPr>
      </w:pPr>
      <w:r>
        <w:rPr>
          <w:rFonts w:hint="eastAsia" w:ascii="仿宋" w:hAnsi="仿宋" w:eastAsia="仿宋" w:cs="仿宋"/>
          <w:sz w:val="28"/>
          <w:szCs w:val="28"/>
        </w:rPr>
        <w:t>（1）数据控制单元应可协调统一运行水污染源在线监测系统，采集、储存、显示监测数据及运行日志，向监控中心平台上传污染源监测数据。</w:t>
      </w:r>
    </w:p>
    <w:p>
      <w:pPr>
        <w:tabs>
          <w:tab w:val="left" w:pos="420"/>
        </w:tabs>
        <w:rPr>
          <w:rFonts w:ascii="仿宋" w:hAnsi="仿宋" w:eastAsia="仿宋" w:cs="仿宋"/>
          <w:sz w:val="28"/>
          <w:szCs w:val="28"/>
        </w:rPr>
      </w:pPr>
      <w:r>
        <w:rPr>
          <w:rFonts w:hint="eastAsia" w:ascii="仿宋" w:hAnsi="仿宋" w:eastAsia="仿宋" w:cs="仿宋"/>
          <w:sz w:val="28"/>
          <w:szCs w:val="28"/>
        </w:rPr>
        <w:t>（2）数据控制单元可控制水质自动采样单元采样、送样及留样等操作。</w:t>
      </w:r>
    </w:p>
    <w:p>
      <w:pPr>
        <w:tabs>
          <w:tab w:val="left" w:pos="420"/>
        </w:tabs>
        <w:rPr>
          <w:rFonts w:ascii="仿宋" w:hAnsi="仿宋" w:eastAsia="仿宋" w:cs="仿宋"/>
          <w:sz w:val="28"/>
          <w:szCs w:val="28"/>
        </w:rPr>
      </w:pPr>
      <w:r>
        <w:rPr>
          <w:rFonts w:hint="eastAsia" w:ascii="仿宋" w:hAnsi="仿宋" w:eastAsia="仿宋" w:cs="仿宋"/>
          <w:sz w:val="28"/>
          <w:szCs w:val="28"/>
        </w:rPr>
        <w:t>（3）数据控制单元触发水污染源在线监测仪器进行测量、标液核查和校准等操作。</w:t>
      </w:r>
    </w:p>
    <w:p>
      <w:pPr>
        <w:tabs>
          <w:tab w:val="left" w:pos="420"/>
        </w:tabs>
        <w:rPr>
          <w:rFonts w:ascii="仿宋" w:hAnsi="仿宋" w:eastAsia="仿宋" w:cs="仿宋"/>
          <w:sz w:val="28"/>
          <w:szCs w:val="28"/>
        </w:rPr>
      </w:pPr>
      <w:r>
        <w:rPr>
          <w:rFonts w:hint="eastAsia" w:ascii="仿宋" w:hAnsi="仿宋" w:eastAsia="仿宋" w:cs="仿宋"/>
          <w:sz w:val="28"/>
          <w:szCs w:val="28"/>
        </w:rPr>
        <w:t>（4）数据控制单元读取各个水污染源在线监测仪器的测量数据，并实现实时数据、小时均值和日均值等项目的查询与显示，并通过数据采集传输仪上传至监控中心平台。</w:t>
      </w:r>
    </w:p>
    <w:p>
      <w:pPr>
        <w:tabs>
          <w:tab w:val="left" w:pos="420"/>
        </w:tabs>
        <w:rPr>
          <w:rFonts w:ascii="仿宋" w:hAnsi="仿宋" w:eastAsia="仿宋" w:cs="仿宋"/>
          <w:sz w:val="28"/>
          <w:szCs w:val="28"/>
        </w:rPr>
      </w:pPr>
      <w:r>
        <w:rPr>
          <w:rFonts w:hint="eastAsia" w:ascii="仿宋" w:hAnsi="仿宋" w:eastAsia="仿宋" w:cs="仿宋"/>
          <w:sz w:val="28"/>
          <w:szCs w:val="28"/>
        </w:rPr>
        <w:t>（5）数据控制单元记录并上传的污染源监测数据，上报数据应带有时间和数据状态标识。</w:t>
      </w:r>
    </w:p>
    <w:p>
      <w:pPr>
        <w:tabs>
          <w:tab w:val="left" w:pos="420"/>
        </w:tabs>
        <w:rPr>
          <w:rFonts w:ascii="仿宋" w:hAnsi="仿宋" w:eastAsia="仿宋" w:cs="仿宋"/>
          <w:sz w:val="28"/>
          <w:szCs w:val="28"/>
        </w:rPr>
      </w:pPr>
      <w:r>
        <w:rPr>
          <w:rFonts w:hint="eastAsia" w:ascii="仿宋" w:hAnsi="仿宋" w:eastAsia="仿宋" w:cs="仿宋"/>
          <w:sz w:val="28"/>
          <w:szCs w:val="28"/>
        </w:rPr>
        <w:t>（6）数据控制单元可生成、显示各水污染源在线监测仪器监测数据的日统计表、月统计表和年统计表。</w:t>
      </w:r>
    </w:p>
    <w:p>
      <w:pPr>
        <w:pStyle w:val="5"/>
        <w:rPr>
          <w:rFonts w:ascii="仿宋" w:hAnsi="仿宋" w:eastAsia="仿宋" w:cs="仿宋"/>
          <w:sz w:val="28"/>
          <w:szCs w:val="28"/>
        </w:rPr>
      </w:pPr>
      <w:r>
        <w:rPr>
          <w:rFonts w:hint="eastAsia" w:ascii="仿宋" w:hAnsi="仿宋" w:eastAsia="仿宋" w:cs="仿宋"/>
          <w:sz w:val="28"/>
          <w:szCs w:val="28"/>
        </w:rPr>
        <w:t>（四）数据服务</w:t>
      </w:r>
    </w:p>
    <w:p>
      <w:pPr>
        <w:pStyle w:val="6"/>
        <w:numPr>
          <w:ilvl w:val="0"/>
          <w:numId w:val="9"/>
        </w:numPr>
        <w:rPr>
          <w:rFonts w:ascii="仿宋" w:hAnsi="仿宋" w:eastAsia="仿宋" w:cs="仿宋"/>
        </w:rPr>
      </w:pPr>
      <w:r>
        <w:rPr>
          <w:rFonts w:hint="eastAsia" w:ascii="仿宋" w:hAnsi="仿宋" w:eastAsia="仿宋" w:cs="仿宋"/>
        </w:rPr>
        <w:t>数据传输(含采集运维)</w:t>
      </w:r>
    </w:p>
    <w:p>
      <w:pPr>
        <w:rPr>
          <w:rFonts w:ascii="仿宋" w:hAnsi="仿宋" w:eastAsia="仿宋" w:cs="仿宋"/>
          <w:sz w:val="28"/>
          <w:szCs w:val="28"/>
        </w:rPr>
      </w:pPr>
      <w:r>
        <w:rPr>
          <w:rFonts w:hint="eastAsia" w:ascii="仿宋" w:hAnsi="仿宋" w:eastAsia="仿宋" w:cs="仿宋"/>
          <w:sz w:val="28"/>
          <w:szCs w:val="28"/>
        </w:rPr>
        <w:t>（1）系统应稳定可靠，具备自检及死机自动恢复功能</w:t>
      </w:r>
    </w:p>
    <w:p>
      <w:pPr>
        <w:rPr>
          <w:rFonts w:ascii="仿宋" w:hAnsi="仿宋" w:eastAsia="仿宋" w:cs="仿宋"/>
          <w:sz w:val="28"/>
          <w:szCs w:val="28"/>
        </w:rPr>
      </w:pPr>
      <w:r>
        <w:rPr>
          <w:rFonts w:hint="eastAsia" w:ascii="仿宋" w:hAnsi="仿宋" w:eastAsia="仿宋" w:cs="仿宋"/>
          <w:sz w:val="28"/>
          <w:szCs w:val="28"/>
        </w:rPr>
        <w:t>（2）数据传输频率应不低于国家要求，并可根据管理要求远程设定传输频次；</w:t>
      </w:r>
    </w:p>
    <w:p>
      <w:pPr>
        <w:rPr>
          <w:rFonts w:ascii="仿宋" w:hAnsi="仿宋" w:eastAsia="仿宋" w:cs="仿宋"/>
          <w:sz w:val="28"/>
          <w:szCs w:val="28"/>
        </w:rPr>
      </w:pPr>
      <w:r>
        <w:rPr>
          <w:rFonts w:hint="eastAsia" w:ascii="仿宋" w:hAnsi="仿宋" w:eastAsia="仿宋" w:cs="仿宋"/>
          <w:sz w:val="28"/>
          <w:szCs w:val="28"/>
        </w:rPr>
        <w:t>（3）支持数据断点续传；能按要求接受、处理和反馈远程控制命令。</w:t>
      </w:r>
    </w:p>
    <w:p>
      <w:pPr>
        <w:rPr>
          <w:rFonts w:ascii="仿宋" w:hAnsi="仿宋" w:eastAsia="仿宋" w:cs="仿宋"/>
          <w:sz w:val="28"/>
          <w:szCs w:val="28"/>
        </w:rPr>
      </w:pPr>
      <w:r>
        <w:rPr>
          <w:rFonts w:hint="eastAsia" w:ascii="仿宋" w:hAnsi="仿宋" w:eastAsia="仿宋" w:cs="仿宋"/>
          <w:sz w:val="28"/>
          <w:szCs w:val="28"/>
        </w:rPr>
        <w:t>（4）报价人应提供可接入相关监管平台的数据传输服务</w:t>
      </w:r>
    </w:p>
    <w:p>
      <w:pPr>
        <w:rPr>
          <w:rFonts w:ascii="仿宋" w:hAnsi="仿宋" w:eastAsia="仿宋" w:cs="仿宋"/>
          <w:sz w:val="28"/>
          <w:szCs w:val="28"/>
        </w:rPr>
      </w:pPr>
      <w:r>
        <w:rPr>
          <w:rFonts w:hint="eastAsia" w:ascii="仿宋" w:hAnsi="仿宋" w:eastAsia="仿宋" w:cs="仿宋"/>
          <w:sz w:val="28"/>
          <w:szCs w:val="28"/>
        </w:rPr>
        <w:t>（5）数据采集传输包括现场数据传输和监控中心数据采集。</w:t>
      </w:r>
    </w:p>
    <w:p>
      <w:pPr>
        <w:rPr>
          <w:rFonts w:ascii="仿宋" w:hAnsi="仿宋" w:eastAsia="仿宋" w:cs="仿宋"/>
          <w:sz w:val="28"/>
          <w:szCs w:val="28"/>
        </w:rPr>
      </w:pPr>
      <w:r>
        <w:rPr>
          <w:rFonts w:hint="eastAsia" w:ascii="仿宋" w:hAnsi="仿宋" w:eastAsia="仿宋" w:cs="仿宋"/>
          <w:sz w:val="28"/>
          <w:szCs w:val="28"/>
        </w:rPr>
        <w:t>（6）现场采集要求传输包括氨氮、硝酸盐氮、磷酸盐在内的仪表数据。</w:t>
      </w:r>
    </w:p>
    <w:p>
      <w:pPr>
        <w:rPr>
          <w:rFonts w:ascii="仿宋" w:hAnsi="仿宋" w:eastAsia="仿宋" w:cs="仿宋"/>
          <w:sz w:val="28"/>
          <w:szCs w:val="28"/>
        </w:rPr>
      </w:pPr>
      <w:r>
        <w:rPr>
          <w:rFonts w:hint="eastAsia" w:ascii="仿宋" w:hAnsi="仿宋" w:eastAsia="仿宋" w:cs="仿宋"/>
          <w:sz w:val="28"/>
          <w:szCs w:val="28"/>
        </w:rPr>
        <w:t>（7）应定期对现场数据采集装置维护巡检，确保数据采集装置采集的数据准确、可靠、具有代表性。</w:t>
      </w:r>
    </w:p>
    <w:p>
      <w:pPr>
        <w:rPr>
          <w:rFonts w:ascii="仿宋" w:hAnsi="仿宋" w:eastAsia="仿宋" w:cs="仿宋"/>
          <w:sz w:val="28"/>
          <w:szCs w:val="28"/>
        </w:rPr>
      </w:pPr>
      <w:r>
        <w:rPr>
          <w:rFonts w:hint="eastAsia" w:ascii="仿宋" w:hAnsi="仿宋" w:eastAsia="仿宋" w:cs="仿宋"/>
          <w:sz w:val="28"/>
          <w:szCs w:val="28"/>
        </w:rPr>
        <w:t>（8）采集运维内容包括但不限于：硬件设施维护、现场网络检查、数据传输频次等</w:t>
      </w:r>
    </w:p>
    <w:p>
      <w:pPr>
        <w:pStyle w:val="6"/>
        <w:numPr>
          <w:ilvl w:val="0"/>
          <w:numId w:val="9"/>
        </w:numPr>
        <w:rPr>
          <w:rFonts w:ascii="仿宋" w:hAnsi="仿宋" w:eastAsia="仿宋" w:cs="仿宋"/>
        </w:rPr>
      </w:pPr>
      <w:r>
        <w:rPr>
          <w:rFonts w:hint="eastAsia" w:ascii="仿宋" w:hAnsi="仿宋" w:eastAsia="仿宋" w:cs="仿宋"/>
        </w:rPr>
        <w:t>数据报表</w:t>
      </w:r>
    </w:p>
    <w:p>
      <w:pPr>
        <w:ind w:firstLine="560" w:firstLineChars="200"/>
        <w:rPr>
          <w:rFonts w:ascii="仿宋" w:hAnsi="仿宋" w:eastAsia="仿宋" w:cs="仿宋"/>
          <w:sz w:val="28"/>
          <w:szCs w:val="28"/>
        </w:rPr>
      </w:pPr>
      <w:r>
        <w:rPr>
          <w:rFonts w:hint="eastAsia" w:ascii="仿宋" w:hAnsi="仿宋" w:eastAsia="仿宋" w:cs="仿宋"/>
          <w:sz w:val="28"/>
          <w:szCs w:val="28"/>
        </w:rPr>
        <w:t>系统需提供多种类型的报表生成与导出功能，主要包括水质日报、水质周报、水质月报、水质年报。既可生成单个参数的水质报表，又能生成5个参数的水质综合报表，报表可导出成EXCLE、PDF格式。</w:t>
      </w:r>
    </w:p>
    <w:p>
      <w:pPr>
        <w:pStyle w:val="6"/>
        <w:numPr>
          <w:ilvl w:val="0"/>
          <w:numId w:val="9"/>
        </w:numPr>
        <w:rPr>
          <w:rFonts w:ascii="仿宋" w:hAnsi="仿宋" w:eastAsia="仿宋" w:cs="仿宋"/>
        </w:rPr>
      </w:pPr>
      <w:r>
        <w:rPr>
          <w:rFonts w:hint="eastAsia" w:ascii="仿宋" w:hAnsi="仿宋" w:eastAsia="仿宋" w:cs="仿宋"/>
        </w:rPr>
        <w:t>趋势分析</w:t>
      </w:r>
    </w:p>
    <w:p>
      <w:pPr>
        <w:ind w:firstLine="280" w:firstLineChars="100"/>
        <w:rPr>
          <w:rFonts w:ascii="仿宋" w:hAnsi="仿宋" w:eastAsia="仿宋" w:cs="仿宋"/>
          <w:sz w:val="28"/>
          <w:szCs w:val="28"/>
        </w:rPr>
      </w:pPr>
      <w:r>
        <w:rPr>
          <w:rFonts w:hint="eastAsia" w:ascii="仿宋" w:hAnsi="仿宋" w:eastAsia="仿宋" w:cs="仿宋"/>
          <w:sz w:val="28"/>
          <w:szCs w:val="28"/>
        </w:rPr>
        <w:t>（1）系统可以以折线图的方式查看单个监测点位多个监测项在一定时间段内的数据变化趋势或者查看多个监测点位同一监测项在一定时间段内的数据变化趋势；从而了解不同监测点位间的水质对比情况或单个监测点位不同监测因子间的关联关系。</w:t>
      </w:r>
    </w:p>
    <w:p>
      <w:pPr>
        <w:ind w:firstLine="280" w:firstLineChars="100"/>
        <w:rPr>
          <w:rFonts w:ascii="仿宋" w:hAnsi="仿宋" w:eastAsia="仿宋" w:cs="仿宋"/>
          <w:b/>
          <w:bCs/>
          <w:sz w:val="28"/>
          <w:szCs w:val="28"/>
        </w:rPr>
      </w:pPr>
      <w:r>
        <w:rPr>
          <w:rFonts w:hint="eastAsia" w:ascii="仿宋" w:hAnsi="仿宋" w:eastAsia="仿宋" w:cs="仿宋"/>
          <w:sz w:val="28"/>
          <w:szCs w:val="28"/>
        </w:rPr>
        <w:t>（2）系统需提供每个监测点位的各监测因子浓度值的查询功能。可按周、月、年的评价周期对监测点位监测因子浓度变化进行评价，评价标准可根据业务需要自行设置。</w:t>
      </w:r>
      <w:bookmarkEnd w:id="2"/>
      <w:bookmarkEnd w:id="3"/>
      <w:r>
        <w:rPr>
          <w:rFonts w:hint="eastAsia" w:ascii="仿宋" w:hAnsi="仿宋" w:eastAsia="仿宋" w:cs="仿宋"/>
          <w:b/>
          <w:bCs/>
          <w:sz w:val="28"/>
          <w:szCs w:val="28"/>
        </w:rPr>
        <w:br w:type="page"/>
      </w:r>
    </w:p>
    <w:p>
      <w:pPr>
        <w:numPr>
          <w:ilvl w:val="255"/>
          <w:numId w:val="0"/>
        </w:numPr>
        <w:rPr>
          <w:rFonts w:ascii="仿宋" w:hAnsi="仿宋" w:eastAsia="仿宋" w:cs="仿宋"/>
          <w:b/>
          <w:bCs/>
          <w:sz w:val="28"/>
          <w:szCs w:val="28"/>
        </w:rPr>
      </w:pPr>
      <w:r>
        <w:rPr>
          <w:rFonts w:hint="eastAsia" w:ascii="仿宋" w:hAnsi="仿宋" w:eastAsia="仿宋" w:cs="仿宋"/>
          <w:b/>
          <w:bCs/>
          <w:sz w:val="28"/>
          <w:szCs w:val="28"/>
        </w:rPr>
        <w:t>三、项目商务要求</w:t>
      </w:r>
    </w:p>
    <w:p>
      <w:pPr>
        <w:numPr>
          <w:ilvl w:val="255"/>
          <w:numId w:val="0"/>
        </w:numPr>
        <w:ind w:firstLine="560" w:firstLineChars="200"/>
        <w:rPr>
          <w:rFonts w:ascii="仿宋" w:hAnsi="仿宋" w:eastAsia="仿宋" w:cs="仿宋"/>
          <w:sz w:val="28"/>
          <w:szCs w:val="28"/>
        </w:rPr>
      </w:pPr>
      <w:r>
        <w:rPr>
          <w:rFonts w:hint="eastAsia" w:ascii="仿宋" w:hAnsi="仿宋" w:eastAsia="仿宋" w:cs="仿宋"/>
          <w:sz w:val="28"/>
          <w:szCs w:val="28"/>
        </w:rPr>
        <w:t>（1）承包方式</w:t>
      </w:r>
    </w:p>
    <w:p>
      <w:pPr>
        <w:numPr>
          <w:ilvl w:val="255"/>
          <w:numId w:val="0"/>
        </w:numPr>
        <w:ind w:firstLine="560" w:firstLineChars="200"/>
        <w:rPr>
          <w:rFonts w:ascii="仿宋" w:hAnsi="仿宋" w:eastAsia="仿宋" w:cs="仿宋"/>
          <w:sz w:val="28"/>
          <w:szCs w:val="28"/>
        </w:rPr>
      </w:pPr>
      <w:r>
        <w:rPr>
          <w:rFonts w:hint="eastAsia" w:ascii="仿宋" w:hAnsi="仿宋" w:eastAsia="仿宋" w:cs="仿宋"/>
          <w:sz w:val="28"/>
          <w:szCs w:val="28"/>
        </w:rPr>
        <w:t>承包方式为总价包干。</w:t>
      </w:r>
    </w:p>
    <w:p>
      <w:pPr>
        <w:ind w:firstLine="588" w:firstLineChars="210"/>
        <w:rPr>
          <w:rFonts w:ascii="仿宋" w:hAnsi="仿宋" w:eastAsia="仿宋" w:cs="仿宋"/>
          <w:sz w:val="28"/>
          <w:szCs w:val="28"/>
        </w:rPr>
      </w:pPr>
      <w:r>
        <w:rPr>
          <w:rFonts w:hint="eastAsia" w:ascii="仿宋" w:hAnsi="仿宋" w:eastAsia="仿宋" w:cs="仿宋"/>
          <w:sz w:val="28"/>
          <w:szCs w:val="28"/>
        </w:rPr>
        <w:t>（2）运输及包装方式的要求：</w:t>
      </w:r>
    </w:p>
    <w:p>
      <w:pPr>
        <w:ind w:firstLine="588" w:firstLineChars="210"/>
        <w:rPr>
          <w:rFonts w:ascii="仿宋" w:hAnsi="仿宋" w:eastAsia="仿宋" w:cs="仿宋"/>
          <w:sz w:val="28"/>
          <w:szCs w:val="28"/>
        </w:rPr>
      </w:pPr>
      <w:r>
        <w:rPr>
          <w:rFonts w:hint="eastAsia" w:ascii="仿宋" w:hAnsi="仿宋" w:eastAsia="仿宋" w:cs="仿宋"/>
          <w:sz w:val="28"/>
          <w:szCs w:val="28"/>
        </w:rPr>
        <w:t>货物运输由报价人承担，确保货物有原厂出厂包装，并根据货物类型进行必要性的加固保护，由采购方项目业务负责人和报价人项目业务负责人共同开箱检验。</w:t>
      </w:r>
    </w:p>
    <w:p>
      <w:pPr>
        <w:ind w:firstLine="588" w:firstLineChars="210"/>
        <w:rPr>
          <w:rFonts w:ascii="仿宋" w:hAnsi="仿宋" w:eastAsia="仿宋" w:cs="仿宋"/>
          <w:sz w:val="28"/>
          <w:szCs w:val="28"/>
        </w:rPr>
      </w:pPr>
      <w:r>
        <w:rPr>
          <w:rFonts w:hint="eastAsia" w:ascii="仿宋" w:hAnsi="仿宋" w:eastAsia="仿宋" w:cs="仿宋"/>
          <w:sz w:val="28"/>
          <w:szCs w:val="28"/>
        </w:rPr>
        <w:t>（3）随货物必须配备的技术文件清单</w:t>
      </w:r>
    </w:p>
    <w:p>
      <w:pPr>
        <w:ind w:firstLine="588" w:firstLineChars="210"/>
        <w:rPr>
          <w:rFonts w:ascii="仿宋" w:hAnsi="仿宋" w:eastAsia="仿宋" w:cs="仿宋"/>
          <w:sz w:val="28"/>
          <w:szCs w:val="28"/>
        </w:rPr>
      </w:pPr>
      <w:r>
        <w:rPr>
          <w:rFonts w:hint="eastAsia" w:ascii="仿宋" w:hAnsi="仿宋" w:eastAsia="仿宋" w:cs="仿宋"/>
          <w:sz w:val="28"/>
          <w:szCs w:val="28"/>
        </w:rPr>
        <w:t>3.1 设备原厂的说明书、合格证书、售后服务承诺书等（中文版本）。</w:t>
      </w:r>
    </w:p>
    <w:p>
      <w:pPr>
        <w:ind w:firstLine="588" w:firstLineChars="210"/>
        <w:rPr>
          <w:rFonts w:ascii="仿宋" w:hAnsi="仿宋" w:eastAsia="仿宋" w:cs="仿宋"/>
          <w:sz w:val="28"/>
          <w:szCs w:val="28"/>
        </w:rPr>
      </w:pPr>
      <w:r>
        <w:rPr>
          <w:rFonts w:hint="eastAsia" w:ascii="仿宋" w:hAnsi="仿宋" w:eastAsia="仿宋" w:cs="仿宋"/>
          <w:sz w:val="28"/>
          <w:szCs w:val="28"/>
        </w:rPr>
        <w:t>（4）交货地点和日期</w:t>
      </w:r>
    </w:p>
    <w:p>
      <w:pPr>
        <w:ind w:firstLine="588" w:firstLineChars="210"/>
        <w:rPr>
          <w:rFonts w:ascii="仿宋" w:hAnsi="仿宋" w:eastAsia="仿宋" w:cs="仿宋"/>
          <w:sz w:val="28"/>
          <w:szCs w:val="28"/>
        </w:rPr>
      </w:pPr>
      <w:r>
        <w:rPr>
          <w:rFonts w:hint="eastAsia" w:ascii="仿宋" w:hAnsi="仿宋" w:eastAsia="仿宋" w:cs="仿宋"/>
          <w:sz w:val="28"/>
          <w:szCs w:val="28"/>
        </w:rPr>
        <w:t>4.1交货地点：广州市净水有限公司沥滘分公司、京溪分公司</w:t>
      </w:r>
    </w:p>
    <w:p>
      <w:pPr>
        <w:ind w:firstLine="588" w:firstLineChars="210"/>
        <w:rPr>
          <w:rFonts w:ascii="仿宋" w:hAnsi="仿宋" w:eastAsia="仿宋" w:cs="仿宋"/>
          <w:sz w:val="28"/>
          <w:szCs w:val="28"/>
        </w:rPr>
      </w:pPr>
      <w:r>
        <w:rPr>
          <w:rFonts w:hint="eastAsia" w:ascii="仿宋" w:hAnsi="仿宋" w:eastAsia="仿宋" w:cs="仿宋"/>
          <w:sz w:val="28"/>
          <w:szCs w:val="28"/>
        </w:rPr>
        <w:t>4.2 日期：在合同签订之日起35天内全部交货至各使用地点，并且完成设备安装、调试和联网完毕，进行系统试运行（连续正常运行30天，不包含在系统安装调试期内）。</w:t>
      </w:r>
    </w:p>
    <w:p>
      <w:pPr>
        <w:ind w:firstLine="588" w:firstLineChars="210"/>
        <w:rPr>
          <w:rFonts w:ascii="仿宋" w:hAnsi="仿宋" w:eastAsia="仿宋" w:cs="仿宋"/>
          <w:sz w:val="28"/>
          <w:szCs w:val="28"/>
        </w:rPr>
      </w:pPr>
      <w:r>
        <w:rPr>
          <w:rFonts w:hint="eastAsia" w:ascii="仿宋" w:hAnsi="仿宋" w:eastAsia="仿宋" w:cs="仿宋"/>
          <w:sz w:val="28"/>
          <w:szCs w:val="28"/>
        </w:rPr>
        <w:t>（5）完成系统试运行后30天内，配合完成广州净水公司验收。</w:t>
      </w:r>
    </w:p>
    <w:p>
      <w:pPr>
        <w:ind w:firstLine="560" w:firstLineChars="200"/>
        <w:rPr>
          <w:rFonts w:ascii="仿宋" w:hAnsi="仿宋" w:eastAsia="仿宋" w:cs="仿宋"/>
          <w:sz w:val="28"/>
          <w:szCs w:val="28"/>
        </w:rPr>
      </w:pPr>
      <w:r>
        <w:rPr>
          <w:rFonts w:hint="eastAsia" w:ascii="仿宋" w:hAnsi="仿宋" w:eastAsia="仿宋" w:cs="仿宋"/>
          <w:sz w:val="28"/>
          <w:szCs w:val="28"/>
        </w:rPr>
        <w:t>（6）质量保证期期限及发生问题的处理意见</w:t>
      </w:r>
    </w:p>
    <w:p>
      <w:pPr>
        <w:ind w:firstLine="588" w:firstLineChars="210"/>
        <w:rPr>
          <w:rFonts w:ascii="仿宋" w:hAnsi="仿宋" w:eastAsia="仿宋" w:cs="仿宋"/>
          <w:sz w:val="28"/>
          <w:szCs w:val="28"/>
        </w:rPr>
      </w:pPr>
      <w:r>
        <w:rPr>
          <w:rFonts w:hint="eastAsia" w:ascii="仿宋" w:hAnsi="仿宋" w:eastAsia="仿宋" w:cs="仿宋"/>
          <w:sz w:val="28"/>
          <w:szCs w:val="28"/>
        </w:rPr>
        <w:t>6.1 质量保证期期限：完成验收后1年；</w:t>
      </w:r>
    </w:p>
    <w:p>
      <w:pPr>
        <w:ind w:firstLine="588" w:firstLineChars="210"/>
        <w:rPr>
          <w:rFonts w:ascii="仿宋" w:hAnsi="仿宋" w:eastAsia="仿宋" w:cs="仿宋"/>
          <w:sz w:val="28"/>
          <w:szCs w:val="28"/>
        </w:rPr>
      </w:pPr>
      <w:r>
        <w:rPr>
          <w:rFonts w:hint="eastAsia" w:ascii="仿宋" w:hAnsi="仿宋" w:eastAsia="仿宋" w:cs="仿宋"/>
          <w:sz w:val="28"/>
          <w:szCs w:val="28"/>
        </w:rPr>
        <w:t>6.2 发生问题的处理意见：以合同结算价的5%作为质量保证金，若报价人对质量保证期内发生问题未能及时妥善处理，则不予退还质量保证金。</w:t>
      </w:r>
    </w:p>
    <w:p>
      <w:pPr>
        <w:ind w:firstLine="588" w:firstLineChars="210"/>
        <w:rPr>
          <w:rFonts w:ascii="仿宋" w:hAnsi="仿宋" w:eastAsia="仿宋" w:cs="仿宋"/>
          <w:sz w:val="28"/>
          <w:szCs w:val="28"/>
        </w:rPr>
      </w:pPr>
      <w:r>
        <w:rPr>
          <w:rFonts w:hint="eastAsia" w:ascii="仿宋" w:hAnsi="仿宋" w:eastAsia="仿宋" w:cs="仿宋"/>
          <w:sz w:val="28"/>
          <w:szCs w:val="28"/>
        </w:rPr>
        <w:t>（7）付款方式和时间安排</w:t>
      </w:r>
    </w:p>
    <w:p>
      <w:pPr>
        <w:ind w:firstLine="588" w:firstLineChars="210"/>
        <w:rPr>
          <w:rFonts w:ascii="仿宋" w:hAnsi="仿宋" w:eastAsia="仿宋" w:cs="仿宋"/>
          <w:sz w:val="28"/>
          <w:szCs w:val="28"/>
        </w:rPr>
      </w:pPr>
      <w:r>
        <w:rPr>
          <w:rFonts w:hint="eastAsia" w:ascii="仿宋" w:hAnsi="仿宋" w:eastAsia="仿宋" w:cs="仿宋"/>
          <w:sz w:val="28"/>
          <w:szCs w:val="28"/>
        </w:rPr>
        <w:t>7.1 合同签订且到货后，经开箱验收合格且乙方提供全额增值税专用发票后，支付至合同暂定总价的50%；</w:t>
      </w:r>
    </w:p>
    <w:p>
      <w:pPr>
        <w:ind w:firstLine="588" w:firstLineChars="210"/>
        <w:rPr>
          <w:rFonts w:ascii="仿宋" w:hAnsi="仿宋" w:eastAsia="仿宋" w:cs="仿宋"/>
          <w:sz w:val="28"/>
          <w:szCs w:val="28"/>
        </w:rPr>
      </w:pPr>
      <w:r>
        <w:rPr>
          <w:rFonts w:hint="eastAsia" w:ascii="仿宋" w:hAnsi="仿宋" w:eastAsia="仿宋" w:cs="仿宋"/>
          <w:sz w:val="28"/>
          <w:szCs w:val="28"/>
        </w:rPr>
        <w:t>7.2 货物到达，完成设备安装、调试和联网完毕，且乙方提供全额增值税专用发票后，支付至合同结算价的75%；</w:t>
      </w:r>
    </w:p>
    <w:p>
      <w:pPr>
        <w:ind w:firstLine="588" w:firstLineChars="210"/>
        <w:rPr>
          <w:rFonts w:ascii="仿宋" w:hAnsi="仿宋" w:eastAsia="仿宋" w:cs="仿宋"/>
          <w:sz w:val="28"/>
          <w:szCs w:val="28"/>
        </w:rPr>
      </w:pPr>
      <w:r>
        <w:rPr>
          <w:rFonts w:hint="eastAsia" w:ascii="仿宋" w:hAnsi="仿宋" w:eastAsia="仿宋" w:cs="仿宋"/>
          <w:sz w:val="28"/>
          <w:szCs w:val="28"/>
        </w:rPr>
        <w:t>7.3 设备安装后顺利通过自主验收及工程项目验收合格，且乙方提供全额增值税专用发票后，支付至合同结算价的95%（含预付款）（若审核价低于合同暂定总价，则以审核价作为合同结算价，否则以合同暂定总价为合同结算价），合同结算价的5%作为质保金留存。</w:t>
      </w:r>
    </w:p>
    <w:p>
      <w:pPr>
        <w:ind w:firstLine="588" w:firstLineChars="210"/>
        <w:rPr>
          <w:rFonts w:ascii="仿宋" w:hAnsi="仿宋" w:eastAsia="仿宋" w:cs="仿宋"/>
          <w:sz w:val="28"/>
          <w:szCs w:val="28"/>
        </w:rPr>
      </w:pPr>
      <w:r>
        <w:rPr>
          <w:rFonts w:hint="eastAsia" w:ascii="仿宋" w:hAnsi="仿宋" w:eastAsia="仿宋" w:cs="仿宋"/>
          <w:sz w:val="28"/>
          <w:szCs w:val="28"/>
        </w:rPr>
        <w:t>7.4 质保期满后，甲方支付合同结算价的5％（质保金）的余款给乙方。质量保证期期限为甲方验收后1年。</w:t>
      </w:r>
    </w:p>
    <w:p>
      <w:pPr>
        <w:numPr>
          <w:ilvl w:val="255"/>
          <w:numId w:val="0"/>
        </w:numPr>
        <w:ind w:firstLine="560" w:firstLineChars="200"/>
        <w:rPr>
          <w:rFonts w:ascii="仿宋" w:hAnsi="仿宋" w:eastAsia="仿宋" w:cs="仿宋"/>
          <w:sz w:val="28"/>
          <w:szCs w:val="28"/>
        </w:rPr>
      </w:pPr>
      <w:r>
        <w:rPr>
          <w:rFonts w:hint="eastAsia" w:ascii="仿宋" w:hAnsi="仿宋" w:eastAsia="仿宋" w:cs="仿宋"/>
          <w:sz w:val="28"/>
          <w:szCs w:val="28"/>
        </w:rPr>
        <w:t>（8）售后服务</w:t>
      </w:r>
    </w:p>
    <w:p>
      <w:pPr>
        <w:ind w:firstLine="588" w:firstLineChars="210"/>
        <w:rPr>
          <w:rFonts w:ascii="仿宋" w:hAnsi="仿宋" w:eastAsia="仿宋" w:cs="仿宋"/>
          <w:sz w:val="28"/>
          <w:szCs w:val="28"/>
        </w:rPr>
      </w:pPr>
      <w:r>
        <w:rPr>
          <w:rFonts w:hint="eastAsia" w:ascii="仿宋" w:hAnsi="仿宋" w:eastAsia="仿宋" w:cs="仿宋"/>
          <w:sz w:val="28"/>
          <w:szCs w:val="28"/>
        </w:rPr>
        <w:t>8.1.所投货物从本项目验收合格之日起承诺不少于1年的全免费售后服务质量保证期,保质保用期内非采购人的人为原因而出现产品质量及安装问题，由中选人负责包修、包换或包退，并承担因此而产生的一切费用。</w:t>
      </w:r>
    </w:p>
    <w:p>
      <w:pPr>
        <w:ind w:firstLine="588" w:firstLineChars="210"/>
        <w:rPr>
          <w:rFonts w:ascii="仿宋" w:hAnsi="仿宋" w:eastAsia="仿宋" w:cs="仿宋"/>
          <w:sz w:val="28"/>
          <w:szCs w:val="28"/>
        </w:rPr>
      </w:pPr>
      <w:r>
        <w:rPr>
          <w:rFonts w:hint="eastAsia" w:ascii="仿宋" w:hAnsi="仿宋" w:eastAsia="仿宋" w:cs="仿宋"/>
          <w:sz w:val="28"/>
          <w:szCs w:val="28"/>
        </w:rPr>
        <w:t>8.2.能够提供快速、良好的维修服务。具有专业的工程师跟踪服务，并保证长期良好的售后服务和零配件供应，以满足用户单位要求，提供24小时的全方位技术支持和售后服务。所供货物须按厂家承诺实行“三包”，若发现本次采购的货物本身存在缺陷，中选人须无条件退货或更换同类产品。</w:t>
      </w:r>
    </w:p>
    <w:p>
      <w:pPr>
        <w:ind w:firstLine="588" w:firstLineChars="210"/>
        <w:rPr>
          <w:rFonts w:ascii="仿宋" w:hAnsi="仿宋" w:eastAsia="仿宋" w:cs="仿宋"/>
          <w:sz w:val="28"/>
          <w:szCs w:val="28"/>
        </w:rPr>
      </w:pPr>
      <w:r>
        <w:rPr>
          <w:rFonts w:hint="eastAsia" w:ascii="仿宋" w:hAnsi="仿宋" w:eastAsia="仿宋" w:cs="仿宋"/>
          <w:sz w:val="28"/>
          <w:szCs w:val="28"/>
        </w:rPr>
        <w:t>8.3.在保用的期限内，本次采购的货物出现非采购人责任造成的故障的，供应商无偿为采购人维修或更换相应货物，并保证设备的正常使用。响应时间：采购人反馈产品质量、故障、事故问题时，30分钟内予以响应,需到现场维修时，6小时内到达现场维修，一般情况在24小时内须排除故障，特殊情况需与采购人说明情况，并提供代用货物，保证设备的正常工作使用</w:t>
      </w:r>
    </w:p>
    <w:p>
      <w:pPr>
        <w:ind w:firstLine="588" w:firstLineChars="210"/>
        <w:rPr>
          <w:rFonts w:ascii="仿宋" w:hAnsi="仿宋" w:eastAsia="仿宋" w:cs="仿宋"/>
          <w:sz w:val="28"/>
          <w:szCs w:val="28"/>
        </w:rPr>
      </w:pPr>
      <w:r>
        <w:rPr>
          <w:rFonts w:hint="eastAsia" w:ascii="仿宋" w:hAnsi="仿宋" w:eastAsia="仿宋" w:cs="仿宋"/>
          <w:sz w:val="28"/>
          <w:szCs w:val="28"/>
        </w:rPr>
        <w:t>（9）技术支持</w:t>
      </w:r>
    </w:p>
    <w:p>
      <w:pPr>
        <w:ind w:firstLine="588" w:firstLineChars="210"/>
        <w:rPr>
          <w:rFonts w:ascii="仿宋" w:hAnsi="仿宋" w:eastAsia="仿宋" w:cs="仿宋"/>
          <w:sz w:val="28"/>
          <w:szCs w:val="28"/>
        </w:rPr>
      </w:pPr>
      <w:r>
        <w:rPr>
          <w:rFonts w:hint="eastAsia" w:ascii="仿宋" w:hAnsi="仿宋" w:eastAsia="仿宋" w:cs="仿宋"/>
          <w:sz w:val="28"/>
          <w:szCs w:val="28"/>
        </w:rPr>
        <w:t>9.1报价人制定技术服务条款及实施办法等，并有明确的售后服务措施。</w:t>
      </w:r>
    </w:p>
    <w:p>
      <w:pPr>
        <w:ind w:firstLine="588" w:firstLineChars="210"/>
        <w:rPr>
          <w:rFonts w:ascii="仿宋" w:hAnsi="仿宋" w:eastAsia="仿宋" w:cs="仿宋"/>
          <w:sz w:val="28"/>
          <w:szCs w:val="28"/>
        </w:rPr>
      </w:pPr>
      <w:r>
        <w:rPr>
          <w:rFonts w:hint="eastAsia" w:ascii="仿宋" w:hAnsi="仿宋" w:eastAsia="仿宋" w:cs="仿宋"/>
          <w:sz w:val="28"/>
          <w:szCs w:val="28"/>
        </w:rPr>
        <w:t>9.2技术培训要求（所有培训费用均包括在总价中）</w:t>
      </w:r>
    </w:p>
    <w:p>
      <w:pPr>
        <w:ind w:firstLine="588" w:firstLineChars="210"/>
        <w:rPr>
          <w:rFonts w:ascii="仿宋" w:hAnsi="仿宋" w:eastAsia="仿宋" w:cs="仿宋"/>
          <w:sz w:val="28"/>
          <w:szCs w:val="28"/>
        </w:rPr>
      </w:pPr>
      <w:r>
        <w:rPr>
          <w:rFonts w:hint="eastAsia" w:ascii="仿宋" w:hAnsi="仿宋" w:eastAsia="仿宋" w:cs="仿宋"/>
          <w:sz w:val="28"/>
          <w:szCs w:val="28"/>
        </w:rPr>
        <w:t>应提供水污染源在线监测系统的各种分析设备全中文详细的操作、使用说明书和安装、维护手册；备用消耗品清册；维修单位地址、电话、技术人员名单及整套的验收资料。</w:t>
      </w:r>
    </w:p>
    <w:p>
      <w:pPr>
        <w:ind w:firstLine="588" w:firstLineChars="210"/>
        <w:rPr>
          <w:rFonts w:ascii="仿宋" w:hAnsi="仿宋" w:eastAsia="仿宋" w:cs="仿宋"/>
          <w:sz w:val="28"/>
          <w:szCs w:val="28"/>
        </w:rPr>
      </w:pPr>
      <w:r>
        <w:rPr>
          <w:rFonts w:hint="eastAsia" w:ascii="仿宋" w:hAnsi="仿宋" w:eastAsia="仿宋" w:cs="仿宋"/>
          <w:sz w:val="28"/>
          <w:szCs w:val="28"/>
        </w:rPr>
        <w:t>集中培训：包括理论培训和实操培训，在系统试运行期满后10天内完成。讲解水污染源在线监测系统仪器的构造、使用、标定、清洗、保养及管道、采样系统等维护、设计原理、使用方法、注意事项及如何做好监测数据有效性审核工作等等相关知识。</w:t>
      </w:r>
    </w:p>
    <w:p>
      <w:pPr>
        <w:ind w:firstLine="588" w:firstLineChars="210"/>
        <w:rPr>
          <w:rFonts w:ascii="仿宋" w:hAnsi="仿宋" w:eastAsia="仿宋" w:cs="仿宋"/>
          <w:sz w:val="28"/>
          <w:szCs w:val="28"/>
        </w:rPr>
      </w:pPr>
      <w:r>
        <w:rPr>
          <w:rFonts w:hint="eastAsia" w:ascii="仿宋" w:hAnsi="仿宋" w:eastAsia="仿宋" w:cs="仿宋"/>
          <w:sz w:val="28"/>
          <w:szCs w:val="28"/>
        </w:rPr>
        <w:t>9.3操作手册及工具</w:t>
      </w:r>
    </w:p>
    <w:p>
      <w:pPr>
        <w:ind w:firstLine="588" w:firstLineChars="210"/>
        <w:rPr>
          <w:rFonts w:ascii="仿宋" w:hAnsi="仿宋" w:eastAsia="仿宋" w:cs="仿宋"/>
          <w:sz w:val="28"/>
          <w:szCs w:val="28"/>
        </w:rPr>
      </w:pPr>
      <w:r>
        <w:rPr>
          <w:rFonts w:hint="eastAsia" w:ascii="仿宋" w:hAnsi="仿宋" w:eastAsia="仿宋" w:cs="仿宋"/>
          <w:sz w:val="28"/>
          <w:szCs w:val="28"/>
        </w:rPr>
        <w:t>中选人应提供包括但不限于满足货物安装、使用、专用安装维修工具、日常维修工具和维护的技术文件，如货物和附件装箱清单、产品合格证、产品检验报告、保修服务卡、使用说明（原版正本）和中文维护手册。</w:t>
      </w:r>
    </w:p>
    <w:p>
      <w:pPr>
        <w:widowControl/>
        <w:jc w:val="left"/>
        <w:rPr>
          <w:rFonts w:ascii="仿宋" w:hAnsi="仿宋" w:eastAsia="仿宋" w:cs="仿宋"/>
          <w:sz w:val="28"/>
          <w:szCs w:val="28"/>
        </w:rPr>
      </w:pPr>
      <w:r>
        <w:rPr>
          <w:rFonts w:hint="eastAsia" w:ascii="仿宋" w:hAnsi="仿宋" w:eastAsia="仿宋" w:cs="仿宋"/>
          <w:sz w:val="28"/>
          <w:szCs w:val="28"/>
        </w:rPr>
        <w:br w:type="page"/>
      </w:r>
    </w:p>
    <w:p>
      <w:pPr>
        <w:pStyle w:val="14"/>
        <w:adjustRightInd w:val="0"/>
        <w:snapToGrid w:val="0"/>
        <w:spacing w:line="300" w:lineRule="auto"/>
        <w:jc w:val="center"/>
        <w:rPr>
          <w:rFonts w:ascii="仿宋" w:hAnsi="仿宋" w:eastAsia="仿宋" w:cs="仿宋"/>
          <w:b/>
          <w:sz w:val="28"/>
          <w:szCs w:val="28"/>
        </w:rPr>
      </w:pPr>
      <w:r>
        <w:rPr>
          <w:rFonts w:hint="eastAsia" w:ascii="仿宋" w:hAnsi="仿宋" w:eastAsia="仿宋" w:cs="仿宋"/>
          <w:b/>
          <w:sz w:val="28"/>
          <w:szCs w:val="28"/>
          <w:lang w:val="zh-CN"/>
        </w:rPr>
        <w:t xml:space="preserve">第三部分 </w:t>
      </w:r>
      <w:r>
        <w:rPr>
          <w:rFonts w:hint="eastAsia" w:ascii="仿宋" w:hAnsi="仿宋" w:eastAsia="仿宋" w:cs="仿宋"/>
          <w:b/>
          <w:sz w:val="28"/>
          <w:szCs w:val="28"/>
        </w:rPr>
        <w:t xml:space="preserve"> 报价须知</w:t>
      </w:r>
    </w:p>
    <w:p>
      <w:pPr>
        <w:pStyle w:val="14"/>
        <w:adjustRightInd w:val="0"/>
        <w:snapToGrid w:val="0"/>
        <w:spacing w:line="300" w:lineRule="auto"/>
        <w:rPr>
          <w:rFonts w:ascii="仿宋" w:hAnsi="仿宋" w:eastAsia="仿宋" w:cs="仿宋"/>
          <w:b/>
          <w:sz w:val="28"/>
          <w:szCs w:val="28"/>
        </w:rPr>
      </w:pPr>
    </w:p>
    <w:p>
      <w:pPr>
        <w:pStyle w:val="14"/>
        <w:adjustRightInd w:val="0"/>
        <w:snapToGrid w:val="0"/>
        <w:spacing w:line="300" w:lineRule="auto"/>
        <w:rPr>
          <w:rFonts w:ascii="仿宋" w:hAnsi="仿宋" w:eastAsia="仿宋" w:cs="仿宋"/>
          <w:b/>
          <w:sz w:val="28"/>
          <w:szCs w:val="28"/>
        </w:rPr>
      </w:pPr>
      <w:r>
        <w:rPr>
          <w:rFonts w:hint="eastAsia" w:ascii="仿宋" w:hAnsi="仿宋" w:eastAsia="仿宋" w:cs="仿宋"/>
          <w:b/>
          <w:sz w:val="28"/>
          <w:szCs w:val="28"/>
        </w:rPr>
        <w:t>一、概念释义</w:t>
      </w:r>
    </w:p>
    <w:p>
      <w:pPr>
        <w:pStyle w:val="14"/>
        <w:adjustRightInd w:val="0"/>
        <w:snapToGrid w:val="0"/>
        <w:spacing w:line="300" w:lineRule="auto"/>
        <w:ind w:left="560" w:hanging="560" w:hangingChars="200"/>
        <w:rPr>
          <w:rFonts w:ascii="仿宋" w:hAnsi="仿宋" w:eastAsia="仿宋" w:cs="仿宋"/>
          <w:sz w:val="28"/>
          <w:szCs w:val="28"/>
        </w:rPr>
      </w:pPr>
      <w:r>
        <w:rPr>
          <w:rFonts w:hint="eastAsia" w:ascii="仿宋" w:hAnsi="仿宋" w:eastAsia="仿宋" w:cs="仿宋"/>
          <w:sz w:val="28"/>
          <w:szCs w:val="28"/>
        </w:rPr>
        <w:t>1.“询价人”是指：</w:t>
      </w:r>
      <w:r>
        <w:rPr>
          <w:rFonts w:hint="eastAsia" w:ascii="仿宋" w:hAnsi="仿宋" w:eastAsia="仿宋" w:cs="仿宋"/>
          <w:kern w:val="0"/>
          <w:sz w:val="28"/>
          <w:szCs w:val="28"/>
        </w:rPr>
        <w:t>广州市净水有限公司</w:t>
      </w:r>
      <w:r>
        <w:rPr>
          <w:rFonts w:hint="eastAsia" w:ascii="仿宋" w:hAnsi="仿宋" w:eastAsia="仿宋" w:cs="仿宋"/>
          <w:sz w:val="28"/>
          <w:szCs w:val="28"/>
        </w:rPr>
        <w:t>。</w:t>
      </w:r>
    </w:p>
    <w:p>
      <w:pPr>
        <w:pStyle w:val="14"/>
        <w:tabs>
          <w:tab w:val="left" w:pos="360"/>
        </w:tabs>
        <w:adjustRightInd w:val="0"/>
        <w:snapToGrid w:val="0"/>
        <w:spacing w:line="300" w:lineRule="auto"/>
        <w:ind w:left="560" w:hanging="560" w:hangingChars="200"/>
        <w:rPr>
          <w:rFonts w:ascii="仿宋" w:hAnsi="仿宋" w:eastAsia="仿宋" w:cs="仿宋"/>
          <w:kern w:val="0"/>
          <w:sz w:val="28"/>
          <w:szCs w:val="28"/>
        </w:rPr>
      </w:pPr>
      <w:r>
        <w:rPr>
          <w:rFonts w:hint="eastAsia" w:ascii="仿宋" w:hAnsi="仿宋" w:eastAsia="仿宋" w:cs="仿宋"/>
          <w:sz w:val="28"/>
          <w:szCs w:val="28"/>
        </w:rPr>
        <w:t>2.合格的报价单位:</w:t>
      </w:r>
      <w:r>
        <w:rPr>
          <w:rFonts w:hint="eastAsia" w:ascii="仿宋" w:hAnsi="仿宋" w:eastAsia="仿宋" w:cs="仿宋"/>
          <w:kern w:val="0"/>
          <w:sz w:val="28"/>
          <w:szCs w:val="28"/>
        </w:rPr>
        <w:t>符合询价文件规定资格</w:t>
      </w:r>
      <w:r>
        <w:rPr>
          <w:rFonts w:hint="eastAsia" w:ascii="仿宋" w:hAnsi="仿宋" w:eastAsia="仿宋" w:cs="仿宋"/>
          <w:sz w:val="28"/>
          <w:szCs w:val="28"/>
          <w:lang w:val="zh-CN"/>
        </w:rPr>
        <w:t>要求</w:t>
      </w:r>
      <w:r>
        <w:rPr>
          <w:rFonts w:hint="eastAsia" w:ascii="仿宋" w:hAnsi="仿宋" w:eastAsia="仿宋" w:cs="仿宋"/>
          <w:kern w:val="0"/>
          <w:sz w:val="28"/>
          <w:szCs w:val="28"/>
        </w:rPr>
        <w:t>的报价单位。</w:t>
      </w:r>
    </w:p>
    <w:p>
      <w:pPr>
        <w:pStyle w:val="14"/>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3.“承包人”是指经法定程序确认并授以合同的报价单位。</w:t>
      </w:r>
    </w:p>
    <w:p>
      <w:pPr>
        <w:pStyle w:val="14"/>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4.合格的工程：满足国家相关法律、法规、规章等规定，并符合本项目相关质量要求、安全文明施工要求的工程。</w:t>
      </w:r>
    </w:p>
    <w:p>
      <w:pPr>
        <w:pStyle w:val="14"/>
        <w:adjustRightInd w:val="0"/>
        <w:snapToGrid w:val="0"/>
        <w:spacing w:line="300" w:lineRule="auto"/>
        <w:ind w:left="420" w:hanging="420"/>
        <w:rPr>
          <w:rFonts w:ascii="仿宋" w:hAnsi="仿宋" w:eastAsia="仿宋" w:cs="仿宋"/>
          <w:b/>
          <w:sz w:val="28"/>
          <w:szCs w:val="28"/>
        </w:rPr>
      </w:pPr>
      <w:r>
        <w:rPr>
          <w:rFonts w:hint="eastAsia" w:ascii="仿宋" w:hAnsi="仿宋" w:eastAsia="仿宋" w:cs="仿宋"/>
          <w:b/>
          <w:sz w:val="28"/>
          <w:szCs w:val="28"/>
        </w:rPr>
        <w:t>二、询价文件</w:t>
      </w:r>
    </w:p>
    <w:p>
      <w:pPr>
        <w:pStyle w:val="14"/>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5．适用范围:本询价文件适用于本报价邀请中所述项目的询价。</w:t>
      </w:r>
    </w:p>
    <w:p>
      <w:pPr>
        <w:pStyle w:val="14"/>
        <w:adjustRightInd w:val="0"/>
        <w:snapToGrid w:val="0"/>
        <w:spacing w:line="300" w:lineRule="auto"/>
        <w:ind w:left="420" w:hanging="420"/>
        <w:rPr>
          <w:rFonts w:ascii="仿宋" w:hAnsi="仿宋" w:eastAsia="仿宋" w:cs="仿宋"/>
          <w:sz w:val="28"/>
          <w:szCs w:val="28"/>
        </w:rPr>
      </w:pPr>
      <w:r>
        <w:rPr>
          <w:rFonts w:hint="eastAsia" w:ascii="仿宋" w:hAnsi="仿宋" w:eastAsia="仿宋" w:cs="仿宋"/>
          <w:sz w:val="28"/>
          <w:szCs w:val="28"/>
        </w:rPr>
        <w:t>6. 询价文件的构成</w:t>
      </w:r>
    </w:p>
    <w:p>
      <w:pPr>
        <w:pStyle w:val="14"/>
        <w:adjustRightInd w:val="0"/>
        <w:snapToGrid w:val="0"/>
        <w:spacing w:line="300" w:lineRule="auto"/>
        <w:ind w:left="420" w:hanging="420"/>
        <w:rPr>
          <w:rFonts w:ascii="仿宋" w:hAnsi="仿宋" w:eastAsia="仿宋" w:cs="仿宋"/>
          <w:sz w:val="28"/>
          <w:szCs w:val="28"/>
        </w:rPr>
      </w:pPr>
      <w:r>
        <w:rPr>
          <w:rFonts w:hint="eastAsia" w:ascii="仿宋" w:hAnsi="仿宋" w:eastAsia="仿宋" w:cs="仿宋"/>
          <w:sz w:val="28"/>
          <w:szCs w:val="28"/>
        </w:rPr>
        <w:t>6.1询价文件包括但不限于下列文件:</w:t>
      </w:r>
    </w:p>
    <w:p>
      <w:pPr>
        <w:pStyle w:val="14"/>
        <w:adjustRightInd w:val="0"/>
        <w:snapToGrid w:val="0"/>
        <w:spacing w:line="300" w:lineRule="auto"/>
        <w:ind w:firstLine="360"/>
        <w:rPr>
          <w:rFonts w:ascii="仿宋" w:hAnsi="仿宋" w:eastAsia="仿宋" w:cs="仿宋"/>
          <w:sz w:val="28"/>
          <w:szCs w:val="28"/>
        </w:rPr>
      </w:pPr>
      <w:r>
        <w:rPr>
          <w:rFonts w:hint="eastAsia" w:ascii="仿宋" w:hAnsi="仿宋" w:eastAsia="仿宋" w:cs="仿宋"/>
          <w:sz w:val="28"/>
          <w:szCs w:val="28"/>
        </w:rPr>
        <w:t>1）报价邀请函</w:t>
      </w:r>
    </w:p>
    <w:p>
      <w:pPr>
        <w:pStyle w:val="14"/>
        <w:adjustRightInd w:val="0"/>
        <w:snapToGrid w:val="0"/>
        <w:spacing w:line="300" w:lineRule="auto"/>
        <w:ind w:firstLine="360"/>
        <w:rPr>
          <w:rFonts w:ascii="仿宋" w:hAnsi="仿宋" w:eastAsia="仿宋" w:cs="仿宋"/>
          <w:sz w:val="28"/>
          <w:szCs w:val="28"/>
        </w:rPr>
      </w:pPr>
      <w:r>
        <w:rPr>
          <w:rFonts w:hint="eastAsia" w:ascii="仿宋" w:hAnsi="仿宋" w:eastAsia="仿宋" w:cs="仿宋"/>
          <w:sz w:val="28"/>
          <w:szCs w:val="28"/>
        </w:rPr>
        <w:t>2) 项目内容</w:t>
      </w:r>
    </w:p>
    <w:p>
      <w:pPr>
        <w:pStyle w:val="14"/>
        <w:adjustRightInd w:val="0"/>
        <w:snapToGrid w:val="0"/>
        <w:spacing w:line="300" w:lineRule="auto"/>
        <w:ind w:firstLine="360"/>
        <w:rPr>
          <w:rFonts w:ascii="仿宋" w:hAnsi="仿宋" w:eastAsia="仿宋" w:cs="仿宋"/>
          <w:sz w:val="28"/>
          <w:szCs w:val="28"/>
        </w:rPr>
      </w:pPr>
      <w:r>
        <w:rPr>
          <w:rFonts w:hint="eastAsia" w:ascii="仿宋" w:hAnsi="仿宋" w:eastAsia="仿宋" w:cs="仿宋"/>
          <w:sz w:val="28"/>
          <w:szCs w:val="28"/>
        </w:rPr>
        <w:t>3) 报价单位须知</w:t>
      </w:r>
    </w:p>
    <w:p>
      <w:pPr>
        <w:pStyle w:val="14"/>
        <w:adjustRightInd w:val="0"/>
        <w:snapToGrid w:val="0"/>
        <w:spacing w:line="300" w:lineRule="auto"/>
        <w:ind w:firstLine="360"/>
        <w:rPr>
          <w:rFonts w:ascii="仿宋" w:hAnsi="仿宋" w:eastAsia="仿宋" w:cs="仿宋"/>
          <w:sz w:val="28"/>
          <w:szCs w:val="28"/>
        </w:rPr>
      </w:pPr>
      <w:r>
        <w:rPr>
          <w:rFonts w:hint="eastAsia" w:ascii="仿宋" w:hAnsi="仿宋" w:eastAsia="仿宋" w:cs="仿宋"/>
          <w:sz w:val="28"/>
          <w:szCs w:val="28"/>
        </w:rPr>
        <w:t>4) 合同书格式</w:t>
      </w:r>
    </w:p>
    <w:p>
      <w:pPr>
        <w:pStyle w:val="14"/>
        <w:adjustRightInd w:val="0"/>
        <w:snapToGrid w:val="0"/>
        <w:spacing w:line="300" w:lineRule="auto"/>
        <w:ind w:firstLine="360"/>
        <w:rPr>
          <w:rFonts w:ascii="仿宋" w:hAnsi="仿宋" w:eastAsia="仿宋" w:cs="仿宋"/>
          <w:sz w:val="28"/>
          <w:szCs w:val="28"/>
        </w:rPr>
      </w:pPr>
      <w:r>
        <w:rPr>
          <w:rFonts w:hint="eastAsia" w:ascii="仿宋" w:hAnsi="仿宋" w:eastAsia="仿宋" w:cs="仿宋"/>
          <w:sz w:val="28"/>
          <w:szCs w:val="28"/>
        </w:rPr>
        <w:t>5) 询价响应文件格式</w:t>
      </w:r>
    </w:p>
    <w:p>
      <w:pPr>
        <w:pStyle w:val="14"/>
        <w:adjustRightInd w:val="0"/>
        <w:snapToGrid w:val="0"/>
        <w:spacing w:line="300" w:lineRule="auto"/>
        <w:ind w:firstLine="360"/>
        <w:rPr>
          <w:rFonts w:ascii="仿宋" w:hAnsi="仿宋" w:eastAsia="仿宋" w:cs="仿宋"/>
          <w:sz w:val="28"/>
          <w:szCs w:val="28"/>
        </w:rPr>
      </w:pPr>
      <w:r>
        <w:rPr>
          <w:rFonts w:hint="eastAsia" w:ascii="仿宋" w:hAnsi="仿宋" w:eastAsia="仿宋" w:cs="仿宋"/>
          <w:sz w:val="28"/>
          <w:szCs w:val="28"/>
        </w:rPr>
        <w:t>6) 在询价过程中由询价人发出的修正和补充文件等</w:t>
      </w:r>
    </w:p>
    <w:p>
      <w:pPr>
        <w:pStyle w:val="14"/>
        <w:adjustRightInd w:val="0"/>
        <w:snapToGrid w:val="0"/>
        <w:spacing w:line="300" w:lineRule="auto"/>
        <w:ind w:left="420" w:hanging="420"/>
        <w:rPr>
          <w:rFonts w:ascii="仿宋" w:hAnsi="仿宋" w:eastAsia="仿宋" w:cs="仿宋"/>
          <w:sz w:val="28"/>
          <w:szCs w:val="28"/>
        </w:rPr>
      </w:pPr>
      <w:r>
        <w:rPr>
          <w:rFonts w:hint="eastAsia" w:ascii="仿宋" w:hAnsi="仿宋" w:eastAsia="仿宋" w:cs="仿宋"/>
          <w:sz w:val="28"/>
          <w:szCs w:val="28"/>
        </w:rPr>
        <w:t>6.2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pPr>
        <w:pStyle w:val="14"/>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7. 询价文件的澄清或修改</w:t>
      </w:r>
    </w:p>
    <w:p>
      <w:pPr>
        <w:pStyle w:val="14"/>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7.1询价文件的澄清是指询价人对询价文件中的遗漏、错误、词义表达不清或对比较复杂的事项进行说明，回答报价单位提出的各种问题。询价文件的修改是指询价人对询价文件中出现的错误进行修订。</w:t>
      </w:r>
    </w:p>
    <w:p>
      <w:pPr>
        <w:pStyle w:val="14"/>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7.2任何要求对询价文件进行澄清的报价单位，均应以纸质形式通知询价人。询价人对其收到的纸质的对询价文件的澄清要求均以书面形式予以答复，（答复中不包括问题的来源）。该答复作为询价文件的一部分，对报价单位有约束力。</w:t>
      </w:r>
    </w:p>
    <w:p>
      <w:pPr>
        <w:pStyle w:val="14"/>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７.3询价文件的修改或澄清将以书面形式通知所有获取询价文件的报价单位，并对其具有约束力。</w:t>
      </w:r>
    </w:p>
    <w:p>
      <w:pPr>
        <w:pStyle w:val="14"/>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7.4询价人可以视询价具体情况，延长递交询价响应文件截止时间，并将变更时间以书面形式通知所有询价文件收受人。</w:t>
      </w:r>
    </w:p>
    <w:p>
      <w:pPr>
        <w:pStyle w:val="14"/>
        <w:adjustRightInd w:val="0"/>
        <w:snapToGrid w:val="0"/>
        <w:spacing w:line="300" w:lineRule="auto"/>
        <w:ind w:left="420" w:hanging="420"/>
        <w:rPr>
          <w:rFonts w:ascii="仿宋" w:hAnsi="仿宋" w:eastAsia="仿宋" w:cs="仿宋"/>
          <w:sz w:val="28"/>
          <w:szCs w:val="28"/>
        </w:rPr>
      </w:pPr>
      <w:r>
        <w:rPr>
          <w:rFonts w:hint="eastAsia" w:ascii="仿宋" w:hAnsi="仿宋" w:eastAsia="仿宋" w:cs="仿宋_GB2312"/>
          <w:sz w:val="28"/>
          <w:szCs w:val="28"/>
        </w:rPr>
        <w:t>7.5 书面形式包括但不限于以纸质、电子邮件、门户网站信息公告等形式。</w:t>
      </w:r>
    </w:p>
    <w:p>
      <w:pPr>
        <w:pStyle w:val="14"/>
        <w:adjustRightInd w:val="0"/>
        <w:snapToGrid w:val="0"/>
        <w:spacing w:line="300" w:lineRule="auto"/>
        <w:rPr>
          <w:rFonts w:ascii="仿宋" w:hAnsi="仿宋" w:eastAsia="仿宋" w:cs="仿宋"/>
          <w:b/>
          <w:sz w:val="28"/>
          <w:szCs w:val="28"/>
        </w:rPr>
      </w:pPr>
      <w:r>
        <w:rPr>
          <w:rFonts w:hint="eastAsia" w:ascii="仿宋" w:hAnsi="仿宋" w:eastAsia="仿宋" w:cs="仿宋"/>
          <w:b/>
          <w:sz w:val="28"/>
          <w:szCs w:val="28"/>
        </w:rPr>
        <w:t>三、询价响应文件的编制和数量</w:t>
      </w:r>
    </w:p>
    <w:p>
      <w:pPr>
        <w:pStyle w:val="14"/>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8．询价响应费用</w:t>
      </w:r>
    </w:p>
    <w:p>
      <w:pPr>
        <w:pStyle w:val="14"/>
        <w:adjustRightInd w:val="0"/>
        <w:snapToGrid w:val="0"/>
        <w:spacing w:line="300" w:lineRule="auto"/>
        <w:ind w:left="420" w:hanging="420"/>
        <w:rPr>
          <w:rFonts w:ascii="仿宋" w:hAnsi="仿宋" w:eastAsia="仿宋" w:cs="仿宋"/>
          <w:sz w:val="28"/>
          <w:szCs w:val="28"/>
        </w:rPr>
      </w:pPr>
      <w:r>
        <w:rPr>
          <w:rFonts w:hint="eastAsia" w:ascii="仿宋" w:hAnsi="仿宋" w:eastAsia="仿宋" w:cs="仿宋"/>
          <w:sz w:val="28"/>
          <w:szCs w:val="28"/>
        </w:rPr>
        <w:t>8.1 报价单位应承担所有与准备和参加询价响应有关的费用。不论询价的结果如何，询价人均无义务和责任承担这些费用。</w:t>
      </w:r>
    </w:p>
    <w:p>
      <w:pPr>
        <w:pStyle w:val="14"/>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9．报价的语言及计量</w:t>
      </w:r>
    </w:p>
    <w:p>
      <w:pPr>
        <w:pStyle w:val="14"/>
        <w:adjustRightInd w:val="0"/>
        <w:snapToGrid w:val="0"/>
        <w:spacing w:line="300" w:lineRule="auto"/>
        <w:ind w:left="360" w:hanging="360"/>
        <w:rPr>
          <w:rFonts w:ascii="仿宋" w:hAnsi="仿宋" w:eastAsia="仿宋" w:cs="仿宋"/>
          <w:sz w:val="28"/>
          <w:szCs w:val="28"/>
        </w:rPr>
      </w:pPr>
      <w:r>
        <w:rPr>
          <w:rFonts w:hint="eastAsia" w:ascii="仿宋" w:hAnsi="仿宋" w:eastAsia="仿宋" w:cs="仿宋"/>
          <w:sz w:val="28"/>
          <w:szCs w:val="28"/>
        </w:rPr>
        <w:t>9.1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pPr>
        <w:pStyle w:val="14"/>
        <w:adjustRightInd w:val="0"/>
        <w:snapToGrid w:val="0"/>
        <w:spacing w:line="300" w:lineRule="auto"/>
        <w:ind w:left="360" w:hanging="360"/>
        <w:rPr>
          <w:rFonts w:ascii="仿宋" w:hAnsi="仿宋" w:eastAsia="仿宋" w:cs="仿宋"/>
          <w:sz w:val="28"/>
          <w:szCs w:val="28"/>
        </w:rPr>
      </w:pPr>
      <w:r>
        <w:rPr>
          <w:rFonts w:hint="eastAsia" w:ascii="仿宋" w:hAnsi="仿宋" w:eastAsia="仿宋" w:cs="仿宋"/>
          <w:sz w:val="28"/>
          <w:szCs w:val="28"/>
        </w:rPr>
        <w:t>9.2除非询价文件中另有规定，报价单位在询价响应文件中及其与询价人的所有往来文件中的计量单位均应采用中华人民共和国法定计量单位。</w:t>
      </w:r>
    </w:p>
    <w:p>
      <w:pPr>
        <w:pStyle w:val="14"/>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10．询价响应文件的构成</w:t>
      </w:r>
    </w:p>
    <w:p>
      <w:pPr>
        <w:pStyle w:val="14"/>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10.1报价单位编制的询价响应文件应包括但不少于本询价文件第五部分《询价响应文件格式》的所有内容。</w:t>
      </w:r>
    </w:p>
    <w:p>
      <w:pPr>
        <w:pStyle w:val="14"/>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11. 询价响应文件编制</w:t>
      </w:r>
    </w:p>
    <w:p>
      <w:pPr>
        <w:spacing w:line="300" w:lineRule="auto"/>
        <w:ind w:left="630" w:hanging="630" w:hangingChars="225"/>
        <w:rPr>
          <w:rFonts w:ascii="仿宋" w:hAnsi="仿宋" w:eastAsia="仿宋" w:cs="仿宋"/>
          <w:sz w:val="28"/>
          <w:szCs w:val="28"/>
        </w:rPr>
      </w:pPr>
      <w:r>
        <w:rPr>
          <w:rFonts w:hint="eastAsia" w:ascii="仿宋" w:hAnsi="仿宋" w:eastAsia="仿宋" w:cs="仿宋"/>
          <w:sz w:val="28"/>
          <w:szCs w:val="28"/>
        </w:rPr>
        <w:t>11.1报价单位应按响应文件格式编制询价响应文件。</w:t>
      </w:r>
    </w:p>
    <w:p>
      <w:pPr>
        <w:pStyle w:val="14"/>
        <w:adjustRightInd w:val="0"/>
        <w:snapToGrid w:val="0"/>
        <w:spacing w:line="300" w:lineRule="auto"/>
        <w:ind w:left="420" w:hanging="420"/>
        <w:rPr>
          <w:rFonts w:ascii="仿宋" w:hAnsi="仿宋" w:eastAsia="仿宋" w:cs="仿宋"/>
          <w:sz w:val="28"/>
          <w:szCs w:val="28"/>
        </w:rPr>
      </w:pPr>
      <w:r>
        <w:rPr>
          <w:rFonts w:hint="eastAsia" w:ascii="仿宋" w:hAnsi="仿宋" w:eastAsia="仿宋" w:cs="仿宋"/>
          <w:sz w:val="28"/>
          <w:szCs w:val="28"/>
        </w:rPr>
        <w:t>11.2报价单位必须对询价响应文件所提供的全部资料的真实性承担法律责任，并无条件接受（询价人）等对其中任何资料进行核实的要求。报价单位必须对询价响应文件所提供的全部资料的真实性承担法律责任。</w:t>
      </w:r>
    </w:p>
    <w:p>
      <w:pPr>
        <w:pStyle w:val="14"/>
        <w:adjustRightInd w:val="0"/>
        <w:snapToGrid w:val="0"/>
        <w:spacing w:line="300" w:lineRule="auto"/>
        <w:ind w:left="420" w:hanging="420"/>
        <w:rPr>
          <w:rFonts w:ascii="仿宋" w:hAnsi="仿宋" w:eastAsia="仿宋" w:cs="仿宋"/>
          <w:sz w:val="28"/>
          <w:szCs w:val="28"/>
        </w:rPr>
      </w:pPr>
      <w:r>
        <w:rPr>
          <w:rFonts w:hint="eastAsia" w:ascii="仿宋" w:hAnsi="仿宋" w:eastAsia="仿宋" w:cs="仿宋"/>
          <w:sz w:val="28"/>
          <w:szCs w:val="28"/>
        </w:rPr>
        <w:t>11.3如果因为报价单位询价响应文件填报的内容不详，或没有提供询价文件中所要求的全部资料及数据，由此造成的后果，其责任由报价单位承担。</w:t>
      </w:r>
    </w:p>
    <w:p>
      <w:pPr>
        <w:pStyle w:val="14"/>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12. 报价</w:t>
      </w:r>
    </w:p>
    <w:p>
      <w:pPr>
        <w:autoSpaceDE w:val="0"/>
        <w:autoSpaceDN w:val="0"/>
        <w:adjustRightInd w:val="0"/>
        <w:snapToGrid w:val="0"/>
        <w:spacing w:line="300" w:lineRule="auto"/>
        <w:ind w:left="560" w:right="-148" w:hanging="560" w:hangingChars="200"/>
        <w:rPr>
          <w:rFonts w:ascii="仿宋" w:hAnsi="仿宋" w:eastAsia="仿宋" w:cs="仿宋"/>
          <w:sz w:val="28"/>
          <w:szCs w:val="28"/>
        </w:rPr>
      </w:pPr>
      <w:r>
        <w:rPr>
          <w:rFonts w:hint="eastAsia" w:ascii="仿宋" w:hAnsi="仿宋" w:eastAsia="仿宋" w:cs="仿宋"/>
          <w:sz w:val="28"/>
          <w:szCs w:val="28"/>
        </w:rPr>
        <w:t>12.1如询价文件无特殊规定，报价以人民币填报。</w:t>
      </w:r>
    </w:p>
    <w:p>
      <w:pPr>
        <w:autoSpaceDE w:val="0"/>
        <w:autoSpaceDN w:val="0"/>
        <w:adjustRightInd w:val="0"/>
        <w:snapToGrid w:val="0"/>
        <w:spacing w:line="300" w:lineRule="auto"/>
        <w:ind w:left="560" w:right="-148" w:hanging="560" w:hangingChars="200"/>
        <w:rPr>
          <w:rFonts w:ascii="仿宋" w:hAnsi="仿宋" w:eastAsia="仿宋" w:cs="仿宋"/>
          <w:sz w:val="28"/>
          <w:szCs w:val="28"/>
        </w:rPr>
      </w:pPr>
      <w:r>
        <w:rPr>
          <w:rFonts w:hint="eastAsia" w:ascii="仿宋" w:hAnsi="仿宋" w:eastAsia="仿宋" w:cs="仿宋"/>
          <w:sz w:val="28"/>
          <w:szCs w:val="28"/>
        </w:rPr>
        <w:t>12.2报价应为包括设计图纸和工程量清单项目所发生的人工费、材料费、机械费、管理费、利润、项目措施费、规费、税金、配合费、预留金以及施工合同包含的所有风险、责任等各项应有费用。</w:t>
      </w:r>
    </w:p>
    <w:p>
      <w:pPr>
        <w:pStyle w:val="14"/>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12.3任何有选择性报价的报价，将被视为无效报价。</w:t>
      </w:r>
    </w:p>
    <w:p>
      <w:pPr>
        <w:pStyle w:val="14"/>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12.4报价人不得存在以下情形之一：</w:t>
      </w:r>
    </w:p>
    <w:p>
      <w:pPr>
        <w:pStyle w:val="14"/>
        <w:adjustRightInd w:val="0"/>
        <w:snapToGrid w:val="0"/>
        <w:spacing w:line="300" w:lineRule="auto"/>
        <w:ind w:firstLine="280" w:firstLineChars="100"/>
        <w:rPr>
          <w:rFonts w:ascii="仿宋" w:hAnsi="仿宋" w:eastAsia="仿宋" w:cs="仿宋_GB2312"/>
          <w:sz w:val="28"/>
          <w:szCs w:val="28"/>
        </w:rPr>
      </w:pPr>
      <w:r>
        <w:rPr>
          <w:rFonts w:hint="eastAsia" w:ascii="仿宋" w:hAnsi="仿宋" w:eastAsia="仿宋" w:cs="仿宋_GB2312"/>
          <w:sz w:val="28"/>
          <w:szCs w:val="28"/>
        </w:rPr>
        <w:t>（1）与询价人存在利害关系且可能影响询价公正性；</w:t>
      </w:r>
    </w:p>
    <w:p>
      <w:pPr>
        <w:pStyle w:val="14"/>
        <w:adjustRightInd w:val="0"/>
        <w:snapToGrid w:val="0"/>
        <w:spacing w:line="300" w:lineRule="auto"/>
        <w:ind w:firstLine="280" w:firstLineChars="100"/>
        <w:rPr>
          <w:rFonts w:ascii="仿宋" w:hAnsi="仿宋" w:eastAsia="仿宋" w:cs="仿宋_GB2312"/>
          <w:sz w:val="28"/>
          <w:szCs w:val="28"/>
        </w:rPr>
      </w:pPr>
      <w:r>
        <w:rPr>
          <w:rFonts w:hint="eastAsia" w:ascii="仿宋" w:hAnsi="仿宋" w:eastAsia="仿宋" w:cs="仿宋_GB2312"/>
          <w:sz w:val="28"/>
          <w:szCs w:val="28"/>
        </w:rPr>
        <w:t>（2）与本询价项目的其他报价人为同一个单位负责人；</w:t>
      </w:r>
    </w:p>
    <w:p>
      <w:pPr>
        <w:pStyle w:val="14"/>
        <w:adjustRightInd w:val="0"/>
        <w:snapToGrid w:val="0"/>
        <w:spacing w:line="300" w:lineRule="auto"/>
        <w:ind w:firstLine="280" w:firstLineChars="100"/>
        <w:rPr>
          <w:rFonts w:ascii="仿宋" w:hAnsi="仿宋" w:eastAsia="仿宋" w:cs="仿宋_GB2312"/>
          <w:sz w:val="28"/>
          <w:szCs w:val="28"/>
        </w:rPr>
      </w:pPr>
      <w:r>
        <w:rPr>
          <w:rFonts w:hint="eastAsia" w:ascii="仿宋" w:hAnsi="仿宋" w:eastAsia="仿宋" w:cs="仿宋_GB2312"/>
          <w:sz w:val="28"/>
          <w:szCs w:val="28"/>
        </w:rPr>
        <w:t>（3）与本询价项目的其他报价人存在控股、管理关系；</w:t>
      </w:r>
    </w:p>
    <w:p>
      <w:pPr>
        <w:pStyle w:val="14"/>
        <w:adjustRightInd w:val="0"/>
        <w:snapToGrid w:val="0"/>
        <w:spacing w:line="300" w:lineRule="auto"/>
        <w:ind w:firstLine="280" w:firstLineChars="100"/>
        <w:rPr>
          <w:rFonts w:ascii="仿宋" w:hAnsi="仿宋" w:eastAsia="仿宋" w:cs="仿宋_GB2312"/>
          <w:sz w:val="28"/>
          <w:szCs w:val="28"/>
        </w:rPr>
      </w:pPr>
      <w:r>
        <w:rPr>
          <w:rFonts w:hint="eastAsia" w:ascii="仿宋" w:hAnsi="仿宋" w:eastAsia="仿宋" w:cs="仿宋_GB2312"/>
          <w:sz w:val="28"/>
          <w:szCs w:val="28"/>
        </w:rPr>
        <w:t>（4）为本询价项目提供过设计、编制技术规范和其他文件的咨询服务；</w:t>
      </w:r>
    </w:p>
    <w:p>
      <w:pPr>
        <w:pStyle w:val="14"/>
        <w:adjustRightInd w:val="0"/>
        <w:snapToGrid w:val="0"/>
        <w:spacing w:line="300" w:lineRule="auto"/>
        <w:ind w:firstLine="280" w:firstLineChars="100"/>
        <w:rPr>
          <w:rFonts w:ascii="仿宋" w:hAnsi="仿宋" w:eastAsia="仿宋" w:cs="仿宋_GB2312"/>
          <w:sz w:val="28"/>
          <w:szCs w:val="28"/>
        </w:rPr>
      </w:pPr>
      <w:r>
        <w:rPr>
          <w:rFonts w:hint="eastAsia" w:ascii="仿宋" w:hAnsi="仿宋" w:eastAsia="仿宋" w:cs="仿宋_GB2312"/>
          <w:sz w:val="28"/>
          <w:szCs w:val="28"/>
        </w:rPr>
        <w:t>（5）被依法暂停或者取消投标资格；</w:t>
      </w:r>
    </w:p>
    <w:p>
      <w:pPr>
        <w:pStyle w:val="14"/>
        <w:adjustRightInd w:val="0"/>
        <w:snapToGrid w:val="0"/>
        <w:spacing w:line="300" w:lineRule="auto"/>
        <w:ind w:firstLine="280" w:firstLineChars="100"/>
        <w:rPr>
          <w:rFonts w:ascii="仿宋" w:hAnsi="仿宋" w:eastAsia="仿宋" w:cs="仿宋_GB2312"/>
          <w:sz w:val="28"/>
          <w:szCs w:val="28"/>
        </w:rPr>
      </w:pPr>
      <w:r>
        <w:rPr>
          <w:rFonts w:hint="eastAsia" w:ascii="仿宋" w:hAnsi="仿宋" w:eastAsia="仿宋" w:cs="仿宋_GB2312"/>
          <w:sz w:val="28"/>
          <w:szCs w:val="28"/>
        </w:rPr>
        <w:t>（6）被责令停产停业、暂扣或者吊销许可证、暂扣或者吊销执照；</w:t>
      </w:r>
    </w:p>
    <w:p>
      <w:pPr>
        <w:pStyle w:val="14"/>
        <w:adjustRightInd w:val="0"/>
        <w:snapToGrid w:val="0"/>
        <w:spacing w:line="300" w:lineRule="auto"/>
        <w:ind w:firstLine="280" w:firstLineChars="100"/>
        <w:rPr>
          <w:rFonts w:ascii="仿宋" w:hAnsi="仿宋" w:eastAsia="仿宋" w:cs="仿宋_GB2312"/>
          <w:sz w:val="28"/>
          <w:szCs w:val="28"/>
        </w:rPr>
      </w:pPr>
      <w:r>
        <w:rPr>
          <w:rFonts w:hint="eastAsia" w:ascii="仿宋" w:hAnsi="仿宋" w:eastAsia="仿宋" w:cs="仿宋_GB2312"/>
          <w:sz w:val="28"/>
          <w:szCs w:val="28"/>
        </w:rPr>
        <w:t>（7）进入清算程序，或被宣告破产，或其他丧失履约能力的情形；</w:t>
      </w:r>
    </w:p>
    <w:p>
      <w:pPr>
        <w:pStyle w:val="14"/>
        <w:adjustRightInd w:val="0"/>
        <w:snapToGrid w:val="0"/>
        <w:spacing w:line="300" w:lineRule="auto"/>
        <w:ind w:firstLine="280" w:firstLineChars="100"/>
        <w:rPr>
          <w:rFonts w:ascii="仿宋" w:hAnsi="仿宋" w:eastAsia="仿宋" w:cs="仿宋_GB2312"/>
          <w:sz w:val="28"/>
          <w:szCs w:val="28"/>
        </w:rPr>
      </w:pPr>
      <w:r>
        <w:rPr>
          <w:rFonts w:hint="eastAsia" w:ascii="仿宋" w:hAnsi="仿宋" w:eastAsia="仿宋" w:cs="仿宋_GB2312"/>
          <w:sz w:val="28"/>
          <w:szCs w:val="28"/>
        </w:rPr>
        <w:t>（8）在最近三年内发生重大产品质量问题；</w:t>
      </w:r>
    </w:p>
    <w:p>
      <w:pPr>
        <w:pStyle w:val="14"/>
        <w:adjustRightInd w:val="0"/>
        <w:snapToGrid w:val="0"/>
        <w:spacing w:line="300" w:lineRule="auto"/>
        <w:ind w:firstLine="280" w:firstLineChars="100"/>
        <w:rPr>
          <w:rFonts w:ascii="仿宋" w:hAnsi="仿宋" w:eastAsia="仿宋" w:cs="仿宋_GB2312"/>
          <w:sz w:val="28"/>
          <w:szCs w:val="28"/>
        </w:rPr>
      </w:pPr>
      <w:r>
        <w:rPr>
          <w:rFonts w:hint="eastAsia" w:ascii="仿宋" w:hAnsi="仿宋" w:eastAsia="仿宋" w:cs="仿宋_GB2312"/>
          <w:sz w:val="28"/>
          <w:szCs w:val="28"/>
        </w:rPr>
        <w:t>（9）被工商行政管理机关在全国企业信用信息公示系统中列入严重违法失信企业名单；</w:t>
      </w:r>
    </w:p>
    <w:p>
      <w:pPr>
        <w:pStyle w:val="14"/>
        <w:adjustRightInd w:val="0"/>
        <w:snapToGrid w:val="0"/>
        <w:spacing w:line="300" w:lineRule="auto"/>
        <w:ind w:firstLine="280" w:firstLineChars="100"/>
        <w:rPr>
          <w:rFonts w:ascii="仿宋" w:hAnsi="仿宋" w:eastAsia="仿宋" w:cs="仿宋_GB2312"/>
          <w:sz w:val="28"/>
          <w:szCs w:val="28"/>
        </w:rPr>
      </w:pPr>
      <w:r>
        <w:rPr>
          <w:rFonts w:hint="eastAsia" w:ascii="仿宋" w:hAnsi="仿宋" w:eastAsia="仿宋" w:cs="仿宋_GB2312"/>
          <w:sz w:val="28"/>
          <w:szCs w:val="28"/>
        </w:rPr>
        <w:t>（10）被纳入失信联合惩戒名单（具体名单以递交报价文件截止时间“信用广州”公布的“失信黑名单”为准）；</w:t>
      </w:r>
    </w:p>
    <w:p>
      <w:pPr>
        <w:pStyle w:val="14"/>
        <w:adjustRightInd w:val="0"/>
        <w:snapToGrid w:val="0"/>
        <w:spacing w:line="300" w:lineRule="auto"/>
        <w:rPr>
          <w:rFonts w:ascii="仿宋" w:hAnsi="仿宋" w:eastAsia="仿宋" w:cs="仿宋"/>
          <w:sz w:val="28"/>
          <w:szCs w:val="28"/>
        </w:rPr>
      </w:pPr>
      <w:r>
        <w:rPr>
          <w:rFonts w:hint="eastAsia" w:ascii="仿宋" w:hAnsi="仿宋" w:eastAsia="仿宋" w:cs="仿宋_GB2312"/>
          <w:sz w:val="28"/>
          <w:szCs w:val="28"/>
        </w:rPr>
        <w:t>（11）本项目截止时间前的半年中，在询价人组织的招标、询价活动中有被查实提供虚假投标材料的。</w:t>
      </w:r>
    </w:p>
    <w:p>
      <w:pPr>
        <w:pStyle w:val="14"/>
        <w:adjustRightInd w:val="0"/>
        <w:snapToGrid w:val="0"/>
        <w:spacing w:line="300" w:lineRule="auto"/>
        <w:ind w:left="562" w:leftChars="1" w:hanging="560" w:hangingChars="200"/>
        <w:rPr>
          <w:rFonts w:ascii="仿宋" w:hAnsi="仿宋" w:eastAsia="仿宋" w:cs="仿宋"/>
          <w:kern w:val="0"/>
          <w:sz w:val="28"/>
          <w:szCs w:val="28"/>
        </w:rPr>
      </w:pPr>
      <w:r>
        <w:rPr>
          <w:rFonts w:hint="eastAsia" w:ascii="仿宋" w:hAnsi="仿宋" w:eastAsia="仿宋" w:cs="仿宋"/>
          <w:kern w:val="0"/>
          <w:sz w:val="28"/>
          <w:szCs w:val="28"/>
        </w:rPr>
        <w:t>13. 联合体报价</w:t>
      </w:r>
    </w:p>
    <w:p>
      <w:pPr>
        <w:pStyle w:val="14"/>
        <w:adjustRightInd w:val="0"/>
        <w:snapToGrid w:val="0"/>
        <w:spacing w:line="300" w:lineRule="auto"/>
        <w:ind w:left="562" w:leftChars="1" w:hanging="560" w:hangingChars="200"/>
        <w:rPr>
          <w:rFonts w:ascii="仿宋" w:hAnsi="仿宋" w:eastAsia="仿宋" w:cs="仿宋"/>
          <w:kern w:val="0"/>
          <w:sz w:val="28"/>
          <w:szCs w:val="28"/>
        </w:rPr>
      </w:pPr>
      <w:r>
        <w:rPr>
          <w:rFonts w:hint="eastAsia" w:ascii="仿宋" w:hAnsi="仿宋" w:eastAsia="仿宋" w:cs="仿宋"/>
          <w:kern w:val="0"/>
          <w:sz w:val="28"/>
          <w:szCs w:val="28"/>
        </w:rPr>
        <w:t>13.1本项目不接受联合体参加报价。</w:t>
      </w:r>
    </w:p>
    <w:p>
      <w:pPr>
        <w:pStyle w:val="14"/>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14. 报价单位资格证明文件</w:t>
      </w:r>
    </w:p>
    <w:p>
      <w:pPr>
        <w:pStyle w:val="14"/>
        <w:adjustRightInd w:val="0"/>
        <w:snapToGrid w:val="0"/>
        <w:spacing w:line="300" w:lineRule="auto"/>
        <w:ind w:left="420" w:hanging="420"/>
        <w:rPr>
          <w:rFonts w:ascii="仿宋" w:hAnsi="仿宋" w:eastAsia="仿宋" w:cs="仿宋"/>
          <w:sz w:val="28"/>
          <w:szCs w:val="28"/>
        </w:rPr>
      </w:pPr>
      <w:r>
        <w:rPr>
          <w:rFonts w:hint="eastAsia" w:ascii="仿宋" w:hAnsi="仿宋" w:eastAsia="仿宋" w:cs="仿宋"/>
          <w:sz w:val="28"/>
          <w:szCs w:val="28"/>
        </w:rPr>
        <w:t>14.1报价单位应按询价文件的要求，提交证明其有资格参加询价和成交后有履行合同能力的文件，并作为其询价响应文件的组成部分，内容详见询价文件第五部分《询价响应文件格式》中的“资格证明文件”。</w:t>
      </w:r>
    </w:p>
    <w:p>
      <w:pPr>
        <w:pStyle w:val="14"/>
        <w:adjustRightInd w:val="0"/>
        <w:snapToGrid w:val="0"/>
        <w:spacing w:line="300" w:lineRule="auto"/>
        <w:ind w:left="420" w:hanging="420"/>
        <w:rPr>
          <w:rFonts w:ascii="仿宋" w:hAnsi="仿宋" w:eastAsia="仿宋" w:cs="仿宋"/>
          <w:sz w:val="28"/>
          <w:szCs w:val="28"/>
        </w:rPr>
      </w:pPr>
      <w:r>
        <w:rPr>
          <w:rFonts w:hint="eastAsia" w:ascii="仿宋" w:hAnsi="仿宋" w:eastAsia="仿宋" w:cs="仿宋"/>
          <w:sz w:val="28"/>
          <w:szCs w:val="28"/>
        </w:rPr>
        <w:t>14.2资格证明文件必须真实有效，复印件必须加盖单位印章。</w:t>
      </w:r>
    </w:p>
    <w:p>
      <w:pPr>
        <w:pStyle w:val="14"/>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15. 报价有效期</w:t>
      </w:r>
    </w:p>
    <w:p>
      <w:pPr>
        <w:adjustRightInd w:val="0"/>
        <w:snapToGrid w:val="0"/>
        <w:spacing w:line="300" w:lineRule="auto"/>
        <w:ind w:left="420" w:hanging="420"/>
        <w:rPr>
          <w:rFonts w:ascii="仿宋" w:hAnsi="仿宋" w:eastAsia="仿宋" w:cs="仿宋"/>
          <w:sz w:val="28"/>
          <w:szCs w:val="28"/>
        </w:rPr>
      </w:pPr>
      <w:r>
        <w:rPr>
          <w:rFonts w:hint="eastAsia" w:ascii="仿宋" w:hAnsi="仿宋" w:eastAsia="仿宋" w:cs="仿宋"/>
          <w:sz w:val="28"/>
          <w:szCs w:val="28"/>
        </w:rPr>
        <w:t>15.1询价响应文件应在询价会之日起</w:t>
      </w:r>
      <w:r>
        <w:rPr>
          <w:rFonts w:hint="eastAsia" w:ascii="仿宋" w:hAnsi="仿宋" w:eastAsia="仿宋" w:cs="仿宋"/>
          <w:sz w:val="28"/>
          <w:szCs w:val="28"/>
          <w:u w:val="single"/>
        </w:rPr>
        <w:t>90</w:t>
      </w:r>
      <w:r>
        <w:rPr>
          <w:rFonts w:hint="eastAsia" w:ascii="仿宋" w:hAnsi="仿宋" w:eastAsia="仿宋" w:cs="仿宋"/>
          <w:sz w:val="28"/>
          <w:szCs w:val="28"/>
        </w:rPr>
        <w:t>天内保持有效。报价有效期比规定时间短的将被作为非实质性响应询价文件而予以拒绝。</w:t>
      </w:r>
    </w:p>
    <w:p>
      <w:pPr>
        <w:adjustRightInd w:val="0"/>
        <w:snapToGrid w:val="0"/>
        <w:spacing w:line="300" w:lineRule="auto"/>
        <w:ind w:left="420" w:hanging="420"/>
        <w:rPr>
          <w:rFonts w:ascii="仿宋" w:hAnsi="仿宋" w:eastAsia="仿宋" w:cs="仿宋"/>
          <w:sz w:val="28"/>
          <w:szCs w:val="28"/>
        </w:rPr>
      </w:pPr>
      <w:r>
        <w:rPr>
          <w:rFonts w:hint="eastAsia" w:ascii="仿宋" w:hAnsi="仿宋" w:eastAsia="仿宋" w:cs="仿宋"/>
          <w:sz w:val="28"/>
          <w:szCs w:val="28"/>
        </w:rPr>
        <w:t>15.2特殊情况下，询价人可于报价有效期期满之前，要求报价单位同意延长报价有效期，要求与答复均应为书面形式。</w:t>
      </w:r>
    </w:p>
    <w:p>
      <w:pPr>
        <w:autoSpaceDE w:val="0"/>
        <w:autoSpaceDN w:val="0"/>
        <w:adjustRightInd w:val="0"/>
        <w:snapToGrid w:val="0"/>
        <w:spacing w:line="300" w:lineRule="auto"/>
        <w:ind w:left="560" w:right="32" w:hanging="560" w:hangingChars="200"/>
        <w:rPr>
          <w:rFonts w:ascii="仿宋" w:hAnsi="仿宋" w:eastAsia="仿宋" w:cs="仿宋"/>
          <w:sz w:val="28"/>
          <w:szCs w:val="28"/>
        </w:rPr>
      </w:pPr>
      <w:r>
        <w:rPr>
          <w:rFonts w:hint="eastAsia" w:ascii="仿宋" w:hAnsi="仿宋" w:eastAsia="仿宋" w:cs="仿宋"/>
          <w:sz w:val="28"/>
          <w:szCs w:val="28"/>
        </w:rPr>
        <w:t>16. 询价响应文件的数量和签署</w:t>
      </w:r>
    </w:p>
    <w:p>
      <w:pPr>
        <w:autoSpaceDE w:val="0"/>
        <w:autoSpaceDN w:val="0"/>
        <w:adjustRightInd w:val="0"/>
        <w:snapToGrid w:val="0"/>
        <w:spacing w:line="300" w:lineRule="auto"/>
        <w:ind w:left="630" w:right="32" w:hanging="630" w:hangingChars="225"/>
        <w:rPr>
          <w:rFonts w:ascii="仿宋" w:hAnsi="仿宋" w:eastAsia="仿宋" w:cs="仿宋"/>
          <w:kern w:val="0"/>
          <w:sz w:val="28"/>
          <w:szCs w:val="28"/>
        </w:rPr>
      </w:pPr>
      <w:r>
        <w:rPr>
          <w:rFonts w:hint="eastAsia" w:ascii="仿宋" w:hAnsi="仿宋" w:eastAsia="仿宋" w:cs="仿宋"/>
          <w:kern w:val="0"/>
          <w:sz w:val="28"/>
          <w:szCs w:val="28"/>
        </w:rPr>
        <w:t>16.1 报价单位应编制询价响应文件一式</w:t>
      </w:r>
      <w:r>
        <w:rPr>
          <w:rFonts w:hint="eastAsia" w:ascii="仿宋" w:hAnsi="仿宋" w:eastAsia="仿宋" w:cs="仿宋"/>
          <w:kern w:val="0"/>
          <w:sz w:val="28"/>
          <w:szCs w:val="28"/>
          <w:u w:val="single"/>
        </w:rPr>
        <w:t>2</w:t>
      </w:r>
      <w:r>
        <w:rPr>
          <w:rFonts w:hint="eastAsia" w:ascii="仿宋" w:hAnsi="仿宋" w:eastAsia="仿宋" w:cs="仿宋"/>
          <w:kern w:val="0"/>
          <w:sz w:val="28"/>
          <w:szCs w:val="28"/>
        </w:rPr>
        <w:t>份，其中正本一份和副本一</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30" w:right="32" w:hanging="630" w:hangingChars="225"/>
        <w:rPr>
          <w:rFonts w:ascii="仿宋" w:hAnsi="仿宋" w:eastAsia="仿宋" w:cs="仿宋"/>
          <w:kern w:val="0"/>
          <w:sz w:val="28"/>
          <w:szCs w:val="28"/>
        </w:rPr>
      </w:pPr>
      <w:r>
        <w:rPr>
          <w:rFonts w:hint="eastAsia" w:ascii="仿宋" w:hAnsi="仿宋" w:eastAsia="仿宋" w:cs="仿宋"/>
          <w:kern w:val="0"/>
          <w:sz w:val="28"/>
          <w:szCs w:val="28"/>
        </w:rPr>
        <w:t>16.2 询价响应文件的正本需打印或用不褪色墨水书写，并由法定代表人或经其正式授权的代表签字或加盖私章。授权代表须出具书面授权证明，其《法定代表人授权书》应附在询价响应文件中。</w:t>
      </w:r>
    </w:p>
    <w:p>
      <w:pPr>
        <w:pStyle w:val="14"/>
        <w:adjustRightInd w:val="0"/>
        <w:snapToGrid w:val="0"/>
        <w:spacing w:line="300" w:lineRule="auto"/>
        <w:ind w:left="630" w:hanging="630" w:hangingChars="225"/>
        <w:rPr>
          <w:rFonts w:ascii="仿宋" w:hAnsi="仿宋" w:eastAsia="仿宋" w:cs="仿宋"/>
          <w:kern w:val="0"/>
          <w:sz w:val="28"/>
          <w:szCs w:val="28"/>
        </w:rPr>
      </w:pPr>
      <w:r>
        <w:rPr>
          <w:rFonts w:hint="eastAsia" w:ascii="仿宋" w:hAnsi="仿宋" w:eastAsia="仿宋" w:cs="仿宋"/>
          <w:kern w:val="0"/>
          <w:sz w:val="28"/>
          <w:szCs w:val="28"/>
        </w:rPr>
        <w:t>16.3 询价响应文件中的任何重要的插字、涂改和增删，必须由法定代表人或经其正式授权的代表在旁边签字或盖私章才有效。</w:t>
      </w:r>
    </w:p>
    <w:p>
      <w:pPr>
        <w:pStyle w:val="14"/>
        <w:adjustRightInd w:val="0"/>
        <w:snapToGrid w:val="0"/>
        <w:spacing w:line="300" w:lineRule="auto"/>
        <w:ind w:left="630" w:hanging="630" w:hangingChars="225"/>
        <w:rPr>
          <w:rFonts w:ascii="仿宋" w:hAnsi="仿宋" w:eastAsia="仿宋" w:cs="仿宋"/>
          <w:kern w:val="0"/>
          <w:sz w:val="28"/>
          <w:szCs w:val="28"/>
        </w:rPr>
      </w:pPr>
      <w:r>
        <w:rPr>
          <w:rFonts w:hint="eastAsia" w:ascii="仿宋" w:hAnsi="仿宋" w:eastAsia="仿宋" w:cs="仿宋"/>
          <w:kern w:val="0"/>
          <w:sz w:val="28"/>
          <w:szCs w:val="28"/>
        </w:rPr>
        <w:t>16.4电报、电话、传真形式的询价响应文件概不接受。</w:t>
      </w:r>
    </w:p>
    <w:p>
      <w:pPr>
        <w:autoSpaceDE w:val="0"/>
        <w:autoSpaceDN w:val="0"/>
        <w:adjustRightInd w:val="0"/>
        <w:snapToGrid w:val="0"/>
        <w:spacing w:line="300" w:lineRule="auto"/>
        <w:ind w:left="562" w:right="32" w:hanging="560" w:hangingChars="200"/>
        <w:rPr>
          <w:rFonts w:ascii="仿宋" w:hAnsi="仿宋" w:eastAsia="仿宋" w:cs="仿宋"/>
          <w:b/>
          <w:sz w:val="28"/>
          <w:szCs w:val="28"/>
        </w:rPr>
      </w:pPr>
      <w:r>
        <w:rPr>
          <w:rFonts w:hint="eastAsia" w:ascii="仿宋" w:hAnsi="仿宋" w:eastAsia="仿宋" w:cs="仿宋"/>
          <w:b/>
          <w:sz w:val="28"/>
          <w:szCs w:val="28"/>
        </w:rPr>
        <w:t>四、询价响应文件的递交</w:t>
      </w:r>
    </w:p>
    <w:p>
      <w:pPr>
        <w:autoSpaceDE w:val="0"/>
        <w:autoSpaceDN w:val="0"/>
        <w:adjustRightInd w:val="0"/>
        <w:snapToGrid w:val="0"/>
        <w:spacing w:line="300" w:lineRule="auto"/>
        <w:ind w:left="560" w:right="32" w:hanging="560" w:hangingChars="200"/>
        <w:rPr>
          <w:rFonts w:ascii="仿宋" w:hAnsi="仿宋" w:eastAsia="仿宋" w:cs="仿宋"/>
          <w:kern w:val="0"/>
          <w:sz w:val="28"/>
          <w:szCs w:val="28"/>
        </w:rPr>
      </w:pPr>
      <w:r>
        <w:rPr>
          <w:rFonts w:hint="eastAsia" w:ascii="仿宋" w:hAnsi="仿宋" w:eastAsia="仿宋" w:cs="仿宋"/>
          <w:kern w:val="0"/>
          <w:sz w:val="28"/>
          <w:szCs w:val="28"/>
        </w:rPr>
        <w:t>17. 询价响应文件的密封和标记</w:t>
      </w:r>
    </w:p>
    <w:p>
      <w:pPr>
        <w:pStyle w:val="14"/>
        <w:adjustRightInd w:val="0"/>
        <w:snapToGrid w:val="0"/>
        <w:spacing w:line="300" w:lineRule="auto"/>
        <w:ind w:left="630" w:hanging="630" w:hangingChars="225"/>
        <w:rPr>
          <w:rFonts w:ascii="仿宋" w:hAnsi="仿宋" w:eastAsia="仿宋" w:cs="仿宋"/>
          <w:kern w:val="0"/>
          <w:sz w:val="28"/>
          <w:szCs w:val="28"/>
        </w:rPr>
      </w:pPr>
      <w:r>
        <w:rPr>
          <w:rFonts w:hint="eastAsia" w:ascii="仿宋" w:hAnsi="仿宋" w:eastAsia="仿宋" w:cs="仿宋"/>
          <w:kern w:val="0"/>
          <w:sz w:val="28"/>
          <w:szCs w:val="28"/>
        </w:rPr>
        <w:t>17.1报价单位应将询价响应文件正本和副本用单独的信封密封，注明“正本”或“副本”字样。</w:t>
      </w:r>
    </w:p>
    <w:p>
      <w:pPr>
        <w:pStyle w:val="14"/>
        <w:adjustRightInd w:val="0"/>
        <w:snapToGrid w:val="0"/>
        <w:spacing w:line="300" w:lineRule="auto"/>
        <w:ind w:left="630" w:hanging="630" w:hangingChars="225"/>
        <w:rPr>
          <w:rFonts w:ascii="仿宋" w:hAnsi="仿宋" w:eastAsia="仿宋" w:cs="仿宋"/>
          <w:kern w:val="0"/>
          <w:sz w:val="28"/>
          <w:szCs w:val="28"/>
        </w:rPr>
      </w:pPr>
      <w:r>
        <w:rPr>
          <w:rFonts w:hint="eastAsia" w:ascii="仿宋" w:hAnsi="仿宋" w:eastAsia="仿宋" w:cs="仿宋"/>
          <w:kern w:val="0"/>
          <w:sz w:val="28"/>
          <w:szCs w:val="28"/>
        </w:rPr>
        <w:t>17.2每一密封信封均应：</w:t>
      </w:r>
    </w:p>
    <w:p>
      <w:pPr>
        <w:pStyle w:val="14"/>
        <w:adjustRightInd w:val="0"/>
        <w:snapToGrid w:val="0"/>
        <w:spacing w:line="300" w:lineRule="auto"/>
        <w:ind w:left="1439" w:leftChars="343" w:hanging="719" w:hangingChars="257"/>
        <w:rPr>
          <w:rFonts w:ascii="仿宋" w:hAnsi="仿宋" w:eastAsia="仿宋" w:cs="仿宋"/>
          <w:kern w:val="0"/>
          <w:sz w:val="28"/>
          <w:szCs w:val="28"/>
        </w:rPr>
      </w:pPr>
      <w:r>
        <w:rPr>
          <w:rFonts w:hint="eastAsia" w:ascii="仿宋" w:hAnsi="仿宋" w:eastAsia="仿宋" w:cs="仿宋"/>
          <w:kern w:val="0"/>
          <w:sz w:val="28"/>
          <w:szCs w:val="28"/>
        </w:rPr>
        <w:t>（1）标明项目编号、项目名称，并注明“正本”或“副本”字样；</w:t>
      </w:r>
    </w:p>
    <w:p>
      <w:pPr>
        <w:pStyle w:val="14"/>
        <w:adjustRightInd w:val="0"/>
        <w:snapToGrid w:val="0"/>
        <w:spacing w:line="300" w:lineRule="auto"/>
        <w:ind w:left="1439" w:leftChars="343" w:hanging="719" w:hangingChars="257"/>
        <w:rPr>
          <w:rFonts w:ascii="仿宋" w:hAnsi="仿宋" w:eastAsia="仿宋" w:cs="仿宋"/>
          <w:kern w:val="0"/>
          <w:sz w:val="28"/>
          <w:szCs w:val="28"/>
        </w:rPr>
      </w:pPr>
      <w:r>
        <w:rPr>
          <w:rFonts w:hint="eastAsia" w:ascii="仿宋" w:hAnsi="仿宋" w:eastAsia="仿宋" w:cs="仿宋"/>
          <w:kern w:val="0"/>
          <w:sz w:val="28"/>
          <w:szCs w:val="28"/>
        </w:rPr>
        <w:t>（2）注明“于（递交询价响应文件截止时间）之前不准启封”的字样。</w:t>
      </w:r>
    </w:p>
    <w:p>
      <w:pPr>
        <w:pStyle w:val="14"/>
        <w:adjustRightInd w:val="0"/>
        <w:snapToGrid w:val="0"/>
        <w:spacing w:line="300" w:lineRule="auto"/>
        <w:ind w:left="630" w:hanging="630" w:hangingChars="225"/>
        <w:rPr>
          <w:rFonts w:ascii="仿宋" w:hAnsi="仿宋" w:eastAsia="仿宋" w:cs="仿宋"/>
          <w:kern w:val="0"/>
          <w:sz w:val="28"/>
          <w:szCs w:val="28"/>
        </w:rPr>
      </w:pPr>
      <w:r>
        <w:rPr>
          <w:rFonts w:hint="eastAsia" w:ascii="仿宋" w:hAnsi="仿宋" w:eastAsia="仿宋" w:cs="仿宋"/>
          <w:kern w:val="0"/>
          <w:sz w:val="28"/>
          <w:szCs w:val="28"/>
        </w:rPr>
        <w:t>17.3如果信封未按本须知第17.1条和第17.2条要求密封的，询价人对误投或过早启封概不负责。</w:t>
      </w:r>
    </w:p>
    <w:p>
      <w:pPr>
        <w:pStyle w:val="14"/>
        <w:adjustRightInd w:val="0"/>
        <w:snapToGrid w:val="0"/>
        <w:spacing w:line="300" w:lineRule="auto"/>
        <w:ind w:left="630" w:hanging="630" w:hangingChars="225"/>
        <w:rPr>
          <w:rFonts w:ascii="仿宋" w:hAnsi="仿宋" w:eastAsia="仿宋" w:cs="仿宋"/>
          <w:kern w:val="0"/>
          <w:sz w:val="28"/>
          <w:szCs w:val="28"/>
        </w:rPr>
      </w:pPr>
      <w:r>
        <w:rPr>
          <w:rFonts w:hint="eastAsia" w:ascii="仿宋" w:hAnsi="仿宋" w:eastAsia="仿宋" w:cs="仿宋"/>
          <w:kern w:val="0"/>
          <w:sz w:val="28"/>
          <w:szCs w:val="28"/>
        </w:rPr>
        <w:t>17.4询价响应文件未密封的或在递交截止时间后递交的，询价人将拒绝接收。</w:t>
      </w:r>
    </w:p>
    <w:p>
      <w:pPr>
        <w:tabs>
          <w:tab w:val="left" w:pos="8280"/>
        </w:tabs>
        <w:autoSpaceDE w:val="0"/>
        <w:autoSpaceDN w:val="0"/>
        <w:adjustRightInd w:val="0"/>
        <w:snapToGrid w:val="0"/>
        <w:spacing w:line="300" w:lineRule="auto"/>
        <w:ind w:left="560" w:right="32" w:hanging="560" w:hangingChars="200"/>
        <w:rPr>
          <w:rFonts w:ascii="仿宋" w:hAnsi="仿宋" w:eastAsia="仿宋" w:cs="仿宋"/>
          <w:sz w:val="28"/>
          <w:szCs w:val="28"/>
        </w:rPr>
      </w:pPr>
      <w:r>
        <w:rPr>
          <w:rFonts w:hint="eastAsia" w:ascii="仿宋" w:hAnsi="仿宋" w:eastAsia="仿宋" w:cs="仿宋"/>
          <w:sz w:val="28"/>
          <w:szCs w:val="28"/>
        </w:rPr>
        <w:t>18. 询价响应文件递交截止时间</w:t>
      </w:r>
    </w:p>
    <w:p>
      <w:pPr>
        <w:pStyle w:val="14"/>
        <w:adjustRightInd w:val="0"/>
        <w:snapToGrid w:val="0"/>
        <w:spacing w:line="300" w:lineRule="auto"/>
        <w:ind w:left="630" w:hanging="630" w:hangingChars="225"/>
        <w:rPr>
          <w:rFonts w:ascii="仿宋" w:hAnsi="仿宋" w:eastAsia="仿宋" w:cs="仿宋"/>
          <w:kern w:val="0"/>
          <w:sz w:val="28"/>
          <w:szCs w:val="28"/>
        </w:rPr>
      </w:pPr>
      <w:r>
        <w:rPr>
          <w:rFonts w:hint="eastAsia" w:ascii="仿宋" w:hAnsi="仿宋" w:eastAsia="仿宋" w:cs="仿宋"/>
          <w:kern w:val="0"/>
          <w:sz w:val="28"/>
          <w:szCs w:val="28"/>
        </w:rPr>
        <w:t>18.1询价人在《报价邀请函》中规定的地点和递交询价响应文件截止时间之前接收询价响应文件，超过截止时点后的询价响应文件将被拒绝。</w:t>
      </w:r>
    </w:p>
    <w:p>
      <w:pPr>
        <w:pStyle w:val="14"/>
        <w:adjustRightInd w:val="0"/>
        <w:snapToGrid w:val="0"/>
        <w:spacing w:line="300" w:lineRule="auto"/>
        <w:ind w:left="630" w:hanging="630" w:hangingChars="225"/>
        <w:rPr>
          <w:rFonts w:ascii="仿宋" w:hAnsi="仿宋" w:eastAsia="仿宋" w:cs="仿宋"/>
          <w:kern w:val="0"/>
          <w:sz w:val="28"/>
          <w:szCs w:val="28"/>
        </w:rPr>
      </w:pPr>
      <w:r>
        <w:rPr>
          <w:rFonts w:hint="eastAsia" w:ascii="仿宋" w:hAnsi="仿宋" w:eastAsia="仿宋" w:cs="仿宋"/>
          <w:kern w:val="0"/>
          <w:sz w:val="28"/>
          <w:szCs w:val="28"/>
        </w:rPr>
        <w:t>18.2询价人可以通过修改询价文件自行决定酌情延长询价响应文件递交截止时间。在此情况下，询价人和报价单位受询价响应文件递交截止时间制约的所有权利和义务均应延长至新的截止期。</w:t>
      </w:r>
    </w:p>
    <w:p>
      <w:pPr>
        <w:pStyle w:val="14"/>
        <w:adjustRightInd w:val="0"/>
        <w:snapToGrid w:val="0"/>
        <w:spacing w:line="300" w:lineRule="auto"/>
        <w:ind w:right="32"/>
        <w:rPr>
          <w:rFonts w:ascii="仿宋" w:hAnsi="仿宋" w:eastAsia="仿宋" w:cs="仿宋"/>
          <w:sz w:val="28"/>
          <w:szCs w:val="28"/>
        </w:rPr>
      </w:pPr>
      <w:r>
        <w:rPr>
          <w:rFonts w:hint="eastAsia" w:ascii="仿宋" w:hAnsi="仿宋" w:eastAsia="仿宋" w:cs="仿宋"/>
          <w:sz w:val="28"/>
          <w:szCs w:val="28"/>
        </w:rPr>
        <w:t>19. 询价响应文件的修改和撤回</w:t>
      </w:r>
    </w:p>
    <w:p>
      <w:pPr>
        <w:pStyle w:val="14"/>
        <w:adjustRightInd w:val="0"/>
        <w:snapToGrid w:val="0"/>
        <w:spacing w:line="300" w:lineRule="auto"/>
        <w:ind w:left="630" w:hanging="630" w:hangingChars="225"/>
        <w:rPr>
          <w:rFonts w:ascii="仿宋" w:hAnsi="仿宋" w:eastAsia="仿宋" w:cs="仿宋"/>
          <w:kern w:val="0"/>
          <w:sz w:val="28"/>
          <w:szCs w:val="28"/>
        </w:rPr>
      </w:pPr>
      <w:r>
        <w:rPr>
          <w:rFonts w:hint="eastAsia" w:ascii="仿宋" w:hAnsi="仿宋" w:eastAsia="仿宋" w:cs="仿宋"/>
          <w:kern w:val="0"/>
          <w:sz w:val="28"/>
          <w:szCs w:val="28"/>
        </w:rPr>
        <w:t>19.1报价单位在递交询价响应文件截止时间前，可以对所递交的询价响应文件进行补充、修改或者撤回，并书面通知询价人。补充、修改的内容应当按询价文件要求签署、盖章，并作为询价响应文件的组成部分。</w:t>
      </w:r>
    </w:p>
    <w:p>
      <w:pPr>
        <w:autoSpaceDE w:val="0"/>
        <w:autoSpaceDN w:val="0"/>
        <w:adjustRightInd w:val="0"/>
        <w:snapToGrid w:val="0"/>
        <w:spacing w:before="3" w:line="300" w:lineRule="auto"/>
        <w:ind w:left="700" w:right="32" w:hanging="700" w:hangingChars="250"/>
        <w:rPr>
          <w:rFonts w:ascii="仿宋" w:hAnsi="仿宋" w:eastAsia="仿宋" w:cs="仿宋"/>
          <w:kern w:val="0"/>
          <w:sz w:val="28"/>
          <w:szCs w:val="28"/>
        </w:rPr>
      </w:pPr>
      <w:r>
        <w:rPr>
          <w:rFonts w:hint="eastAsia" w:ascii="仿宋" w:hAnsi="仿宋" w:eastAsia="仿宋" w:cs="仿宋"/>
          <w:kern w:val="0"/>
          <w:sz w:val="28"/>
          <w:szCs w:val="28"/>
        </w:rPr>
        <w:t>19.2 报价单位在递交询价响应文件后，可以撤回其报价，但报价单位必须在规定的询价响应文件递交截止时间前以书面形式告知</w:t>
      </w:r>
      <w:r>
        <w:rPr>
          <w:rFonts w:hint="eastAsia" w:ascii="仿宋" w:hAnsi="仿宋" w:eastAsia="仿宋" w:cs="仿宋"/>
          <w:sz w:val="28"/>
          <w:szCs w:val="28"/>
          <w:u w:val="single"/>
        </w:rPr>
        <w:t>（询价人）</w:t>
      </w:r>
      <w:r>
        <w:rPr>
          <w:rFonts w:hint="eastAsia" w:ascii="仿宋" w:hAnsi="仿宋" w:eastAsia="仿宋" w:cs="仿宋"/>
          <w:kern w:val="0"/>
          <w:sz w:val="28"/>
          <w:szCs w:val="28"/>
        </w:rPr>
        <w:t>。从询价响应文件递交截止时间至报价单位承诺的报价有效期内，报价单位不得撤回其报价。</w:t>
      </w:r>
    </w:p>
    <w:p>
      <w:pPr>
        <w:pStyle w:val="14"/>
        <w:adjustRightInd w:val="0"/>
        <w:snapToGrid w:val="0"/>
        <w:spacing w:line="300" w:lineRule="auto"/>
        <w:ind w:left="420" w:right="32" w:hanging="420"/>
        <w:rPr>
          <w:rFonts w:ascii="仿宋" w:hAnsi="仿宋" w:eastAsia="仿宋" w:cs="仿宋"/>
          <w:sz w:val="28"/>
          <w:szCs w:val="28"/>
        </w:rPr>
      </w:pPr>
      <w:r>
        <w:rPr>
          <w:rFonts w:hint="eastAsia" w:ascii="仿宋" w:hAnsi="仿宋" w:eastAsia="仿宋" w:cs="仿宋"/>
          <w:sz w:val="28"/>
          <w:szCs w:val="28"/>
        </w:rPr>
        <w:t>19.3 报价单位所提交的询价响应文件在询价结束后，无论成交与否都不退还。</w:t>
      </w:r>
    </w:p>
    <w:p>
      <w:pPr>
        <w:pStyle w:val="14"/>
        <w:adjustRightInd w:val="0"/>
        <w:snapToGrid w:val="0"/>
        <w:spacing w:line="300" w:lineRule="auto"/>
        <w:rPr>
          <w:rFonts w:ascii="仿宋" w:hAnsi="仿宋" w:eastAsia="仿宋" w:cs="仿宋"/>
          <w:b/>
          <w:sz w:val="28"/>
          <w:szCs w:val="28"/>
        </w:rPr>
      </w:pPr>
      <w:r>
        <w:rPr>
          <w:rFonts w:hint="eastAsia" w:ascii="仿宋" w:hAnsi="仿宋" w:eastAsia="仿宋" w:cs="仿宋"/>
          <w:b/>
          <w:sz w:val="28"/>
          <w:szCs w:val="28"/>
        </w:rPr>
        <w:t>五、评审</w:t>
      </w:r>
    </w:p>
    <w:p>
      <w:pPr>
        <w:pStyle w:val="14"/>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20. 询价小组</w:t>
      </w:r>
    </w:p>
    <w:p>
      <w:pPr>
        <w:autoSpaceDE w:val="0"/>
        <w:autoSpaceDN w:val="0"/>
        <w:adjustRightInd w:val="0"/>
        <w:snapToGrid w:val="0"/>
        <w:spacing w:line="300" w:lineRule="auto"/>
        <w:ind w:left="630" w:right="32" w:hanging="630" w:hangingChars="225"/>
        <w:rPr>
          <w:rFonts w:ascii="仿宋" w:hAnsi="仿宋" w:eastAsia="仿宋" w:cs="仿宋"/>
          <w:kern w:val="0"/>
          <w:sz w:val="28"/>
          <w:szCs w:val="28"/>
        </w:rPr>
      </w:pPr>
      <w:r>
        <w:rPr>
          <w:rFonts w:hint="eastAsia" w:ascii="仿宋" w:hAnsi="仿宋" w:eastAsia="仿宋" w:cs="仿宋"/>
          <w:sz w:val="28"/>
          <w:szCs w:val="28"/>
        </w:rPr>
        <w:t xml:space="preserve">20.1 </w:t>
      </w:r>
      <w:r>
        <w:rPr>
          <w:rFonts w:hint="eastAsia" w:ascii="仿宋" w:hAnsi="仿宋" w:eastAsia="仿宋" w:cs="仿宋"/>
          <w:kern w:val="0"/>
          <w:sz w:val="28"/>
          <w:szCs w:val="28"/>
        </w:rPr>
        <w:t>评审由</w:t>
      </w:r>
      <w:r>
        <w:rPr>
          <w:rFonts w:hint="eastAsia" w:ascii="仿宋" w:hAnsi="仿宋" w:eastAsia="仿宋" w:cs="仿宋"/>
          <w:sz w:val="28"/>
          <w:szCs w:val="28"/>
          <w:u w:val="single"/>
        </w:rPr>
        <w:t>询价人</w:t>
      </w:r>
      <w:r>
        <w:rPr>
          <w:rFonts w:hint="eastAsia" w:ascii="仿宋" w:hAnsi="仿宋" w:eastAsia="仿宋" w:cs="仿宋"/>
          <w:kern w:val="0"/>
          <w:sz w:val="28"/>
          <w:szCs w:val="28"/>
        </w:rPr>
        <w:t>组建的询价小组负责。</w:t>
      </w:r>
    </w:p>
    <w:p>
      <w:pPr>
        <w:tabs>
          <w:tab w:val="left" w:pos="360"/>
        </w:tabs>
        <w:autoSpaceDE w:val="0"/>
        <w:autoSpaceDN w:val="0"/>
        <w:adjustRightInd w:val="0"/>
        <w:snapToGrid w:val="0"/>
        <w:spacing w:line="300" w:lineRule="auto"/>
        <w:ind w:left="630" w:right="32" w:hanging="630" w:hangingChars="225"/>
        <w:rPr>
          <w:rFonts w:ascii="仿宋" w:hAnsi="仿宋" w:eastAsia="仿宋" w:cs="仿宋"/>
          <w:kern w:val="0"/>
          <w:sz w:val="28"/>
          <w:szCs w:val="28"/>
        </w:rPr>
      </w:pPr>
      <w:r>
        <w:rPr>
          <w:rFonts w:hint="eastAsia" w:ascii="仿宋" w:hAnsi="仿宋" w:eastAsia="仿宋" w:cs="仿宋"/>
          <w:kern w:val="0"/>
          <w:sz w:val="28"/>
          <w:szCs w:val="28"/>
        </w:rPr>
        <w:t>20.2询价小组在评审过程中出现意见不一致时，遵循少数服从多数原则。</w:t>
      </w:r>
    </w:p>
    <w:p>
      <w:pPr>
        <w:autoSpaceDE w:val="0"/>
        <w:autoSpaceDN w:val="0"/>
        <w:adjustRightInd w:val="0"/>
        <w:snapToGrid w:val="0"/>
        <w:spacing w:line="300" w:lineRule="auto"/>
        <w:ind w:left="630" w:right="32" w:hanging="630" w:hangingChars="225"/>
        <w:rPr>
          <w:rFonts w:ascii="仿宋" w:hAnsi="仿宋" w:eastAsia="仿宋" w:cs="仿宋"/>
          <w:kern w:val="0"/>
          <w:sz w:val="28"/>
          <w:szCs w:val="28"/>
        </w:rPr>
      </w:pPr>
      <w:r>
        <w:rPr>
          <w:rFonts w:hint="eastAsia" w:ascii="仿宋" w:hAnsi="仿宋" w:eastAsia="仿宋" w:cs="仿宋"/>
          <w:kern w:val="0"/>
          <w:sz w:val="28"/>
          <w:szCs w:val="28"/>
        </w:rPr>
        <w:t>20.3询价小组依法根据询价文件的规定对询价响应文件进行评审,并据此推荐成交候选人。</w:t>
      </w:r>
    </w:p>
    <w:p>
      <w:pPr>
        <w:autoSpaceDE w:val="0"/>
        <w:autoSpaceDN w:val="0"/>
        <w:adjustRightInd w:val="0"/>
        <w:snapToGrid w:val="0"/>
        <w:spacing w:line="300" w:lineRule="auto"/>
        <w:ind w:left="630" w:right="32" w:hanging="630" w:hangingChars="225"/>
        <w:rPr>
          <w:rFonts w:ascii="仿宋" w:hAnsi="仿宋" w:eastAsia="仿宋" w:cs="仿宋"/>
          <w:kern w:val="0"/>
          <w:sz w:val="28"/>
          <w:szCs w:val="28"/>
        </w:rPr>
      </w:pPr>
      <w:r>
        <w:rPr>
          <w:rFonts w:hint="eastAsia" w:ascii="仿宋" w:hAnsi="仿宋" w:eastAsia="仿宋" w:cs="仿宋"/>
          <w:kern w:val="0"/>
          <w:sz w:val="28"/>
          <w:szCs w:val="28"/>
        </w:rPr>
        <w:t>21.资格性、符合性评审</w:t>
      </w:r>
    </w:p>
    <w:p>
      <w:pPr>
        <w:autoSpaceDE w:val="0"/>
        <w:autoSpaceDN w:val="0"/>
        <w:adjustRightInd w:val="0"/>
        <w:snapToGrid w:val="0"/>
        <w:spacing w:line="300" w:lineRule="auto"/>
        <w:ind w:left="630" w:right="32" w:hanging="630" w:hangingChars="225"/>
        <w:rPr>
          <w:rFonts w:ascii="仿宋" w:hAnsi="仿宋" w:eastAsia="仿宋" w:cs="仿宋"/>
          <w:kern w:val="0"/>
          <w:sz w:val="28"/>
          <w:szCs w:val="28"/>
        </w:rPr>
      </w:pPr>
      <w:r>
        <w:rPr>
          <w:rFonts w:hint="eastAsia" w:ascii="仿宋" w:hAnsi="仿宋" w:eastAsia="仿宋" w:cs="仿宋"/>
          <w:kern w:val="0"/>
          <w:sz w:val="28"/>
          <w:szCs w:val="28"/>
        </w:rPr>
        <w:t>21.1参加询价的报价单位经自行报名产生。由询价小组对参加询价的报价单位进行资格性、符合性评审。</w:t>
      </w:r>
    </w:p>
    <w:p>
      <w:pPr>
        <w:autoSpaceDE w:val="0"/>
        <w:autoSpaceDN w:val="0"/>
        <w:adjustRightInd w:val="0"/>
        <w:snapToGrid w:val="0"/>
        <w:spacing w:line="300" w:lineRule="auto"/>
        <w:ind w:left="630" w:right="32" w:hanging="630" w:hangingChars="225"/>
        <w:rPr>
          <w:rFonts w:ascii="仿宋" w:hAnsi="仿宋" w:eastAsia="仿宋" w:cs="仿宋"/>
          <w:kern w:val="0"/>
          <w:sz w:val="28"/>
          <w:szCs w:val="28"/>
        </w:rPr>
      </w:pPr>
      <w:r>
        <w:rPr>
          <w:rFonts w:hint="eastAsia" w:ascii="仿宋" w:hAnsi="仿宋" w:eastAsia="仿宋" w:cs="仿宋"/>
          <w:kern w:val="0"/>
          <w:sz w:val="28"/>
          <w:szCs w:val="28"/>
        </w:rPr>
        <w:t>21.2在询价过程中对询价文件未能实质响应的报价单位不足三家时，询价小组可以从其他符合相应资格条件的报价单位名单中补充；补充后仍不足三家或者没有可供补充的合格报价单位的，询价人可以从已选出的候选报价单位中确定承包人。</w:t>
      </w:r>
    </w:p>
    <w:p>
      <w:pPr>
        <w:autoSpaceDE w:val="0"/>
        <w:autoSpaceDN w:val="0"/>
        <w:adjustRightInd w:val="0"/>
        <w:snapToGrid w:val="0"/>
        <w:spacing w:line="300" w:lineRule="auto"/>
        <w:ind w:left="630" w:right="32" w:hanging="630" w:hangingChars="225"/>
        <w:rPr>
          <w:rFonts w:ascii="仿宋" w:hAnsi="仿宋" w:eastAsia="仿宋" w:cs="仿宋"/>
          <w:kern w:val="0"/>
          <w:sz w:val="28"/>
          <w:szCs w:val="28"/>
        </w:rPr>
      </w:pPr>
      <w:r>
        <w:rPr>
          <w:rFonts w:hint="eastAsia" w:ascii="仿宋" w:hAnsi="仿宋" w:eastAsia="仿宋" w:cs="仿宋"/>
          <w:kern w:val="0"/>
          <w:sz w:val="28"/>
          <w:szCs w:val="28"/>
        </w:rPr>
        <w:t>21.3 在询价过程中，响应报价单位提交的澄清文件由响应报价单位法人代表或授权代表签署后生效，响应报价单位应受其约束。</w:t>
      </w:r>
    </w:p>
    <w:p>
      <w:pPr>
        <w:autoSpaceDE w:val="0"/>
        <w:autoSpaceDN w:val="0"/>
        <w:adjustRightInd w:val="0"/>
        <w:snapToGrid w:val="0"/>
        <w:spacing w:line="300" w:lineRule="auto"/>
        <w:ind w:left="630" w:right="32" w:hanging="630" w:hangingChars="225"/>
        <w:rPr>
          <w:rFonts w:ascii="仿宋" w:hAnsi="仿宋" w:eastAsia="仿宋" w:cs="仿宋"/>
          <w:b/>
          <w:bCs/>
          <w:kern w:val="0"/>
          <w:sz w:val="28"/>
          <w:szCs w:val="28"/>
        </w:rPr>
      </w:pPr>
      <w:r>
        <w:rPr>
          <w:rFonts w:hint="eastAsia" w:ascii="仿宋" w:hAnsi="仿宋" w:eastAsia="仿宋" w:cs="仿宋"/>
          <w:kern w:val="0"/>
          <w:sz w:val="28"/>
          <w:szCs w:val="28"/>
        </w:rPr>
        <w:t xml:space="preserve">21.4 </w:t>
      </w:r>
      <w:r>
        <w:rPr>
          <w:rFonts w:hint="eastAsia" w:ascii="仿宋" w:hAnsi="仿宋" w:eastAsia="仿宋" w:cs="仿宋"/>
          <w:b/>
          <w:bCs/>
          <w:kern w:val="0"/>
          <w:sz w:val="28"/>
          <w:szCs w:val="28"/>
        </w:rPr>
        <w:t>询价小组进行综合评议。对提供工程质量、服务均能满足询价文件规定最低要求的报价单位归列为推荐成交的候选对象，询价人依照候选报价单位的报价顺序，以有效报价最低者确定为第一备选单位，以有效报价次低者为第二备选单位。若有效报价最低者有两家或以上单位，则以摇珠随机抽取方式确定第一备选单位。</w:t>
      </w:r>
    </w:p>
    <w:p>
      <w:pPr>
        <w:autoSpaceDE w:val="0"/>
        <w:autoSpaceDN w:val="0"/>
        <w:adjustRightInd w:val="0"/>
        <w:snapToGrid w:val="0"/>
        <w:spacing w:line="300" w:lineRule="auto"/>
        <w:ind w:left="630" w:right="32" w:hanging="630" w:hangingChars="225"/>
        <w:rPr>
          <w:rFonts w:ascii="仿宋" w:hAnsi="仿宋" w:eastAsia="仿宋" w:cs="仿宋"/>
          <w:kern w:val="0"/>
          <w:sz w:val="28"/>
          <w:szCs w:val="28"/>
        </w:rPr>
      </w:pPr>
      <w:r>
        <w:rPr>
          <w:rFonts w:hint="eastAsia" w:ascii="仿宋" w:hAnsi="仿宋" w:eastAsia="仿宋" w:cs="仿宋"/>
          <w:kern w:val="0"/>
          <w:sz w:val="28"/>
          <w:szCs w:val="28"/>
        </w:rPr>
        <w:t>22.报价的评审</w:t>
      </w:r>
    </w:p>
    <w:p>
      <w:pPr>
        <w:autoSpaceDE w:val="0"/>
        <w:autoSpaceDN w:val="0"/>
        <w:adjustRightInd w:val="0"/>
        <w:snapToGrid w:val="0"/>
        <w:spacing w:line="300" w:lineRule="auto"/>
        <w:ind w:left="630" w:hanging="630" w:hangingChars="225"/>
        <w:rPr>
          <w:rFonts w:ascii="仿宋" w:hAnsi="仿宋" w:eastAsia="仿宋" w:cs="仿宋"/>
          <w:kern w:val="0"/>
          <w:sz w:val="28"/>
          <w:szCs w:val="28"/>
        </w:rPr>
      </w:pPr>
      <w:r>
        <w:rPr>
          <w:rFonts w:hint="eastAsia" w:ascii="仿宋" w:hAnsi="仿宋" w:eastAsia="仿宋" w:cs="仿宋"/>
          <w:kern w:val="0"/>
          <w:sz w:val="28"/>
          <w:szCs w:val="28"/>
        </w:rPr>
        <w:t>22.1询价小组将详细分析、核对每一份报价表，看其是否有计算上或累加上的算术误差，并加以修正。修正误差的原则如下：</w:t>
      </w:r>
    </w:p>
    <w:p>
      <w:pPr>
        <w:numPr>
          <w:ilvl w:val="1"/>
          <w:numId w:val="10"/>
        </w:numPr>
        <w:tabs>
          <w:tab w:val="left" w:pos="180"/>
          <w:tab w:val="left" w:pos="360"/>
          <w:tab w:val="left" w:pos="1260"/>
          <w:tab w:val="clear" w:pos="840"/>
        </w:tabs>
        <w:snapToGrid w:val="0"/>
        <w:spacing w:line="300" w:lineRule="auto"/>
        <w:ind w:left="0" w:firstLine="0"/>
        <w:jc w:val="left"/>
        <w:rPr>
          <w:rFonts w:ascii="仿宋" w:hAnsi="仿宋" w:eastAsia="仿宋" w:cs="仿宋"/>
          <w:sz w:val="28"/>
          <w:szCs w:val="28"/>
        </w:rPr>
      </w:pPr>
      <w:r>
        <w:rPr>
          <w:rFonts w:hint="eastAsia" w:ascii="仿宋" w:hAnsi="仿宋" w:eastAsia="仿宋" w:cs="仿宋"/>
          <w:sz w:val="28"/>
          <w:szCs w:val="28"/>
        </w:rPr>
        <w:t>大写金额与小写金额不一致的，以大写金额为准；</w:t>
      </w:r>
    </w:p>
    <w:p>
      <w:pPr>
        <w:numPr>
          <w:ilvl w:val="1"/>
          <w:numId w:val="10"/>
        </w:numPr>
        <w:tabs>
          <w:tab w:val="left" w:pos="180"/>
          <w:tab w:val="left" w:pos="360"/>
          <w:tab w:val="left" w:pos="1260"/>
          <w:tab w:val="clear" w:pos="840"/>
        </w:tabs>
        <w:snapToGrid w:val="0"/>
        <w:spacing w:line="300" w:lineRule="auto"/>
        <w:ind w:left="0" w:firstLine="0"/>
        <w:jc w:val="left"/>
        <w:rPr>
          <w:rFonts w:ascii="仿宋" w:hAnsi="仿宋" w:eastAsia="仿宋" w:cs="仿宋"/>
          <w:sz w:val="28"/>
          <w:szCs w:val="28"/>
        </w:rPr>
      </w:pPr>
      <w:r>
        <w:rPr>
          <w:rFonts w:hint="eastAsia" w:ascii="仿宋" w:hAnsi="仿宋" w:eastAsia="仿宋" w:cs="仿宋"/>
          <w:sz w:val="28"/>
          <w:szCs w:val="28"/>
        </w:rPr>
        <w:t>总价金额与按单价汇总金额不一致的，以单价为准，修正总价（单价小数点明显错位的除外）；</w:t>
      </w:r>
    </w:p>
    <w:p>
      <w:pPr>
        <w:autoSpaceDE w:val="0"/>
        <w:autoSpaceDN w:val="0"/>
        <w:adjustRightInd w:val="0"/>
        <w:snapToGrid w:val="0"/>
        <w:spacing w:line="300" w:lineRule="auto"/>
        <w:ind w:left="630" w:hanging="630" w:hangingChars="225"/>
        <w:rPr>
          <w:rFonts w:ascii="仿宋" w:hAnsi="仿宋" w:eastAsia="仿宋" w:cs="仿宋"/>
          <w:kern w:val="0"/>
          <w:sz w:val="28"/>
          <w:szCs w:val="28"/>
        </w:rPr>
      </w:pPr>
      <w:r>
        <w:rPr>
          <w:rFonts w:hint="eastAsia" w:ascii="仿宋" w:hAnsi="仿宋" w:eastAsia="仿宋" w:cs="仿宋"/>
          <w:kern w:val="0"/>
          <w:sz w:val="28"/>
          <w:szCs w:val="28"/>
        </w:rPr>
        <w:t>22.2询价小组按上述修正误差的原则调整的价格对其报价人具有约束力。如果报价人不接受修正后的价格，其报价将被拒绝。</w:t>
      </w:r>
    </w:p>
    <w:p>
      <w:pPr>
        <w:autoSpaceDE w:val="0"/>
        <w:autoSpaceDN w:val="0"/>
        <w:adjustRightInd w:val="0"/>
        <w:snapToGrid w:val="0"/>
        <w:spacing w:line="25" w:lineRule="atLeast"/>
        <w:ind w:left="630" w:hanging="630" w:hangingChars="225"/>
        <w:rPr>
          <w:rFonts w:ascii="仿宋" w:hAnsi="仿宋" w:eastAsia="仿宋" w:cs="仿宋"/>
          <w:kern w:val="0"/>
          <w:sz w:val="28"/>
          <w:szCs w:val="28"/>
        </w:rPr>
      </w:pPr>
      <w:r>
        <w:rPr>
          <w:rFonts w:hint="eastAsia" w:ascii="仿宋" w:hAnsi="仿宋" w:eastAsia="仿宋" w:cs="仿宋"/>
          <w:kern w:val="0"/>
          <w:sz w:val="28"/>
          <w:szCs w:val="28"/>
        </w:rPr>
        <w:t>22.3超过最高限价的报价将被拒绝。</w:t>
      </w:r>
    </w:p>
    <w:p>
      <w:pPr>
        <w:spacing w:line="25" w:lineRule="atLeast"/>
        <w:rPr>
          <w:rFonts w:ascii="仿宋" w:hAnsi="仿宋" w:eastAsia="仿宋" w:cs="仿宋"/>
          <w:b/>
          <w:sz w:val="28"/>
          <w:szCs w:val="28"/>
        </w:rPr>
      </w:pPr>
      <w:r>
        <w:rPr>
          <w:rFonts w:hint="eastAsia" w:ascii="仿宋" w:hAnsi="仿宋" w:eastAsia="仿宋" w:cs="仿宋"/>
          <w:b/>
          <w:sz w:val="28"/>
          <w:szCs w:val="28"/>
        </w:rPr>
        <w:t>六、确定承包人</w:t>
      </w:r>
    </w:p>
    <w:p>
      <w:pPr>
        <w:autoSpaceDE w:val="0"/>
        <w:autoSpaceDN w:val="0"/>
        <w:adjustRightInd w:val="0"/>
        <w:snapToGrid w:val="0"/>
        <w:spacing w:line="25" w:lineRule="atLeast"/>
        <w:ind w:left="630" w:hanging="630" w:hangingChars="225"/>
        <w:rPr>
          <w:rFonts w:ascii="仿宋" w:hAnsi="仿宋" w:eastAsia="仿宋" w:cs="仿宋"/>
          <w:kern w:val="0"/>
          <w:sz w:val="28"/>
          <w:szCs w:val="28"/>
        </w:rPr>
      </w:pPr>
      <w:r>
        <w:rPr>
          <w:rFonts w:hint="eastAsia" w:ascii="仿宋" w:hAnsi="仿宋" w:eastAsia="仿宋" w:cs="仿宋"/>
          <w:kern w:val="0"/>
          <w:sz w:val="28"/>
          <w:szCs w:val="28"/>
        </w:rPr>
        <w:t>23.确定承包人原则</w:t>
      </w:r>
    </w:p>
    <w:p>
      <w:pPr>
        <w:autoSpaceDE w:val="0"/>
        <w:autoSpaceDN w:val="0"/>
        <w:adjustRightInd w:val="0"/>
        <w:snapToGrid w:val="0"/>
        <w:spacing w:line="300" w:lineRule="auto"/>
        <w:ind w:left="630" w:right="32" w:hanging="630" w:hangingChars="225"/>
        <w:rPr>
          <w:rFonts w:ascii="仿宋" w:hAnsi="仿宋" w:eastAsia="仿宋" w:cs="仿宋"/>
          <w:kern w:val="0"/>
          <w:sz w:val="28"/>
          <w:szCs w:val="28"/>
        </w:rPr>
      </w:pPr>
      <w:r>
        <w:rPr>
          <w:rFonts w:hint="eastAsia" w:ascii="仿宋" w:hAnsi="仿宋" w:eastAsia="仿宋" w:cs="仿宋"/>
          <w:kern w:val="0"/>
          <w:sz w:val="28"/>
          <w:szCs w:val="28"/>
        </w:rPr>
        <w:t>23.1根据符合询价人需求、质量和服务且报价最低的原则确定承包人。</w:t>
      </w:r>
    </w:p>
    <w:p>
      <w:pPr>
        <w:autoSpaceDE w:val="0"/>
        <w:autoSpaceDN w:val="0"/>
        <w:adjustRightInd w:val="0"/>
        <w:snapToGrid w:val="0"/>
        <w:spacing w:line="300" w:lineRule="auto"/>
        <w:ind w:left="630" w:right="32" w:hanging="630" w:hangingChars="225"/>
        <w:rPr>
          <w:rFonts w:ascii="仿宋" w:hAnsi="仿宋" w:eastAsia="仿宋" w:cs="仿宋"/>
          <w:kern w:val="0"/>
          <w:sz w:val="28"/>
          <w:szCs w:val="28"/>
        </w:rPr>
      </w:pPr>
      <w:r>
        <w:rPr>
          <w:rFonts w:hint="eastAsia" w:ascii="仿宋" w:hAnsi="仿宋" w:eastAsia="仿宋" w:cs="仿宋"/>
          <w:sz w:val="28"/>
          <w:szCs w:val="28"/>
        </w:rPr>
        <w:t>23.2承包人确定后，询价人</w:t>
      </w:r>
      <w:r>
        <w:rPr>
          <w:rFonts w:hint="eastAsia" w:ascii="仿宋" w:hAnsi="仿宋" w:eastAsia="仿宋" w:cs="仿宋"/>
          <w:kern w:val="0"/>
          <w:sz w:val="28"/>
          <w:szCs w:val="28"/>
        </w:rPr>
        <w:t>向承包人发出《发包通知书》，</w:t>
      </w:r>
      <w:r>
        <w:rPr>
          <w:rFonts w:hint="eastAsia" w:ascii="仿宋" w:hAnsi="仿宋" w:eastAsia="仿宋" w:cs="仿宋"/>
          <w:sz w:val="28"/>
          <w:szCs w:val="28"/>
        </w:rPr>
        <w:t>对承包人和询价人具有同等法律效力</w:t>
      </w:r>
      <w:r>
        <w:rPr>
          <w:rFonts w:hint="eastAsia" w:ascii="仿宋" w:hAnsi="仿宋" w:eastAsia="仿宋" w:cs="仿宋"/>
          <w:kern w:val="0"/>
          <w:sz w:val="28"/>
          <w:szCs w:val="28"/>
        </w:rPr>
        <w:t>。</w:t>
      </w:r>
    </w:p>
    <w:p>
      <w:pPr>
        <w:pStyle w:val="14"/>
        <w:adjustRightInd w:val="0"/>
        <w:snapToGrid w:val="0"/>
        <w:spacing w:line="300" w:lineRule="auto"/>
        <w:rPr>
          <w:rFonts w:ascii="仿宋" w:hAnsi="仿宋" w:eastAsia="仿宋" w:cs="仿宋"/>
          <w:b/>
          <w:sz w:val="28"/>
          <w:szCs w:val="28"/>
        </w:rPr>
      </w:pPr>
      <w:r>
        <w:rPr>
          <w:rFonts w:hint="eastAsia" w:ascii="仿宋" w:hAnsi="仿宋" w:eastAsia="仿宋" w:cs="仿宋"/>
          <w:b/>
          <w:sz w:val="28"/>
          <w:szCs w:val="28"/>
        </w:rPr>
        <w:t>七、 合同的订立和履行</w:t>
      </w:r>
    </w:p>
    <w:p>
      <w:pPr>
        <w:autoSpaceDE w:val="0"/>
        <w:autoSpaceDN w:val="0"/>
        <w:adjustRightInd w:val="0"/>
        <w:snapToGrid w:val="0"/>
        <w:spacing w:line="300" w:lineRule="auto"/>
        <w:ind w:right="32"/>
        <w:rPr>
          <w:rFonts w:ascii="仿宋" w:hAnsi="仿宋" w:eastAsia="仿宋" w:cs="仿宋"/>
          <w:kern w:val="0"/>
          <w:sz w:val="28"/>
          <w:szCs w:val="28"/>
        </w:rPr>
      </w:pPr>
      <w:r>
        <w:rPr>
          <w:rFonts w:hint="eastAsia" w:ascii="仿宋" w:hAnsi="仿宋" w:eastAsia="仿宋" w:cs="仿宋"/>
          <w:kern w:val="0"/>
          <w:sz w:val="28"/>
          <w:szCs w:val="28"/>
        </w:rPr>
        <w:t>24. 合同的订立</w:t>
      </w:r>
    </w:p>
    <w:p>
      <w:pPr>
        <w:autoSpaceDE w:val="0"/>
        <w:autoSpaceDN w:val="0"/>
        <w:adjustRightInd w:val="0"/>
        <w:snapToGrid w:val="0"/>
        <w:spacing w:line="300" w:lineRule="auto"/>
        <w:ind w:left="700" w:right="32" w:hanging="700" w:hangingChars="250"/>
        <w:rPr>
          <w:rFonts w:ascii="仿宋" w:hAnsi="仿宋" w:eastAsia="仿宋" w:cs="仿宋"/>
          <w:sz w:val="28"/>
          <w:szCs w:val="28"/>
        </w:rPr>
      </w:pPr>
      <w:r>
        <w:rPr>
          <w:rFonts w:hint="eastAsia" w:ascii="仿宋" w:hAnsi="仿宋" w:eastAsia="仿宋" w:cs="仿宋"/>
          <w:kern w:val="0"/>
          <w:sz w:val="28"/>
          <w:szCs w:val="28"/>
        </w:rPr>
        <w:t>24.1 询价人与成交、承包人自《发包通知书》发出之日起三十日内，按询价文件要求和承包人询价响应文件承诺签订承包合同，但</w:t>
      </w:r>
      <w:r>
        <w:rPr>
          <w:rFonts w:hint="eastAsia" w:ascii="仿宋" w:hAnsi="仿宋" w:eastAsia="仿宋" w:cs="仿宋"/>
          <w:sz w:val="28"/>
          <w:szCs w:val="28"/>
        </w:rPr>
        <w:t>不得超出询价文件和承包人询价响应文件的范围、也不得再行订立背离合同实质性内容的其他协议。</w:t>
      </w:r>
    </w:p>
    <w:p>
      <w:pPr>
        <w:adjustRightInd w:val="0"/>
        <w:snapToGrid w:val="0"/>
        <w:spacing w:line="300" w:lineRule="auto"/>
        <w:rPr>
          <w:rFonts w:ascii="仿宋" w:hAnsi="仿宋" w:eastAsia="仿宋" w:cs="仿宋"/>
          <w:kern w:val="0"/>
          <w:sz w:val="28"/>
          <w:szCs w:val="28"/>
        </w:rPr>
      </w:pPr>
      <w:r>
        <w:rPr>
          <w:rFonts w:hint="eastAsia" w:ascii="仿宋" w:hAnsi="仿宋" w:eastAsia="仿宋" w:cs="仿宋"/>
          <w:kern w:val="0"/>
          <w:sz w:val="28"/>
          <w:szCs w:val="28"/>
        </w:rPr>
        <w:t>25. 合同的履行</w:t>
      </w:r>
    </w:p>
    <w:p>
      <w:pPr>
        <w:autoSpaceDE w:val="0"/>
        <w:autoSpaceDN w:val="0"/>
        <w:adjustRightInd w:val="0"/>
        <w:snapToGrid w:val="0"/>
        <w:spacing w:line="300" w:lineRule="auto"/>
        <w:ind w:left="700" w:right="32" w:hanging="700" w:hangingChars="250"/>
        <w:rPr>
          <w:rFonts w:ascii="仿宋" w:hAnsi="仿宋" w:eastAsia="仿宋" w:cs="仿宋"/>
          <w:kern w:val="0"/>
          <w:sz w:val="28"/>
          <w:szCs w:val="28"/>
        </w:rPr>
      </w:pPr>
      <w:r>
        <w:rPr>
          <w:rFonts w:hint="eastAsia" w:ascii="仿宋" w:hAnsi="仿宋" w:eastAsia="仿宋" w:cs="仿宋"/>
          <w:kern w:val="0"/>
          <w:sz w:val="28"/>
          <w:szCs w:val="28"/>
        </w:rPr>
        <w:t>25.1承包合同订立后，合同各方不得擅自变更、中止或者终止合同。承包合同需要变更的，询价人应将有关合同变更内容，以书面形式报公司询价办备案；因特殊情况需要中止或终止合同的，询价人应将中止或终止合同的理由以及相应措施，以书面形式报公司询价办。</w:t>
      </w:r>
    </w:p>
    <w:p>
      <w:pPr>
        <w:autoSpaceDE w:val="0"/>
        <w:autoSpaceDN w:val="0"/>
        <w:adjustRightInd w:val="0"/>
        <w:snapToGrid w:val="0"/>
        <w:spacing w:line="300" w:lineRule="auto"/>
        <w:ind w:left="700" w:right="32" w:hanging="700" w:hangingChars="250"/>
        <w:rPr>
          <w:rFonts w:ascii="仿宋" w:hAnsi="仿宋" w:eastAsia="仿宋" w:cs="仿宋"/>
          <w:kern w:val="0"/>
          <w:sz w:val="28"/>
          <w:szCs w:val="28"/>
        </w:rPr>
      </w:pPr>
      <w:r>
        <w:rPr>
          <w:rFonts w:hint="eastAsia" w:ascii="仿宋" w:hAnsi="仿宋" w:eastAsia="仿宋" w:cs="仿宋"/>
          <w:kern w:val="0"/>
          <w:sz w:val="28"/>
          <w:szCs w:val="28"/>
        </w:rPr>
        <w:t>25.2 承包人因不可抗力或者自身原因不能履行承包合同的，询价人</w:t>
      </w:r>
      <w:r>
        <w:rPr>
          <w:rFonts w:hint="eastAsia" w:ascii="仿宋" w:hAnsi="仿宋" w:eastAsia="仿宋" w:cs="仿宋"/>
          <w:sz w:val="28"/>
          <w:szCs w:val="28"/>
        </w:rPr>
        <w:t>可以与排位在承包人之后第一位的成交候选报价单位签订承包</w:t>
      </w:r>
      <w:r>
        <w:rPr>
          <w:rFonts w:hint="eastAsia" w:ascii="仿宋" w:hAnsi="仿宋" w:eastAsia="仿宋" w:cs="仿宋"/>
          <w:kern w:val="0"/>
          <w:sz w:val="28"/>
          <w:szCs w:val="28"/>
        </w:rPr>
        <w:t>合同，以此类推。</w:t>
      </w:r>
    </w:p>
    <w:p>
      <w:pPr>
        <w:autoSpaceDE w:val="0"/>
        <w:autoSpaceDN w:val="0"/>
        <w:adjustRightInd w:val="0"/>
        <w:snapToGrid w:val="0"/>
        <w:spacing w:line="300" w:lineRule="auto"/>
        <w:ind w:left="420" w:right="32" w:hanging="420"/>
        <w:rPr>
          <w:rFonts w:ascii="仿宋" w:hAnsi="仿宋" w:eastAsia="仿宋" w:cs="仿宋"/>
          <w:b/>
          <w:kern w:val="0"/>
          <w:sz w:val="28"/>
          <w:szCs w:val="28"/>
        </w:rPr>
      </w:pPr>
      <w:r>
        <w:rPr>
          <w:rFonts w:hint="eastAsia" w:ascii="仿宋" w:hAnsi="仿宋" w:eastAsia="仿宋" w:cs="仿宋"/>
          <w:b/>
          <w:kern w:val="0"/>
          <w:sz w:val="28"/>
          <w:szCs w:val="28"/>
        </w:rPr>
        <w:t>八、质疑</w:t>
      </w:r>
    </w:p>
    <w:p>
      <w:pPr>
        <w:autoSpaceDE w:val="0"/>
        <w:autoSpaceDN w:val="0"/>
        <w:adjustRightInd w:val="0"/>
        <w:snapToGrid w:val="0"/>
        <w:spacing w:line="300" w:lineRule="auto"/>
        <w:ind w:left="420" w:right="32" w:hanging="420"/>
        <w:rPr>
          <w:rFonts w:cs="仿宋_GB2312" w:asciiTheme="majorEastAsia" w:hAnsiTheme="majorEastAsia" w:eastAsiaTheme="majorEastAsia"/>
          <w:sz w:val="28"/>
          <w:szCs w:val="28"/>
        </w:rPr>
      </w:pPr>
      <w:r>
        <w:rPr>
          <w:rFonts w:hint="eastAsia" w:ascii="仿宋" w:hAnsi="仿宋" w:eastAsia="仿宋" w:cs="仿宋"/>
          <w:sz w:val="28"/>
          <w:szCs w:val="28"/>
        </w:rPr>
        <w:t>26. 如果报价人认为询价文件或询价过程或询价结果使其权益受到损害的，可向询价人提出书面质疑。询价人应在3天内给与答复。</w:t>
      </w:r>
    </w:p>
    <w:p>
      <w:pPr>
        <w:pStyle w:val="14"/>
        <w:adjustRightInd w:val="0"/>
        <w:snapToGrid w:val="0"/>
        <w:spacing w:line="300" w:lineRule="auto"/>
        <w:rPr>
          <w:rFonts w:cs="仿宋_GB2312" w:asciiTheme="majorEastAsia" w:hAnsiTheme="majorEastAsia" w:eastAsiaTheme="majorEastAsia"/>
          <w:b/>
          <w:sz w:val="28"/>
          <w:szCs w:val="28"/>
          <w:lang w:val="zh-CN"/>
        </w:rPr>
      </w:pPr>
    </w:p>
    <w:p>
      <w:pPr>
        <w:ind w:firstLine="560" w:firstLineChars="200"/>
        <w:rPr>
          <w:rFonts w:cs="仿宋_GB2312" w:asciiTheme="majorEastAsia" w:hAnsiTheme="majorEastAsia" w:eastAsiaTheme="majorEastAsia"/>
        </w:rPr>
      </w:pPr>
      <w:r>
        <w:rPr>
          <w:rFonts w:cs="仿宋_GB2312" w:asciiTheme="majorEastAsia" w:hAnsiTheme="majorEastAsia" w:eastAsiaTheme="majorEastAsia"/>
          <w:b/>
          <w:sz w:val="28"/>
          <w:szCs w:val="28"/>
          <w:lang w:val="zh-CN"/>
        </w:rPr>
        <w:br w:type="page"/>
      </w:r>
      <w:r>
        <w:rPr>
          <w:rFonts w:hint="eastAsia" w:cs="仿宋_GB2312" w:asciiTheme="majorEastAsia" w:hAnsiTheme="majorEastAsia" w:eastAsiaTheme="majorEastAsia"/>
        </w:rPr>
        <w:t>附件一</w:t>
      </w:r>
      <w:r>
        <w:rPr>
          <w:rFonts w:cs="仿宋_GB2312" w:asciiTheme="majorEastAsia" w:hAnsiTheme="majorEastAsia" w:eastAsiaTheme="majorEastAsia"/>
        </w:rPr>
        <w:t xml:space="preserve">  </w:t>
      </w:r>
      <w:r>
        <w:rPr>
          <w:rFonts w:hint="eastAsia" w:cs="仿宋_GB2312" w:asciiTheme="majorEastAsia" w:hAnsiTheme="majorEastAsia" w:eastAsiaTheme="majorEastAsia"/>
        </w:rPr>
        <w:t>报价记录表</w:t>
      </w:r>
    </w:p>
    <w:p>
      <w:pPr>
        <w:autoSpaceDE w:val="0"/>
        <w:autoSpaceDN w:val="0"/>
        <w:jc w:val="center"/>
        <w:rPr>
          <w:rFonts w:cs="仿宋" w:asciiTheme="majorEastAsia" w:hAnsiTheme="majorEastAsia" w:eastAsiaTheme="majorEastAsia"/>
          <w:sz w:val="28"/>
          <w:szCs w:val="28"/>
        </w:rPr>
      </w:pPr>
      <w:r>
        <w:rPr>
          <w:rFonts w:hint="eastAsia" w:cs="仿宋" w:asciiTheme="majorEastAsia" w:hAnsiTheme="majorEastAsia" w:eastAsiaTheme="majorEastAsia"/>
          <w:sz w:val="28"/>
          <w:szCs w:val="28"/>
          <w:u w:val="single"/>
        </w:rPr>
        <w:t>广州市净水有限公司污水处理过程精细化控制研究项目仪表采购</w:t>
      </w:r>
      <w:r>
        <w:rPr>
          <w:rFonts w:cs="仿宋" w:asciiTheme="majorEastAsia" w:hAnsiTheme="majorEastAsia" w:eastAsiaTheme="majorEastAsia"/>
          <w:sz w:val="28"/>
          <w:szCs w:val="28"/>
          <w:u w:val="single"/>
        </w:rPr>
        <w:t>项目</w:t>
      </w:r>
      <w:r>
        <w:rPr>
          <w:rFonts w:hint="eastAsia" w:cs="仿宋" w:asciiTheme="majorEastAsia" w:hAnsiTheme="majorEastAsia" w:eastAsiaTheme="majorEastAsia"/>
          <w:sz w:val="28"/>
          <w:szCs w:val="28"/>
        </w:rPr>
        <w:t>报价记录表</w:t>
      </w:r>
    </w:p>
    <w:p>
      <w:pPr>
        <w:spacing w:line="500" w:lineRule="exact"/>
        <w:jc w:val="right"/>
        <w:rPr>
          <w:rFonts w:cs="仿宋_GB2312" w:asciiTheme="majorEastAsia" w:hAnsiTheme="majorEastAsia" w:eastAsiaTheme="majorEastAsia"/>
        </w:rPr>
      </w:pPr>
      <w:r>
        <w:rPr>
          <w:rFonts w:hint="eastAsia" w:cs="仿宋_GB2312" w:asciiTheme="majorEastAsia" w:hAnsiTheme="majorEastAsia" w:eastAsiaTheme="majorEastAsia"/>
          <w:szCs w:val="21"/>
        </w:rPr>
        <w:t>报价文件开启时间：</w:t>
      </w:r>
      <w:r>
        <w:rPr>
          <w:rFonts w:cs="仿宋_GB2312" w:asciiTheme="majorEastAsia" w:hAnsiTheme="majorEastAsia" w:eastAsiaTheme="majorEastAsia"/>
          <w:sz w:val="28"/>
          <w:szCs w:val="28"/>
          <w:u w:val="single"/>
        </w:rPr>
        <w:t xml:space="preserve">    </w:t>
      </w:r>
      <w:r>
        <w:rPr>
          <w:rFonts w:hint="eastAsia" w:cs="仿宋_GB2312" w:asciiTheme="majorEastAsia" w:hAnsiTheme="majorEastAsia" w:eastAsiaTheme="majorEastAsia"/>
          <w:szCs w:val="21"/>
        </w:rPr>
        <w:t>年</w:t>
      </w:r>
      <w:r>
        <w:rPr>
          <w:rFonts w:cs="仿宋_GB2312" w:asciiTheme="majorEastAsia" w:hAnsiTheme="majorEastAsia" w:eastAsiaTheme="majorEastAsia"/>
          <w:sz w:val="28"/>
          <w:szCs w:val="28"/>
          <w:u w:val="single"/>
        </w:rPr>
        <w:t xml:space="preserve">    </w:t>
      </w:r>
      <w:r>
        <w:rPr>
          <w:rFonts w:hint="eastAsia" w:cs="仿宋_GB2312" w:asciiTheme="majorEastAsia" w:hAnsiTheme="majorEastAsia" w:eastAsiaTheme="majorEastAsia"/>
          <w:szCs w:val="21"/>
        </w:rPr>
        <w:t>月</w:t>
      </w:r>
      <w:r>
        <w:rPr>
          <w:rFonts w:cs="仿宋_GB2312" w:asciiTheme="majorEastAsia" w:hAnsiTheme="majorEastAsia" w:eastAsiaTheme="majorEastAsia"/>
          <w:sz w:val="28"/>
          <w:szCs w:val="28"/>
          <w:u w:val="single"/>
        </w:rPr>
        <w:t xml:space="preserve">    </w:t>
      </w:r>
      <w:r>
        <w:rPr>
          <w:rFonts w:hint="eastAsia" w:cs="仿宋_GB2312" w:asciiTheme="majorEastAsia" w:hAnsiTheme="majorEastAsia" w:eastAsiaTheme="majorEastAsia"/>
          <w:szCs w:val="21"/>
        </w:rPr>
        <w:t>日</w:t>
      </w:r>
      <w:r>
        <w:rPr>
          <w:rFonts w:cs="仿宋_GB2312" w:asciiTheme="majorEastAsia" w:hAnsiTheme="majorEastAsia" w:eastAsiaTheme="majorEastAsia"/>
          <w:sz w:val="28"/>
          <w:szCs w:val="28"/>
          <w:u w:val="single"/>
        </w:rPr>
        <w:t xml:space="preserve">    </w:t>
      </w:r>
      <w:r>
        <w:rPr>
          <w:rFonts w:hint="eastAsia" w:cs="仿宋_GB2312" w:asciiTheme="majorEastAsia" w:hAnsiTheme="majorEastAsia" w:eastAsiaTheme="majorEastAsia"/>
          <w:szCs w:val="21"/>
        </w:rPr>
        <w:t>时</w:t>
      </w:r>
      <w:r>
        <w:rPr>
          <w:rFonts w:cs="仿宋_GB2312" w:asciiTheme="majorEastAsia" w:hAnsiTheme="majorEastAsia" w:eastAsiaTheme="majorEastAsia"/>
          <w:sz w:val="28"/>
          <w:szCs w:val="28"/>
          <w:u w:val="single"/>
        </w:rPr>
        <w:t xml:space="preserve">    </w:t>
      </w:r>
      <w:r>
        <w:rPr>
          <w:rFonts w:hint="eastAsia" w:cs="仿宋_GB2312" w:asciiTheme="majorEastAsia" w:hAnsiTheme="majorEastAsia" w:eastAsiaTheme="majorEastAsia"/>
          <w:szCs w:val="21"/>
        </w:rPr>
        <w:t>分</w:t>
      </w:r>
    </w:p>
    <w:tbl>
      <w:tblPr>
        <w:tblStyle w:val="27"/>
        <w:tblW w:w="0" w:type="auto"/>
        <w:jc w:val="center"/>
        <w:tblLayout w:type="fixed"/>
        <w:tblCellMar>
          <w:top w:w="0" w:type="dxa"/>
          <w:left w:w="108" w:type="dxa"/>
          <w:bottom w:w="0" w:type="dxa"/>
          <w:right w:w="108" w:type="dxa"/>
        </w:tblCellMar>
      </w:tblPr>
      <w:tblGrid>
        <w:gridCol w:w="690"/>
        <w:gridCol w:w="3422"/>
        <w:gridCol w:w="1268"/>
        <w:gridCol w:w="1582"/>
        <w:gridCol w:w="1918"/>
      </w:tblGrid>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序号</w:t>
            </w:r>
          </w:p>
        </w:tc>
        <w:tc>
          <w:tcPr>
            <w:tcW w:w="34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报价单位</w:t>
            </w:r>
          </w:p>
        </w:tc>
        <w:tc>
          <w:tcPr>
            <w:tcW w:w="1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密封情况</w:t>
            </w:r>
          </w:p>
        </w:tc>
        <w:tc>
          <w:tcPr>
            <w:tcW w:w="15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报价（元）</w:t>
            </w:r>
          </w:p>
        </w:tc>
        <w:tc>
          <w:tcPr>
            <w:tcW w:w="19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签名</w:t>
            </w: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_GB2312" w:asciiTheme="majorEastAsia" w:hAnsiTheme="majorEastAsia" w:eastAsiaTheme="majorEastAsia"/>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_GB2312" w:asciiTheme="majorEastAsia" w:hAnsiTheme="majorEastAsia" w:eastAsiaTheme="majorEastAsia"/>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仿宋_GB2312" w:asciiTheme="majorEastAsia" w:hAnsiTheme="majorEastAsia" w:eastAsiaTheme="majorEastAsia"/>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r>
      <w:tr>
        <w:tblPrEx>
          <w:tblCellMar>
            <w:top w:w="0" w:type="dxa"/>
            <w:left w:w="108" w:type="dxa"/>
            <w:bottom w:w="0" w:type="dxa"/>
            <w:right w:w="108" w:type="dxa"/>
          </w:tblCellMar>
        </w:tblPrEx>
        <w:trPr>
          <w:trHeight w:val="871"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cs="仿宋_GB2312" w:asciiTheme="majorEastAsia" w:hAnsiTheme="majorEastAsia" w:eastAsiaTheme="majorEastAsia"/>
                <w:szCs w:val="21"/>
              </w:rPr>
            </w:pPr>
          </w:p>
        </w:tc>
      </w:tr>
    </w:tbl>
    <w:p>
      <w:pPr>
        <w:spacing w:line="440" w:lineRule="exact"/>
        <w:rPr>
          <w:rFonts w:cs="仿宋_GB2312" w:asciiTheme="majorEastAsia" w:hAnsiTheme="majorEastAsia" w:eastAsiaTheme="majorEastAsia"/>
        </w:rPr>
      </w:pPr>
    </w:p>
    <w:p>
      <w:pPr>
        <w:spacing w:line="440" w:lineRule="exact"/>
        <w:rPr>
          <w:rFonts w:cs="仿宋_GB2312" w:asciiTheme="majorEastAsia" w:hAnsiTheme="majorEastAsia" w:eastAsiaTheme="majorEastAsia"/>
          <w:u w:val="single"/>
        </w:rPr>
      </w:pPr>
      <w:r>
        <w:rPr>
          <w:rFonts w:hint="eastAsia" w:cs="仿宋_GB2312" w:asciiTheme="majorEastAsia" w:hAnsiTheme="majorEastAsia" w:eastAsiaTheme="majorEastAsia"/>
        </w:rPr>
        <w:t>经办人：</w:t>
      </w:r>
      <w:r>
        <w:rPr>
          <w:rFonts w:cs="仿宋_GB2312" w:asciiTheme="majorEastAsia" w:hAnsiTheme="majorEastAsia" w:eastAsiaTheme="majorEastAsia"/>
          <w:u w:val="single"/>
        </w:rPr>
        <w:t xml:space="preserve">                   </w:t>
      </w:r>
      <w:r>
        <w:rPr>
          <w:rFonts w:cs="仿宋_GB2312" w:asciiTheme="majorEastAsia" w:hAnsiTheme="majorEastAsia" w:eastAsiaTheme="majorEastAsia"/>
        </w:rPr>
        <w:t xml:space="preserve"> 记录人：</w:t>
      </w:r>
      <w:r>
        <w:rPr>
          <w:rFonts w:cs="仿宋_GB2312" w:asciiTheme="majorEastAsia" w:hAnsiTheme="majorEastAsia" w:eastAsiaTheme="majorEastAsia"/>
          <w:u w:val="single"/>
        </w:rPr>
        <w:t xml:space="preserve">                   </w:t>
      </w:r>
      <w:r>
        <w:rPr>
          <w:rFonts w:cs="仿宋_GB2312" w:asciiTheme="majorEastAsia" w:hAnsiTheme="majorEastAsia" w:eastAsiaTheme="majorEastAsia"/>
        </w:rPr>
        <w:t xml:space="preserve"> </w:t>
      </w:r>
    </w:p>
    <w:p>
      <w:pPr>
        <w:spacing w:line="440" w:lineRule="exact"/>
        <w:rPr>
          <w:rFonts w:cs="仿宋_GB2312" w:asciiTheme="majorEastAsia" w:hAnsiTheme="majorEastAsia" w:eastAsiaTheme="majorEastAsia"/>
          <w:u w:val="single"/>
        </w:rPr>
      </w:pPr>
      <w:r>
        <w:rPr>
          <w:rFonts w:cs="仿宋_GB2312" w:asciiTheme="majorEastAsia" w:hAnsiTheme="majorEastAsia" w:eastAsiaTheme="majorEastAsia"/>
        </w:rPr>
        <w:t xml:space="preserve">                                            </w:t>
      </w:r>
      <w:r>
        <w:rPr>
          <w:rFonts w:cs="仿宋_GB2312" w:asciiTheme="majorEastAsia" w:hAnsiTheme="majorEastAsia" w:eastAsiaTheme="majorEastAsia"/>
          <w:u w:val="single"/>
        </w:rPr>
        <w:t xml:space="preserve">      </w:t>
      </w:r>
      <w:r>
        <w:rPr>
          <w:rFonts w:hint="eastAsia" w:cs="仿宋_GB2312" w:asciiTheme="majorEastAsia" w:hAnsiTheme="majorEastAsia" w:eastAsiaTheme="majorEastAsia"/>
        </w:rPr>
        <w:t>年</w:t>
      </w:r>
      <w:r>
        <w:rPr>
          <w:rFonts w:cs="仿宋_GB2312" w:asciiTheme="majorEastAsia" w:hAnsiTheme="majorEastAsia" w:eastAsiaTheme="majorEastAsia"/>
          <w:u w:val="single"/>
        </w:rPr>
        <w:t xml:space="preserve">      </w:t>
      </w:r>
      <w:r>
        <w:rPr>
          <w:rFonts w:hint="eastAsia" w:cs="仿宋_GB2312" w:asciiTheme="majorEastAsia" w:hAnsiTheme="majorEastAsia" w:eastAsiaTheme="majorEastAsia"/>
        </w:rPr>
        <w:t>月</w:t>
      </w:r>
      <w:r>
        <w:rPr>
          <w:rFonts w:cs="仿宋_GB2312" w:asciiTheme="majorEastAsia" w:hAnsiTheme="majorEastAsia" w:eastAsiaTheme="majorEastAsia"/>
        </w:rPr>
        <w:t xml:space="preserve"> </w:t>
      </w:r>
      <w:r>
        <w:rPr>
          <w:rFonts w:cs="仿宋_GB2312" w:asciiTheme="majorEastAsia" w:hAnsiTheme="majorEastAsia" w:eastAsiaTheme="majorEastAsia"/>
          <w:u w:val="single"/>
        </w:rPr>
        <w:t xml:space="preserve">      </w:t>
      </w:r>
      <w:r>
        <w:rPr>
          <w:rFonts w:hint="eastAsia" w:cs="仿宋_GB2312" w:asciiTheme="majorEastAsia" w:hAnsiTheme="majorEastAsia" w:eastAsiaTheme="majorEastAsia"/>
        </w:rPr>
        <w:t>日</w:t>
      </w:r>
    </w:p>
    <w:p>
      <w:pPr>
        <w:spacing w:line="440" w:lineRule="exact"/>
        <w:rPr>
          <w:rFonts w:cs="仿宋_GB2312" w:asciiTheme="majorEastAsia" w:hAnsiTheme="majorEastAsia" w:eastAsiaTheme="majorEastAsia"/>
          <w:sz w:val="28"/>
          <w:szCs w:val="28"/>
        </w:rPr>
      </w:pPr>
      <w:r>
        <w:rPr>
          <w:rFonts w:cs="仿宋_GB2312" w:asciiTheme="majorEastAsia" w:hAnsiTheme="majorEastAsia" w:eastAsiaTheme="majorEastAsia"/>
        </w:rPr>
        <w:br w:type="page"/>
      </w:r>
      <w:r>
        <w:rPr>
          <w:rFonts w:hint="eastAsia" w:cs="仿宋_GB2312" w:asciiTheme="majorEastAsia" w:hAnsiTheme="majorEastAsia" w:eastAsiaTheme="majorEastAsia"/>
          <w:b/>
          <w:bCs/>
          <w:sz w:val="32"/>
          <w:szCs w:val="32"/>
        </w:rPr>
        <w:t>附件二</w:t>
      </w:r>
    </w:p>
    <w:p>
      <w:pPr>
        <w:spacing w:line="360" w:lineRule="auto"/>
        <w:jc w:val="center"/>
        <w:rPr>
          <w:rFonts w:asciiTheme="majorEastAsia" w:hAnsiTheme="majorEastAsia" w:eastAsiaTheme="majorEastAsia"/>
          <w:b/>
          <w:sz w:val="36"/>
          <w:szCs w:val="36"/>
        </w:rPr>
      </w:pPr>
      <w:r>
        <w:rPr>
          <w:rFonts w:hint="eastAsia" w:asciiTheme="majorEastAsia" w:hAnsiTheme="majorEastAsia" w:eastAsiaTheme="majorEastAsia"/>
          <w:b/>
          <w:bCs/>
          <w:sz w:val="36"/>
          <w:szCs w:val="36"/>
        </w:rPr>
        <w:t>广州市净水有限公司</w:t>
      </w:r>
      <w:r>
        <w:rPr>
          <w:rFonts w:hint="eastAsia" w:asciiTheme="majorEastAsia" w:hAnsiTheme="majorEastAsia" w:eastAsiaTheme="majorEastAsia"/>
          <w:b/>
          <w:sz w:val="36"/>
          <w:szCs w:val="36"/>
        </w:rPr>
        <w:t>非公开询价项目询价评审记录表</w:t>
      </w:r>
    </w:p>
    <w:p>
      <w:pPr>
        <w:spacing w:line="360" w:lineRule="auto"/>
        <w:ind w:left="1200" w:hanging="1200" w:hangingChars="500"/>
        <w:rPr>
          <w:rFonts w:asciiTheme="majorEastAsia" w:hAnsiTheme="majorEastAsia" w:eastAsiaTheme="majorEastAsia"/>
          <w:sz w:val="24"/>
        </w:rPr>
      </w:pPr>
      <w:r>
        <w:rPr>
          <w:rFonts w:hint="eastAsia" w:asciiTheme="majorEastAsia" w:hAnsiTheme="majorEastAsia" w:eastAsiaTheme="majorEastAsia"/>
          <w:sz w:val="24"/>
        </w:rPr>
        <w:t>项目名称</w:t>
      </w:r>
      <w:r>
        <w:rPr>
          <w:rFonts w:asciiTheme="majorEastAsia" w:hAnsiTheme="majorEastAsia" w:eastAsiaTheme="majorEastAsia"/>
          <w:sz w:val="24"/>
        </w:rPr>
        <w:t>:</w:t>
      </w:r>
      <w:r>
        <w:rPr>
          <w:rFonts w:hint="eastAsia"/>
        </w:rPr>
        <w:t xml:space="preserve"> </w:t>
      </w:r>
      <w:r>
        <w:rPr>
          <w:rFonts w:hint="eastAsia"/>
          <w:sz w:val="24"/>
        </w:rPr>
        <w:t>广州市净水有限公司</w:t>
      </w:r>
      <w:r>
        <w:rPr>
          <w:rFonts w:hint="eastAsia" w:asciiTheme="majorEastAsia" w:hAnsiTheme="majorEastAsia" w:eastAsiaTheme="majorEastAsia"/>
          <w:sz w:val="24"/>
        </w:rPr>
        <w:t>污水处理过程精细化控制研究项目仪表采购</w:t>
      </w:r>
      <w:r>
        <w:rPr>
          <w:rFonts w:asciiTheme="majorEastAsia" w:hAnsiTheme="majorEastAsia" w:eastAsiaTheme="majorEastAsia"/>
          <w:sz w:val="24"/>
        </w:rPr>
        <w:t xml:space="preserve">项目                            </w:t>
      </w:r>
    </w:p>
    <w:tbl>
      <w:tblPr>
        <w:tblStyle w:val="27"/>
        <w:tblW w:w="10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137"/>
        <w:gridCol w:w="1078"/>
        <w:gridCol w:w="999"/>
        <w:gridCol w:w="993"/>
        <w:gridCol w:w="992"/>
        <w:gridCol w:w="992"/>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jc w:val="center"/>
        </w:trPr>
        <w:tc>
          <w:tcPr>
            <w:tcW w:w="601" w:type="dxa"/>
            <w:vMerge w:val="restart"/>
            <w:tcBorders>
              <w:top w:val="double" w:color="auto" w:sz="4" w:space="0"/>
              <w:left w:val="double" w:color="auto" w:sz="4" w:space="0"/>
              <w:right w:val="single" w:color="auto" w:sz="4" w:space="0"/>
            </w:tcBorders>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4137" w:type="dxa"/>
            <w:vMerge w:val="restart"/>
            <w:tcBorders>
              <w:top w:val="double" w:color="auto" w:sz="4" w:space="0"/>
              <w:left w:val="single" w:color="auto" w:sz="4" w:space="0"/>
              <w:right w:val="single" w:color="auto" w:sz="4" w:space="0"/>
            </w:tcBorders>
            <w:vAlign w:val="center"/>
          </w:tcPr>
          <w:p>
            <w:pPr>
              <w:jc w:val="center"/>
              <w:rPr>
                <w:rFonts w:asciiTheme="majorEastAsia" w:hAnsiTheme="majorEastAsia" w:eastAsiaTheme="majorEastAsia"/>
                <w:sz w:val="24"/>
              </w:rPr>
            </w:pPr>
            <w:r>
              <w:rPr>
                <w:rFonts w:hint="eastAsia" w:asciiTheme="majorEastAsia" w:hAnsiTheme="majorEastAsia" w:eastAsiaTheme="majorEastAsia"/>
                <w:b/>
                <w:sz w:val="24"/>
              </w:rPr>
              <w:t>项目资料</w:t>
            </w:r>
          </w:p>
        </w:tc>
        <w:tc>
          <w:tcPr>
            <w:tcW w:w="1078" w:type="dxa"/>
            <w:vMerge w:val="restart"/>
            <w:tcBorders>
              <w:top w:val="double" w:color="auto" w:sz="4" w:space="0"/>
              <w:left w:val="single" w:color="auto" w:sz="4" w:space="0"/>
              <w:right w:val="single" w:color="auto" w:sz="4" w:space="0"/>
            </w:tcBorders>
            <w:vAlign w:val="center"/>
          </w:tcPr>
          <w:p>
            <w:pPr>
              <w:jc w:val="center"/>
              <w:rPr>
                <w:rFonts w:asciiTheme="majorEastAsia" w:hAnsiTheme="majorEastAsia" w:eastAsiaTheme="majorEastAsia"/>
                <w:sz w:val="24"/>
              </w:rPr>
            </w:pPr>
            <w:r>
              <w:rPr>
                <w:rFonts w:hint="eastAsia" w:asciiTheme="majorEastAsia" w:hAnsiTheme="majorEastAsia" w:eastAsiaTheme="majorEastAsia"/>
                <w:b/>
                <w:sz w:val="24"/>
              </w:rPr>
              <w:t>提交资料要求</w:t>
            </w:r>
          </w:p>
        </w:tc>
        <w:tc>
          <w:tcPr>
            <w:tcW w:w="3976" w:type="dxa"/>
            <w:gridSpan w:val="4"/>
            <w:tcBorders>
              <w:top w:val="double" w:color="auto" w:sz="4" w:space="0"/>
              <w:left w:val="single" w:color="auto" w:sz="4" w:space="0"/>
              <w:right w:val="single" w:color="auto" w:sz="4" w:space="0"/>
            </w:tcBorders>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审核情况</w:t>
            </w:r>
          </w:p>
        </w:tc>
        <w:tc>
          <w:tcPr>
            <w:tcW w:w="803" w:type="dxa"/>
            <w:tcBorders>
              <w:top w:val="double" w:color="auto" w:sz="4" w:space="0"/>
              <w:left w:val="single" w:color="auto" w:sz="4" w:space="0"/>
              <w:bottom w:val="single" w:color="auto" w:sz="4" w:space="0"/>
              <w:right w:val="double" w:color="auto" w:sz="4" w:space="0"/>
            </w:tcBorders>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601" w:type="dxa"/>
            <w:vMerge w:val="continue"/>
            <w:tcBorders>
              <w:left w:val="double" w:color="auto" w:sz="4" w:space="0"/>
              <w:bottom w:val="single" w:color="auto" w:sz="4" w:space="0"/>
              <w:right w:val="single" w:color="auto" w:sz="4" w:space="0"/>
            </w:tcBorders>
            <w:vAlign w:val="center"/>
          </w:tcPr>
          <w:p>
            <w:pPr>
              <w:jc w:val="center"/>
              <w:rPr>
                <w:rFonts w:asciiTheme="majorEastAsia" w:hAnsiTheme="majorEastAsia" w:eastAsiaTheme="majorEastAsia"/>
                <w:sz w:val="24"/>
              </w:rPr>
            </w:pPr>
          </w:p>
        </w:tc>
        <w:tc>
          <w:tcPr>
            <w:tcW w:w="4137" w:type="dxa"/>
            <w:vMerge w:val="continue"/>
            <w:tcBorders>
              <w:left w:val="single" w:color="auto" w:sz="4" w:space="0"/>
              <w:bottom w:val="single" w:color="auto" w:sz="4" w:space="0"/>
              <w:right w:val="single" w:color="auto" w:sz="4" w:space="0"/>
            </w:tcBorders>
            <w:vAlign w:val="center"/>
          </w:tcPr>
          <w:p>
            <w:pPr>
              <w:rPr>
                <w:rFonts w:asciiTheme="majorEastAsia" w:hAnsiTheme="majorEastAsia" w:eastAsiaTheme="majorEastAsia"/>
                <w:sz w:val="24"/>
              </w:rPr>
            </w:pPr>
          </w:p>
        </w:tc>
        <w:tc>
          <w:tcPr>
            <w:tcW w:w="1078" w:type="dxa"/>
            <w:vMerge w:val="continue"/>
            <w:tcBorders>
              <w:left w:val="single" w:color="auto" w:sz="4" w:space="0"/>
              <w:bottom w:val="single" w:color="auto" w:sz="4" w:space="0"/>
              <w:right w:val="single" w:color="auto" w:sz="4" w:space="0"/>
            </w:tcBorders>
            <w:vAlign w:val="center"/>
          </w:tcPr>
          <w:p>
            <w:pPr>
              <w:rPr>
                <w:rFonts w:asciiTheme="majorEastAsia" w:hAnsiTheme="majorEastAsia" w:eastAsiaTheme="majorEastAsia"/>
                <w:sz w:val="24"/>
              </w:rPr>
            </w:pPr>
          </w:p>
        </w:tc>
        <w:tc>
          <w:tcPr>
            <w:tcW w:w="999"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 w:val="18"/>
                <w:szCs w:val="18"/>
              </w:rPr>
            </w:pPr>
          </w:p>
        </w:tc>
        <w:tc>
          <w:tcPr>
            <w:tcW w:w="993"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sz w:val="18"/>
                <w:szCs w:val="18"/>
              </w:rPr>
            </w:pPr>
          </w:p>
        </w:tc>
        <w:tc>
          <w:tcPr>
            <w:tcW w:w="992"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sz w:val="18"/>
                <w:szCs w:val="18"/>
              </w:rPr>
            </w:pPr>
          </w:p>
        </w:tc>
        <w:tc>
          <w:tcPr>
            <w:tcW w:w="992"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sz w:val="18"/>
                <w:szCs w:val="1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Theme="majorEastAsia" w:hAnsiTheme="majorEastAsia" w:eastAsiaTheme="majorEastAsia"/>
                <w:sz w:val="24"/>
              </w:rPr>
            </w:pPr>
            <w:r>
              <w:rPr>
                <w:rFonts w:asciiTheme="majorEastAsia" w:hAnsiTheme="majorEastAsia" w:eastAsiaTheme="majorEastAsia"/>
                <w:sz w:val="24"/>
              </w:rPr>
              <w:t>1</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 w:val="24"/>
              </w:rPr>
            </w:pPr>
            <w:r>
              <w:rPr>
                <w:rFonts w:hint="eastAsia" w:asciiTheme="majorEastAsia" w:hAnsiTheme="majorEastAsia" w:eastAsiaTheme="majorEastAsia"/>
                <w:sz w:val="24"/>
              </w:rPr>
              <w:t>企业法定代表人资格证明书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 w:val="24"/>
              </w:rPr>
            </w:pPr>
            <w:r>
              <w:rPr>
                <w:rFonts w:hint="eastAsia" w:asciiTheme="majorEastAsia" w:hAnsiTheme="majorEastAsia" w:eastAsiaTheme="majorEastAsia"/>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Theme="majorEastAsia" w:hAnsiTheme="majorEastAsia" w:eastAsiaTheme="majorEastAsia"/>
                <w:sz w:val="24"/>
              </w:rPr>
            </w:pPr>
            <w:r>
              <w:rPr>
                <w:rFonts w:asciiTheme="majorEastAsia" w:hAnsiTheme="majorEastAsia" w:eastAsiaTheme="majorEastAsia"/>
                <w:sz w:val="24"/>
              </w:rPr>
              <w:t>2</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 w:val="24"/>
              </w:rPr>
            </w:pPr>
            <w:r>
              <w:rPr>
                <w:rFonts w:hint="eastAsia" w:asciiTheme="majorEastAsia" w:hAnsiTheme="majorEastAsia" w:eastAsiaTheme="majorEastAsia"/>
                <w:sz w:val="24"/>
              </w:rPr>
              <w:t>法定代表人授权委托书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 w:val="24"/>
              </w:rPr>
            </w:pPr>
            <w:r>
              <w:rPr>
                <w:rFonts w:hint="eastAsia" w:asciiTheme="majorEastAsia" w:hAnsiTheme="majorEastAsia" w:eastAsiaTheme="majorEastAsia"/>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Theme="majorEastAsia" w:hAnsiTheme="majorEastAsia" w:eastAsiaTheme="majorEastAsia"/>
                <w:sz w:val="24"/>
              </w:rPr>
            </w:pPr>
            <w:r>
              <w:rPr>
                <w:rFonts w:asciiTheme="majorEastAsia" w:hAnsiTheme="majorEastAsia" w:eastAsiaTheme="majorEastAsia"/>
                <w:sz w:val="24"/>
              </w:rPr>
              <w:t>3</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 w:val="24"/>
              </w:rPr>
            </w:pPr>
            <w:r>
              <w:rPr>
                <w:rFonts w:hint="eastAsia" w:asciiTheme="majorEastAsia" w:hAnsiTheme="majorEastAsia" w:eastAsiaTheme="majorEastAsia"/>
                <w:sz w:val="24"/>
              </w:rPr>
              <w:t>关于资格的声明函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 w:val="24"/>
              </w:rPr>
            </w:pPr>
            <w:r>
              <w:rPr>
                <w:rFonts w:hint="eastAsia" w:asciiTheme="majorEastAsia" w:hAnsiTheme="majorEastAsia" w:eastAsiaTheme="majorEastAsia"/>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Theme="majorEastAsia" w:hAnsiTheme="majorEastAsia" w:eastAsiaTheme="majorEastAsia"/>
                <w:sz w:val="24"/>
              </w:rPr>
            </w:pPr>
            <w:r>
              <w:rPr>
                <w:rFonts w:asciiTheme="majorEastAsia" w:hAnsiTheme="majorEastAsia" w:eastAsiaTheme="majorEastAsia"/>
                <w:sz w:val="24"/>
              </w:rPr>
              <w:t>4</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 w:val="24"/>
              </w:rPr>
            </w:pPr>
            <w:r>
              <w:rPr>
                <w:rFonts w:hint="eastAsia" w:asciiTheme="majorEastAsia" w:hAnsiTheme="majorEastAsia" w:eastAsiaTheme="majorEastAsia"/>
                <w:sz w:val="24"/>
              </w:rPr>
              <w:t>符合报价单位资格要求</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 w:val="24"/>
              </w:rPr>
            </w:pPr>
            <w:r>
              <w:rPr>
                <w:rFonts w:hint="eastAsia" w:asciiTheme="majorEastAsia" w:hAnsiTheme="majorEastAsia" w:eastAsiaTheme="majorEastAsia"/>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Theme="majorEastAsia" w:hAnsiTheme="majorEastAsia" w:eastAsiaTheme="majorEastAsia"/>
                <w:sz w:val="24"/>
              </w:rPr>
            </w:pPr>
            <w:r>
              <w:rPr>
                <w:rFonts w:asciiTheme="majorEastAsia" w:hAnsiTheme="majorEastAsia" w:eastAsiaTheme="majorEastAsia"/>
                <w:sz w:val="24"/>
              </w:rPr>
              <w:t>5</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 w:val="24"/>
              </w:rPr>
            </w:pPr>
            <w:r>
              <w:rPr>
                <w:rFonts w:hint="eastAsia" w:asciiTheme="majorEastAsia" w:hAnsiTheme="majorEastAsia" w:eastAsiaTheme="majorEastAsia"/>
                <w:sz w:val="24"/>
              </w:rPr>
              <w:t>响应询价文件第二部分项目内容要求</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 w:val="24"/>
              </w:rPr>
            </w:pPr>
            <w:r>
              <w:rPr>
                <w:rFonts w:hint="eastAsia" w:asciiTheme="majorEastAsia" w:hAnsiTheme="majorEastAsia" w:eastAsiaTheme="majorEastAsia"/>
                <w:sz w:val="24"/>
              </w:rPr>
              <w:t>复印件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Theme="majorEastAsia" w:hAnsiTheme="majorEastAsia" w:eastAsiaTheme="majorEastAsia"/>
                <w:sz w:val="24"/>
              </w:rPr>
            </w:pPr>
            <w:r>
              <w:rPr>
                <w:rFonts w:asciiTheme="majorEastAsia" w:hAnsiTheme="majorEastAsia" w:eastAsiaTheme="majorEastAsia"/>
                <w:sz w:val="24"/>
              </w:rPr>
              <w:t>6</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 w:val="24"/>
              </w:rPr>
            </w:pPr>
            <w:r>
              <w:rPr>
                <w:rFonts w:hint="eastAsia" w:asciiTheme="majorEastAsia" w:hAnsiTheme="majorEastAsia" w:eastAsiaTheme="majorEastAsia"/>
                <w:sz w:val="24"/>
              </w:rPr>
              <w:t>拟委派的项目负责人情况表</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 w:val="24"/>
              </w:rPr>
            </w:pPr>
            <w:r>
              <w:rPr>
                <w:rFonts w:hint="eastAsia" w:asciiTheme="majorEastAsia" w:hAnsiTheme="majorEastAsia" w:eastAsiaTheme="majorEastAsia"/>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Theme="majorEastAsia" w:hAnsiTheme="majorEastAsia" w:eastAsiaTheme="majorEastAsia"/>
                <w:sz w:val="24"/>
              </w:rPr>
            </w:pPr>
            <w:r>
              <w:rPr>
                <w:rFonts w:asciiTheme="majorEastAsia" w:hAnsiTheme="majorEastAsia" w:eastAsiaTheme="majorEastAsia"/>
                <w:sz w:val="24"/>
              </w:rPr>
              <w:t>7</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 w:val="24"/>
              </w:rPr>
            </w:pPr>
            <w:r>
              <w:rPr>
                <w:rFonts w:hint="eastAsia" w:asciiTheme="majorEastAsia" w:hAnsiTheme="majorEastAsia" w:eastAsiaTheme="majorEastAsia"/>
                <w:sz w:val="24"/>
              </w:rPr>
              <w:t>报价意向承诺及声明函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 w:val="24"/>
              </w:rPr>
            </w:pPr>
            <w:r>
              <w:rPr>
                <w:rFonts w:hint="eastAsia" w:asciiTheme="majorEastAsia" w:hAnsiTheme="majorEastAsia" w:eastAsiaTheme="majorEastAsia"/>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结论</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评审人签名</w:t>
            </w:r>
          </w:p>
        </w:tc>
        <w:tc>
          <w:tcPr>
            <w:tcW w:w="4779" w:type="dxa"/>
            <w:gridSpan w:val="5"/>
            <w:tcBorders>
              <w:top w:val="single" w:color="auto" w:sz="4" w:space="0"/>
              <w:left w:val="single" w:color="auto" w:sz="4" w:space="0"/>
              <w:bottom w:val="single" w:color="auto" w:sz="4" w:space="0"/>
              <w:right w:val="double" w:color="auto" w:sz="4" w:space="0"/>
            </w:tcBorders>
          </w:tcPr>
          <w:p>
            <w:pPr>
              <w:rPr>
                <w:rFonts w:asciiTheme="majorEastAsia" w:hAnsiTheme="majorEastAsia" w:eastAsiaTheme="majorEastAsia"/>
                <w:sz w:val="24"/>
              </w:rPr>
            </w:pPr>
          </w:p>
        </w:tc>
      </w:tr>
    </w:tbl>
    <w:p>
      <w:pPr>
        <w:ind w:left="840" w:hanging="840" w:hangingChars="400"/>
        <w:rPr>
          <w:rFonts w:asciiTheme="majorEastAsia" w:hAnsiTheme="majorEastAsia" w:eastAsiaTheme="majorEastAsia"/>
        </w:rPr>
      </w:pPr>
      <w:r>
        <w:rPr>
          <w:rFonts w:hint="eastAsia" w:asciiTheme="majorEastAsia" w:hAnsiTheme="majorEastAsia" w:eastAsiaTheme="majorEastAsia"/>
        </w:rPr>
        <w:t>备注：</w:t>
      </w:r>
      <w:r>
        <w:rPr>
          <w:rFonts w:asciiTheme="majorEastAsia" w:hAnsiTheme="majorEastAsia" w:eastAsiaTheme="majorEastAsia"/>
        </w:rPr>
        <w:t>1、审核情况填写“符合”或“不符合；或者打“√”或“×”。</w:t>
      </w:r>
    </w:p>
    <w:p>
      <w:pPr>
        <w:numPr>
          <w:ilvl w:val="0"/>
          <w:numId w:val="11"/>
        </w:numPr>
        <w:ind w:firstLine="630" w:firstLineChars="300"/>
        <w:rPr>
          <w:rFonts w:asciiTheme="majorEastAsia" w:hAnsiTheme="majorEastAsia" w:eastAsiaTheme="majorEastAsia"/>
        </w:rPr>
      </w:pPr>
      <w:r>
        <w:rPr>
          <w:rFonts w:hint="eastAsia" w:asciiTheme="majorEastAsia" w:hAnsiTheme="majorEastAsia" w:eastAsiaTheme="majorEastAsia"/>
        </w:rPr>
        <w:t>本表所有审核情况均为符合的，结论为报名成功。若有一项或以上审核情况为不符合的，结论为报名不成功。</w:t>
      </w:r>
    </w:p>
    <w:p>
      <w:pPr>
        <w:pStyle w:val="14"/>
        <w:adjustRightInd w:val="0"/>
        <w:snapToGrid w:val="0"/>
        <w:spacing w:line="300" w:lineRule="auto"/>
        <w:jc w:val="center"/>
        <w:rPr>
          <w:rFonts w:cs="仿宋_GB2312" w:asciiTheme="majorEastAsia" w:hAnsiTheme="majorEastAsia" w:eastAsiaTheme="majorEastAsia"/>
          <w:b/>
          <w:sz w:val="32"/>
          <w:szCs w:val="32"/>
        </w:rPr>
      </w:pPr>
    </w:p>
    <w:p>
      <w:pPr>
        <w:pStyle w:val="14"/>
        <w:adjustRightInd w:val="0"/>
        <w:snapToGrid w:val="0"/>
        <w:spacing w:line="300" w:lineRule="auto"/>
        <w:jc w:val="center"/>
        <w:rPr>
          <w:rFonts w:cs="仿宋_GB2312" w:asciiTheme="majorEastAsia" w:hAnsiTheme="majorEastAsia" w:eastAsiaTheme="majorEastAsia"/>
          <w:b/>
          <w:sz w:val="32"/>
          <w:szCs w:val="32"/>
        </w:rPr>
      </w:pPr>
      <w:r>
        <w:rPr>
          <w:rFonts w:hint="eastAsia" w:cs="仿宋_GB2312" w:asciiTheme="majorEastAsia" w:hAnsiTheme="majorEastAsia" w:eastAsiaTheme="majorEastAsia"/>
          <w:b/>
          <w:sz w:val="32"/>
          <w:szCs w:val="32"/>
        </w:rPr>
        <w:t>第四部分</w:t>
      </w:r>
      <w:r>
        <w:rPr>
          <w:rFonts w:cs="仿宋_GB2312" w:asciiTheme="majorEastAsia" w:hAnsiTheme="majorEastAsia" w:eastAsiaTheme="majorEastAsia"/>
          <w:b/>
          <w:sz w:val="32"/>
          <w:szCs w:val="32"/>
        </w:rPr>
        <w:t xml:space="preserve"> </w:t>
      </w:r>
      <w:r>
        <w:rPr>
          <w:rFonts w:hint="eastAsia" w:cs="仿宋_GB2312" w:asciiTheme="majorEastAsia" w:hAnsiTheme="majorEastAsia" w:eastAsiaTheme="majorEastAsia"/>
          <w:b/>
          <w:sz w:val="32"/>
          <w:szCs w:val="32"/>
        </w:rPr>
        <w:t>合同书</w:t>
      </w:r>
      <w:r>
        <w:rPr>
          <w:rFonts w:cs="仿宋_GB2312" w:asciiTheme="majorEastAsia" w:hAnsiTheme="majorEastAsia" w:eastAsiaTheme="majorEastAsia"/>
          <w:b/>
          <w:sz w:val="32"/>
          <w:szCs w:val="32"/>
        </w:rPr>
        <w:t>格式</w:t>
      </w:r>
    </w:p>
    <w:p>
      <w:pPr>
        <w:jc w:val="right"/>
        <w:rPr>
          <w:rFonts w:ascii="宋体" w:hAnsi="宋体"/>
          <w:b/>
          <w:sz w:val="44"/>
        </w:rPr>
      </w:pPr>
      <w:r>
        <w:rPr>
          <w:rFonts w:hint="eastAsia" w:ascii="宋体" w:hAnsi="宋体"/>
          <w:b/>
          <w:szCs w:val="21"/>
        </w:rPr>
        <w:t>2020年10月版</w:t>
      </w:r>
    </w:p>
    <w:p>
      <w:pPr>
        <w:rPr>
          <w:rFonts w:ascii="宋体" w:hAnsi="宋体"/>
          <w:b/>
          <w:sz w:val="44"/>
        </w:rPr>
      </w:pPr>
    </w:p>
    <w:p>
      <w:pPr>
        <w:spacing w:line="400" w:lineRule="atLeast"/>
        <w:jc w:val="center"/>
        <w:rPr>
          <w:rFonts w:ascii="宋体" w:hAnsi="宋体"/>
          <w:b/>
          <w:sz w:val="48"/>
          <w:szCs w:val="48"/>
          <w14:shadow w14:blurRad="50800" w14:dist="38100" w14:dir="2700000" w14:sx="100000" w14:sy="100000" w14:kx="0" w14:ky="0" w14:algn="tl">
            <w14:srgbClr w14:val="000000">
              <w14:alpha w14:val="60000"/>
            </w14:srgbClr>
          </w14:shadow>
        </w:rPr>
      </w:pPr>
      <w:r>
        <w:rPr>
          <w:rFonts w:hint="eastAsia" w:ascii="宋体" w:hAnsi="宋体"/>
          <w:b/>
          <w:sz w:val="48"/>
          <w:szCs w:val="48"/>
          <w14:shadow w14:blurRad="50800" w14:dist="38100" w14:dir="2700000" w14:sx="100000" w14:sy="100000" w14:kx="0" w14:ky="0" w14:algn="tl">
            <w14:srgbClr w14:val="000000">
              <w14:alpha w14:val="60000"/>
            </w14:srgbClr>
          </w14:shadow>
        </w:rPr>
        <w:t>广州市净水有限公司</w:t>
      </w:r>
    </w:p>
    <w:p>
      <w:pPr>
        <w:spacing w:line="400" w:lineRule="atLeast"/>
        <w:jc w:val="center"/>
        <w:rPr>
          <w:rFonts w:ascii="宋体" w:hAnsi="宋体"/>
          <w:b/>
          <w:sz w:val="48"/>
          <w:szCs w:val="48"/>
          <w14:shadow w14:blurRad="50800" w14:dist="38100" w14:dir="2700000" w14:sx="100000" w14:sy="100000" w14:kx="0" w14:ky="0" w14:algn="tl">
            <w14:srgbClr w14:val="000000">
              <w14:alpha w14:val="60000"/>
            </w14:srgbClr>
          </w14:shadow>
        </w:rPr>
      </w:pPr>
      <w:r>
        <w:rPr>
          <w:rFonts w:hint="eastAsia" w:ascii="宋体" w:hAnsi="宋体"/>
          <w:b/>
          <w:sz w:val="48"/>
          <w:szCs w:val="48"/>
          <w14:shadow w14:blurRad="50800" w14:dist="38100" w14:dir="2700000" w14:sx="100000" w14:sy="100000" w14:kx="0" w14:ky="0" w14:algn="tl">
            <w14:srgbClr w14:val="000000">
              <w14:alpha w14:val="60000"/>
            </w14:srgbClr>
          </w14:shadow>
        </w:rPr>
        <w:t>货物采购合同</w:t>
      </w:r>
    </w:p>
    <w:p>
      <w:pPr>
        <w:spacing w:line="360" w:lineRule="auto"/>
        <w:jc w:val="center"/>
        <w:rPr>
          <w:rFonts w:ascii="宋体" w:hAnsi="宋体" w:cs="宋体"/>
          <w:sz w:val="28"/>
          <w:szCs w:val="28"/>
        </w:rPr>
      </w:pPr>
      <w:r>
        <w:rPr>
          <w:rFonts w:hint="eastAsia" w:ascii="宋体" w:hAnsi="宋体" w:cs="宋体"/>
          <w:sz w:val="28"/>
          <w:szCs w:val="28"/>
        </w:rPr>
        <w:t>（示范文本）</w:t>
      </w:r>
    </w:p>
    <w:p>
      <w:pPr>
        <w:spacing w:line="360" w:lineRule="auto"/>
        <w:jc w:val="center"/>
        <w:rPr>
          <w:rFonts w:ascii="宋体" w:hAnsi="宋体" w:cs="宋体"/>
          <w:sz w:val="28"/>
          <w:szCs w:val="28"/>
        </w:rPr>
      </w:pPr>
      <w:r>
        <w:rPr>
          <w:rFonts w:hint="eastAsia" w:ascii="宋体" w:hAnsi="宋体" w:cs="宋体"/>
          <w:sz w:val="28"/>
          <w:szCs w:val="28"/>
        </w:rPr>
        <w:t>（适用非公招简易项目）</w:t>
      </w:r>
    </w:p>
    <w:p>
      <w:pPr>
        <w:jc w:val="center"/>
        <w:rPr>
          <w:sz w:val="30"/>
        </w:rPr>
      </w:pPr>
    </w:p>
    <w:p>
      <w:pPr>
        <w:rPr>
          <w:b/>
          <w:bCs/>
          <w:sz w:val="30"/>
        </w:rPr>
      </w:pPr>
    </w:p>
    <w:p>
      <w:pPr>
        <w:spacing w:line="480" w:lineRule="auto"/>
        <w:rPr>
          <w:rFonts w:ascii="宋体" w:hAnsi="宋体" w:cs="宋体"/>
          <w:b/>
          <w:bCs/>
          <w:sz w:val="30"/>
        </w:rPr>
      </w:pPr>
      <w:r>
        <w:rPr>
          <w:rFonts w:hint="eastAsia" w:ascii="宋体" w:hAnsi="宋体" w:cs="宋体"/>
          <w:b/>
          <w:bCs/>
          <w:sz w:val="30"/>
        </w:rPr>
        <w:t>项目名称：</w:t>
      </w:r>
      <w:r>
        <w:rPr>
          <w:rFonts w:hint="eastAsia"/>
        </w:rPr>
        <w:t xml:space="preserve"> </w:t>
      </w:r>
      <w:r>
        <w:rPr>
          <w:rFonts w:hint="eastAsia"/>
          <w:sz w:val="24"/>
        </w:rPr>
        <w:t>广州市净水有限公司</w:t>
      </w:r>
      <w:r>
        <w:rPr>
          <w:rFonts w:hint="eastAsia" w:asciiTheme="majorEastAsia" w:hAnsiTheme="majorEastAsia" w:eastAsiaTheme="majorEastAsia"/>
          <w:sz w:val="24"/>
        </w:rPr>
        <w:t>污水处理过程精细化控制研究项目仪表采购</w:t>
      </w:r>
      <w:r>
        <w:rPr>
          <w:rFonts w:asciiTheme="majorEastAsia" w:hAnsiTheme="majorEastAsia" w:eastAsiaTheme="majorEastAsia"/>
          <w:sz w:val="24"/>
        </w:rPr>
        <w:t>项目</w:t>
      </w:r>
    </w:p>
    <w:p>
      <w:pPr>
        <w:spacing w:line="480" w:lineRule="auto"/>
        <w:rPr>
          <w:rFonts w:ascii="宋体" w:hAnsi="宋体" w:cs="宋体"/>
          <w:b/>
          <w:bCs/>
          <w:sz w:val="30"/>
        </w:rPr>
      </w:pPr>
    </w:p>
    <w:p>
      <w:pPr>
        <w:spacing w:line="480" w:lineRule="auto"/>
        <w:rPr>
          <w:rFonts w:ascii="宋体" w:hAnsi="宋体" w:cs="宋体"/>
          <w:b/>
          <w:bCs/>
          <w:sz w:val="30"/>
          <w:szCs w:val="30"/>
        </w:rPr>
      </w:pPr>
      <w:r>
        <w:rPr>
          <w:rFonts w:hint="eastAsia" w:ascii="宋体" w:hAnsi="宋体" w:cs="宋体"/>
          <w:b/>
          <w:bCs/>
          <w:sz w:val="30"/>
        </w:rPr>
        <w:t>合同编号：</w:t>
      </w:r>
      <w:r>
        <w:rPr>
          <w:rFonts w:hint="eastAsia" w:ascii="宋体" w:hAnsi="宋体" w:cs="宋体"/>
          <w:b/>
          <w:bCs/>
          <w:sz w:val="30"/>
          <w:szCs w:val="30"/>
        </w:rPr>
        <w:t>穗净水合[     ]    号</w:t>
      </w:r>
    </w:p>
    <w:p>
      <w:pPr>
        <w:spacing w:line="480" w:lineRule="auto"/>
        <w:rPr>
          <w:rFonts w:ascii="宋体" w:hAnsi="宋体" w:cs="宋体"/>
          <w:b/>
          <w:bCs/>
          <w:sz w:val="30"/>
        </w:rPr>
      </w:pPr>
    </w:p>
    <w:p>
      <w:pPr>
        <w:spacing w:line="480" w:lineRule="auto"/>
        <w:rPr>
          <w:rFonts w:ascii="宋体" w:hAnsi="宋体" w:cs="宋体"/>
          <w:b/>
          <w:bCs/>
          <w:sz w:val="30"/>
        </w:rPr>
      </w:pPr>
      <w:r>
        <w:rPr>
          <w:rFonts w:hint="eastAsia" w:ascii="宋体" w:hAnsi="宋体" w:cs="宋体"/>
          <w:b/>
          <w:bCs/>
          <w:sz w:val="30"/>
        </w:rPr>
        <w:t>甲方（买方）：广州市净水有限公司</w:t>
      </w:r>
    </w:p>
    <w:p>
      <w:pPr>
        <w:spacing w:line="480" w:lineRule="auto"/>
        <w:rPr>
          <w:rFonts w:ascii="宋体" w:hAnsi="宋体" w:cs="宋体"/>
          <w:b/>
          <w:bCs/>
          <w:sz w:val="30"/>
        </w:rPr>
      </w:pPr>
      <w:r>
        <w:rPr>
          <w:rFonts w:hint="eastAsia" w:ascii="宋体" w:hAnsi="宋体" w:cs="宋体"/>
          <w:b/>
          <w:bCs/>
          <w:sz w:val="30"/>
        </w:rPr>
        <w:t>乙方（卖方）：</w:t>
      </w:r>
      <w:r>
        <w:rPr>
          <w:rFonts w:hint="eastAsia" w:ascii="宋体" w:hAnsi="宋体" w:cs="宋体"/>
          <w:b/>
          <w:bCs/>
          <w:sz w:val="30"/>
          <w:u w:val="single"/>
        </w:rPr>
        <w:t xml:space="preserve">                                          </w:t>
      </w:r>
      <w:r>
        <w:rPr>
          <w:rFonts w:hint="eastAsia" w:ascii="宋体" w:hAnsi="宋体" w:cs="宋体"/>
          <w:b/>
          <w:bCs/>
          <w:sz w:val="30"/>
        </w:rPr>
        <w:t xml:space="preserve"> </w:t>
      </w:r>
    </w:p>
    <w:p>
      <w:pPr>
        <w:spacing w:line="480" w:lineRule="auto"/>
        <w:ind w:firstLine="2400" w:firstLineChars="800"/>
        <w:rPr>
          <w:rFonts w:ascii="宋体" w:hAnsi="宋体" w:cs="宋体"/>
          <w:b/>
          <w:bCs/>
          <w:sz w:val="30"/>
        </w:rPr>
      </w:pPr>
    </w:p>
    <w:p>
      <w:pPr>
        <w:spacing w:line="480" w:lineRule="auto"/>
        <w:rPr>
          <w:rFonts w:ascii="宋体" w:hAnsi="宋体" w:cs="宋体"/>
          <w:b/>
          <w:bCs/>
          <w:sz w:val="30"/>
        </w:rPr>
      </w:pPr>
      <w:r>
        <w:rPr>
          <w:rFonts w:hint="eastAsia" w:ascii="宋体" w:hAnsi="宋体" w:cs="宋体"/>
          <w:b/>
          <w:bCs/>
          <w:sz w:val="30"/>
        </w:rPr>
        <w:t>签订日期：    年  月  日</w:t>
      </w:r>
    </w:p>
    <w:p>
      <w:pPr>
        <w:spacing w:line="480" w:lineRule="auto"/>
        <w:rPr>
          <w:rFonts w:ascii="宋体" w:hAnsi="宋体" w:cs="宋体"/>
          <w:b/>
          <w:bCs/>
          <w:sz w:val="30"/>
        </w:rPr>
      </w:pPr>
      <w:r>
        <w:rPr>
          <w:rFonts w:hint="eastAsia" w:ascii="宋体" w:hAnsi="宋体" w:cs="宋体"/>
          <w:b/>
          <w:bCs/>
          <w:sz w:val="30"/>
        </w:rPr>
        <w:t>签约地点：广州市</w:t>
      </w:r>
    </w:p>
    <w:p>
      <w:pPr>
        <w:pStyle w:val="12"/>
        <w:rPr>
          <w:rFonts w:ascii="宋体" w:hAnsi="宋体"/>
          <w:sz w:val="24"/>
        </w:rPr>
      </w:pPr>
      <w:r>
        <w:br w:type="page"/>
      </w:r>
    </w:p>
    <w:p>
      <w:pPr>
        <w:sectPr>
          <w:footerReference r:id="rId9" w:type="default"/>
          <w:headerReference r:id="rId8" w:type="even"/>
          <w:footerReference r:id="rId10" w:type="even"/>
          <w:pgSz w:w="11907" w:h="16840"/>
          <w:pgMar w:top="1440" w:right="1746" w:bottom="1440" w:left="1746" w:header="851" w:footer="992" w:gutter="0"/>
          <w:cols w:space="0" w:num="1"/>
          <w:docGrid w:type="linesAndChars" w:linePitch="381" w:charSpace="0"/>
        </w:sectPr>
      </w:pPr>
    </w:p>
    <w:p>
      <w:pPr>
        <w:spacing w:line="460" w:lineRule="exact"/>
        <w:ind w:firstLine="480" w:firstLineChars="200"/>
        <w:rPr>
          <w:rFonts w:ascii="宋体" w:hAnsi="宋体" w:cs="宋体"/>
          <w:sz w:val="24"/>
        </w:rPr>
      </w:pPr>
      <w:bookmarkStart w:id="6" w:name="_Toc518992985"/>
      <w:bookmarkStart w:id="7" w:name="_Toc520190025"/>
      <w:bookmarkStart w:id="8" w:name="_Toc10888"/>
      <w:bookmarkStart w:id="9" w:name="_Toc183666512"/>
      <w:bookmarkStart w:id="10" w:name="_Toc474245209"/>
      <w:r>
        <w:rPr>
          <w:rFonts w:hint="eastAsia" w:ascii="宋体" w:hAnsi="宋体" w:cs="宋体"/>
          <w:sz w:val="24"/>
        </w:rPr>
        <w:t>根据《中华人民共和国合同法》及其他有关法律、行政法规，</w:t>
      </w:r>
      <w:r>
        <w:rPr>
          <w:rFonts w:hint="eastAsia" w:ascii="宋体" w:hAnsi="宋体" w:cs="宋体"/>
          <w:sz w:val="24"/>
          <w:u w:val="single"/>
        </w:rPr>
        <w:t xml:space="preserve">广州市净水有限公司 </w:t>
      </w:r>
      <w:r>
        <w:rPr>
          <w:rFonts w:hint="eastAsia" w:ascii="宋体" w:hAnsi="宋体" w:cs="宋体"/>
          <w:sz w:val="24"/>
        </w:rPr>
        <w:t>（以下简称“甲方”）与</w:t>
      </w:r>
      <w:r>
        <w:rPr>
          <w:rFonts w:hint="eastAsia" w:ascii="宋体" w:hAnsi="宋体" w:cs="宋体"/>
          <w:sz w:val="24"/>
          <w:u w:val="single"/>
        </w:rPr>
        <w:t xml:space="preserve">           </w:t>
      </w:r>
      <w:r>
        <w:rPr>
          <w:rFonts w:hint="eastAsia" w:ascii="宋体" w:hAnsi="宋体" w:cs="宋体"/>
          <w:sz w:val="24"/>
        </w:rPr>
        <w:t>（以下简称“乙方”）就</w:t>
      </w:r>
      <w:r>
        <w:rPr>
          <w:rFonts w:hint="eastAsia" w:ascii="宋体" w:hAnsi="宋体" w:cs="宋体"/>
          <w:sz w:val="24"/>
          <w:u w:val="single"/>
        </w:rPr>
        <w:t xml:space="preserve"> 污水处理过程精细化控制研究项目仪表采购项目</w:t>
      </w:r>
      <w:r>
        <w:rPr>
          <w:rFonts w:hint="eastAsia" w:ascii="宋体" w:hAnsi="宋体" w:cs="宋体"/>
          <w:sz w:val="24"/>
        </w:rPr>
        <w:t xml:space="preserve">采购和相应技术服务事宜，遵循平等、自愿、公平和诚实信用的原则，双方协商一致，订立本合同。 </w:t>
      </w:r>
      <w:bookmarkEnd w:id="6"/>
      <w:bookmarkEnd w:id="7"/>
      <w:bookmarkEnd w:id="8"/>
      <w:bookmarkEnd w:id="9"/>
      <w:bookmarkEnd w:id="10"/>
      <w:bookmarkStart w:id="11" w:name="_Toc183666513"/>
      <w:bookmarkStart w:id="12" w:name="_Toc518992986"/>
      <w:bookmarkStart w:id="13" w:name="_Toc474245210"/>
      <w:bookmarkStart w:id="14" w:name="_Toc1018"/>
      <w:bookmarkStart w:id="15" w:name="_Toc520190026"/>
    </w:p>
    <w:p>
      <w:pPr>
        <w:pStyle w:val="12"/>
        <w:spacing w:line="440" w:lineRule="exact"/>
        <w:ind w:firstLine="482" w:firstLineChars="200"/>
        <w:rPr>
          <w:rFonts w:hAnsi="宋体" w:cs="宋体"/>
          <w:sz w:val="24"/>
        </w:rPr>
      </w:pPr>
      <w:r>
        <w:rPr>
          <w:rFonts w:hint="eastAsia" w:hAnsi="宋体" w:cs="宋体"/>
          <w:b/>
          <w:bCs/>
          <w:sz w:val="24"/>
        </w:rPr>
        <w:t>第一条</w:t>
      </w:r>
      <w:r>
        <w:rPr>
          <w:rFonts w:hint="eastAsia" w:hAnsi="宋体" w:cs="宋体"/>
          <w:sz w:val="24"/>
        </w:rPr>
        <w:t xml:space="preserve"> </w:t>
      </w:r>
      <w:r>
        <w:rPr>
          <w:rFonts w:hint="eastAsia" w:hAnsi="宋体" w:cs="宋体"/>
          <w:b/>
          <w:bCs/>
          <w:sz w:val="24"/>
        </w:rPr>
        <w:t>组成合同的文件及优先顺序</w:t>
      </w:r>
    </w:p>
    <w:p>
      <w:pPr>
        <w:pStyle w:val="12"/>
        <w:spacing w:line="440" w:lineRule="exact"/>
        <w:ind w:firstLine="480" w:firstLineChars="200"/>
        <w:rPr>
          <w:rFonts w:hAnsi="宋体" w:cs="宋体"/>
          <w:sz w:val="24"/>
        </w:rPr>
      </w:pPr>
      <w:r>
        <w:rPr>
          <w:rFonts w:hint="eastAsia" w:hAnsi="宋体" w:cs="宋体"/>
          <w:sz w:val="24"/>
        </w:rPr>
        <w:t>下列文件（如有）均为本合同的组成部分，可视为能相互说明和补充的，如果合同文件存在歧义或相矛盾的地方，则根据以下次序判断：</w:t>
      </w:r>
    </w:p>
    <w:p>
      <w:pPr>
        <w:spacing w:line="440" w:lineRule="exact"/>
        <w:ind w:firstLine="482"/>
        <w:rPr>
          <w:rFonts w:ascii="宋体" w:hAnsi="宋体" w:cs="宋体"/>
          <w:sz w:val="24"/>
        </w:rPr>
      </w:pPr>
      <w:r>
        <w:rPr>
          <w:rFonts w:hint="eastAsia" w:ascii="宋体" w:hAnsi="宋体" w:cs="宋体"/>
          <w:sz w:val="24"/>
        </w:rPr>
        <w:t>⑴</w:t>
      </w:r>
      <w:r>
        <w:rPr>
          <w:rFonts w:ascii="宋体" w:hAnsi="宋体" w:cs="宋体"/>
          <w:sz w:val="24"/>
        </w:rPr>
        <w:t xml:space="preserve"> </w:t>
      </w:r>
      <w:r>
        <w:rPr>
          <w:rFonts w:hint="eastAsia" w:ascii="宋体" w:hAnsi="宋体" w:cs="宋体"/>
          <w:sz w:val="24"/>
        </w:rPr>
        <w:t>在本合同实施过程双方签署的补充与修正文件；</w:t>
      </w:r>
    </w:p>
    <w:p>
      <w:pPr>
        <w:spacing w:line="320" w:lineRule="exact"/>
        <w:ind w:firstLine="482"/>
        <w:rPr>
          <w:rFonts w:ascii="宋体" w:hAnsi="宋体" w:cs="宋体"/>
          <w:sz w:val="24"/>
        </w:rPr>
      </w:pPr>
      <w:r>
        <w:rPr>
          <w:rFonts w:hint="eastAsia" w:ascii="宋体" w:hAnsi="宋体" w:cs="宋体"/>
          <w:sz w:val="24"/>
        </w:rPr>
        <w:t>⑵</w:t>
      </w:r>
      <w:r>
        <w:rPr>
          <w:rFonts w:ascii="宋体" w:hAnsi="宋体" w:cs="宋体"/>
          <w:sz w:val="24"/>
        </w:rPr>
        <w:t xml:space="preserve"> </w:t>
      </w:r>
      <w:r>
        <w:rPr>
          <w:rFonts w:hint="eastAsia" w:ascii="宋体" w:hAnsi="宋体" w:cs="宋体"/>
          <w:sz w:val="24"/>
        </w:rPr>
        <w:t>本合同书；</w:t>
      </w:r>
    </w:p>
    <w:p>
      <w:pPr>
        <w:spacing w:line="320" w:lineRule="exact"/>
        <w:ind w:firstLine="482"/>
        <w:rPr>
          <w:rFonts w:ascii="宋体" w:hAnsi="宋体" w:cs="宋体"/>
          <w:bCs/>
          <w:sz w:val="24"/>
        </w:rPr>
      </w:pPr>
      <w:r>
        <w:rPr>
          <w:rFonts w:hint="eastAsia" w:ascii="宋体" w:hAnsi="宋体" w:cs="宋体"/>
          <w:bCs/>
          <w:sz w:val="24"/>
        </w:rPr>
        <w:t>⑶ 发包通知书/委托函；</w:t>
      </w:r>
    </w:p>
    <w:p>
      <w:pPr>
        <w:spacing w:line="320" w:lineRule="exact"/>
        <w:ind w:firstLine="482"/>
        <w:rPr>
          <w:rFonts w:ascii="宋体" w:hAnsi="宋体" w:cs="宋体"/>
          <w:bCs/>
          <w:sz w:val="24"/>
        </w:rPr>
      </w:pPr>
      <w:r>
        <w:rPr>
          <w:rFonts w:hint="eastAsia" w:ascii="宋体" w:hAnsi="宋体" w:cs="宋体"/>
          <w:bCs/>
          <w:sz w:val="24"/>
        </w:rPr>
        <w:t>⑷ 询价文件；</w:t>
      </w:r>
    </w:p>
    <w:p>
      <w:pPr>
        <w:spacing w:line="320" w:lineRule="exact"/>
        <w:ind w:firstLine="482"/>
        <w:rPr>
          <w:rFonts w:ascii="宋体" w:hAnsi="宋体" w:cs="宋体"/>
          <w:bCs/>
          <w:sz w:val="24"/>
        </w:rPr>
      </w:pPr>
      <w:r>
        <w:rPr>
          <w:rFonts w:hint="eastAsia" w:ascii="宋体" w:hAnsi="宋体" w:cs="宋体"/>
          <w:bCs/>
          <w:sz w:val="24"/>
        </w:rPr>
        <w:t>⑸ 响应文件；</w:t>
      </w:r>
    </w:p>
    <w:p>
      <w:pPr>
        <w:spacing w:line="320" w:lineRule="exact"/>
        <w:ind w:firstLine="482"/>
        <w:rPr>
          <w:rFonts w:ascii="宋体" w:hAnsi="宋体" w:cs="宋体"/>
          <w:bCs/>
          <w:sz w:val="24"/>
        </w:rPr>
      </w:pPr>
      <w:r>
        <w:rPr>
          <w:rFonts w:hint="eastAsia" w:ascii="宋体" w:hAnsi="宋体" w:cs="宋体"/>
          <w:bCs/>
          <w:sz w:val="24"/>
        </w:rPr>
        <w:t>⑹ 标准、规范及有关技术性文件；</w:t>
      </w:r>
    </w:p>
    <w:p>
      <w:pPr>
        <w:spacing w:line="320" w:lineRule="exact"/>
        <w:ind w:firstLine="482"/>
        <w:rPr>
          <w:rFonts w:ascii="宋体" w:hAnsi="宋体" w:cs="宋体"/>
          <w:bCs/>
          <w:sz w:val="24"/>
        </w:rPr>
      </w:pPr>
      <w:r>
        <w:rPr>
          <w:rFonts w:hint="eastAsia" w:ascii="宋体" w:hAnsi="宋体" w:cs="宋体"/>
          <w:bCs/>
          <w:sz w:val="24"/>
        </w:rPr>
        <w:t>⑺ 图纸；</w:t>
      </w:r>
    </w:p>
    <w:p>
      <w:pPr>
        <w:spacing w:line="320" w:lineRule="exact"/>
        <w:ind w:firstLine="482"/>
        <w:rPr>
          <w:rFonts w:ascii="宋体" w:hAnsi="宋体" w:cs="宋体"/>
          <w:bCs/>
          <w:sz w:val="24"/>
        </w:rPr>
      </w:pPr>
      <w:r>
        <w:rPr>
          <w:rFonts w:hint="eastAsia" w:ascii="宋体" w:hAnsi="宋体" w:cs="宋体"/>
          <w:bCs/>
          <w:sz w:val="24"/>
        </w:rPr>
        <w:t>⑻ 工程量清单/</w:t>
      </w:r>
      <w:r>
        <w:rPr>
          <w:rFonts w:hint="eastAsia" w:ascii="宋体" w:hAnsi="宋体" w:cs="宋体"/>
          <w:sz w:val="24"/>
        </w:rPr>
        <w:t>工程报价单或预算书</w:t>
      </w:r>
    </w:p>
    <w:p>
      <w:pPr>
        <w:numPr>
          <w:ilvl w:val="255"/>
          <w:numId w:val="0"/>
        </w:numPr>
        <w:spacing w:line="320" w:lineRule="exact"/>
        <w:ind w:firstLine="480" w:firstLineChars="200"/>
        <w:rPr>
          <w:rFonts w:ascii="宋体" w:hAnsi="宋体" w:cs="宋体"/>
          <w:b/>
          <w:sz w:val="24"/>
        </w:rPr>
      </w:pPr>
      <w:r>
        <w:rPr>
          <w:rFonts w:hint="eastAsia" w:ascii="宋体" w:hAnsi="宋体" w:cs="宋体"/>
          <w:bCs/>
          <w:sz w:val="24"/>
        </w:rPr>
        <w:t>⑼ 本合同其他附件；</w:t>
      </w:r>
    </w:p>
    <w:p>
      <w:pPr>
        <w:numPr>
          <w:ilvl w:val="255"/>
          <w:numId w:val="0"/>
        </w:numPr>
        <w:spacing w:line="460" w:lineRule="exact"/>
        <w:ind w:firstLine="482" w:firstLineChars="200"/>
        <w:rPr>
          <w:rFonts w:ascii="宋体" w:hAnsi="宋体" w:cs="宋体"/>
          <w:sz w:val="24"/>
        </w:rPr>
      </w:pPr>
      <w:r>
        <w:rPr>
          <w:rFonts w:hint="eastAsia" w:ascii="宋体" w:hAnsi="宋体" w:cs="宋体"/>
          <w:b/>
          <w:sz w:val="24"/>
        </w:rPr>
        <w:t xml:space="preserve">第二条 </w:t>
      </w:r>
      <w:bookmarkEnd w:id="11"/>
      <w:bookmarkEnd w:id="12"/>
      <w:bookmarkEnd w:id="13"/>
      <w:bookmarkEnd w:id="14"/>
      <w:bookmarkEnd w:id="15"/>
      <w:r>
        <w:rPr>
          <w:rFonts w:hint="eastAsia" w:ascii="宋体" w:hAnsi="宋体" w:cs="宋体"/>
          <w:b/>
          <w:sz w:val="24"/>
        </w:rPr>
        <w:t>合同标的</w:t>
      </w:r>
    </w:p>
    <w:tbl>
      <w:tblPr>
        <w:tblStyle w:val="27"/>
        <w:tblW w:w="0" w:type="auto"/>
        <w:jc w:val="center"/>
        <w:tblLayout w:type="fixed"/>
        <w:tblCellMar>
          <w:top w:w="0" w:type="dxa"/>
          <w:left w:w="108" w:type="dxa"/>
          <w:bottom w:w="0" w:type="dxa"/>
          <w:right w:w="108" w:type="dxa"/>
        </w:tblCellMar>
      </w:tblPr>
      <w:tblGrid>
        <w:gridCol w:w="791"/>
        <w:gridCol w:w="840"/>
        <w:gridCol w:w="1076"/>
        <w:gridCol w:w="709"/>
        <w:gridCol w:w="690"/>
        <w:gridCol w:w="915"/>
        <w:gridCol w:w="1065"/>
        <w:gridCol w:w="840"/>
        <w:gridCol w:w="1165"/>
        <w:gridCol w:w="940"/>
      </w:tblGrid>
      <w:tr>
        <w:tblPrEx>
          <w:tblCellMar>
            <w:top w:w="0" w:type="dxa"/>
            <w:left w:w="108" w:type="dxa"/>
            <w:bottom w:w="0" w:type="dxa"/>
            <w:right w:w="108" w:type="dxa"/>
          </w:tblCellMar>
        </w:tblPrEx>
        <w:trPr>
          <w:trHeight w:val="517" w:hRule="atLeast"/>
          <w:jc w:val="center"/>
        </w:trPr>
        <w:tc>
          <w:tcPr>
            <w:tcW w:w="791"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r>
              <w:rPr>
                <w:rFonts w:hint="eastAsia" w:ascii="宋体" w:hAnsi="宋体" w:cs="宋体"/>
                <w:kern w:val="0"/>
                <w:sz w:val="24"/>
                <w:lang w:val="zh-CN"/>
              </w:rPr>
              <w:t>序号</w:t>
            </w:r>
          </w:p>
        </w:tc>
        <w:tc>
          <w:tcPr>
            <w:tcW w:w="840"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r>
              <w:rPr>
                <w:rFonts w:hint="eastAsia" w:ascii="宋体" w:hAnsi="宋体" w:cs="宋体"/>
                <w:kern w:val="0"/>
                <w:sz w:val="24"/>
                <w:lang w:val="zh-CN"/>
              </w:rPr>
              <w:t>名称</w:t>
            </w:r>
          </w:p>
        </w:tc>
        <w:tc>
          <w:tcPr>
            <w:tcW w:w="1076"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r>
              <w:rPr>
                <w:rFonts w:hint="eastAsia" w:ascii="宋体" w:hAnsi="宋体" w:cs="宋体"/>
                <w:kern w:val="0"/>
                <w:sz w:val="24"/>
                <w:lang w:val="zh-CN"/>
              </w:rPr>
              <w:t>生产厂家及品牌</w:t>
            </w:r>
          </w:p>
        </w:tc>
        <w:tc>
          <w:tcPr>
            <w:tcW w:w="709"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r>
              <w:rPr>
                <w:rFonts w:hint="eastAsia" w:ascii="宋体" w:hAnsi="宋体" w:cs="宋体"/>
                <w:kern w:val="0"/>
                <w:sz w:val="24"/>
                <w:lang w:val="zh-CN"/>
              </w:rPr>
              <w:t>单位</w:t>
            </w:r>
          </w:p>
        </w:tc>
        <w:tc>
          <w:tcPr>
            <w:tcW w:w="690"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r>
              <w:rPr>
                <w:rFonts w:hint="eastAsia" w:ascii="宋体" w:hAnsi="宋体" w:cs="宋体"/>
                <w:kern w:val="0"/>
                <w:sz w:val="24"/>
                <w:lang w:val="zh-CN"/>
              </w:rPr>
              <w:t>数量</w:t>
            </w:r>
          </w:p>
        </w:tc>
        <w:tc>
          <w:tcPr>
            <w:tcW w:w="198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r>
              <w:rPr>
                <w:rFonts w:hint="eastAsia" w:ascii="宋体" w:hAnsi="宋体" w:cs="宋体"/>
                <w:kern w:val="0"/>
                <w:sz w:val="24"/>
                <w:lang w:val="zh-CN"/>
              </w:rPr>
              <w:t>单价（万元）</w:t>
            </w:r>
          </w:p>
        </w:tc>
        <w:tc>
          <w:tcPr>
            <w:tcW w:w="200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r>
              <w:rPr>
                <w:rFonts w:hint="eastAsia" w:ascii="宋体" w:hAnsi="宋体" w:cs="宋体"/>
                <w:kern w:val="0"/>
                <w:sz w:val="24"/>
                <w:lang w:val="zh-CN"/>
              </w:rPr>
              <w:t>金额（万元）</w:t>
            </w:r>
          </w:p>
        </w:tc>
        <w:tc>
          <w:tcPr>
            <w:tcW w:w="940"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r>
              <w:rPr>
                <w:rFonts w:hint="eastAsia" w:ascii="宋体" w:hAnsi="宋体" w:cs="宋体"/>
                <w:kern w:val="0"/>
                <w:sz w:val="24"/>
                <w:lang w:val="zh-CN"/>
              </w:rPr>
              <w:t>备注</w:t>
            </w:r>
          </w:p>
        </w:tc>
      </w:tr>
      <w:tr>
        <w:tblPrEx>
          <w:tblCellMar>
            <w:top w:w="0" w:type="dxa"/>
            <w:left w:w="108" w:type="dxa"/>
            <w:bottom w:w="0" w:type="dxa"/>
            <w:right w:w="108" w:type="dxa"/>
          </w:tblCellMar>
        </w:tblPrEx>
        <w:trPr>
          <w:trHeight w:val="552" w:hRule="atLeast"/>
          <w:jc w:val="center"/>
        </w:trPr>
        <w:tc>
          <w:tcPr>
            <w:tcW w:w="791"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sz w:val="24"/>
              </w:rPr>
            </w:pPr>
          </w:p>
        </w:tc>
        <w:tc>
          <w:tcPr>
            <w:tcW w:w="840"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sz w:val="24"/>
              </w:rPr>
            </w:pPr>
          </w:p>
        </w:tc>
        <w:tc>
          <w:tcPr>
            <w:tcW w:w="1076"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sz w:val="24"/>
              </w:rPr>
            </w:pPr>
          </w:p>
        </w:tc>
        <w:tc>
          <w:tcPr>
            <w:tcW w:w="709"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sz w:val="24"/>
              </w:rPr>
            </w:pPr>
          </w:p>
        </w:tc>
        <w:tc>
          <w:tcPr>
            <w:tcW w:w="690"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sz w:val="24"/>
              </w:rPr>
            </w:pPr>
          </w:p>
        </w:tc>
        <w:tc>
          <w:tcPr>
            <w:tcW w:w="9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r>
              <w:rPr>
                <w:rFonts w:hint="eastAsia" w:ascii="宋体" w:hAnsi="宋体" w:cs="宋体"/>
                <w:kern w:val="0"/>
                <w:sz w:val="24"/>
                <w:lang w:val="zh-CN"/>
              </w:rPr>
              <w:t>含税</w:t>
            </w:r>
          </w:p>
        </w:tc>
        <w:tc>
          <w:tcPr>
            <w:tcW w:w="106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r>
              <w:rPr>
                <w:rFonts w:hint="eastAsia" w:ascii="宋体" w:hAnsi="宋体" w:cs="宋体"/>
                <w:kern w:val="0"/>
                <w:sz w:val="24"/>
                <w:lang w:val="zh-CN"/>
              </w:rPr>
              <w:t>不含税</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r>
              <w:rPr>
                <w:rFonts w:hint="eastAsia" w:ascii="宋体" w:hAnsi="宋体" w:cs="宋体"/>
                <w:kern w:val="0"/>
                <w:sz w:val="24"/>
                <w:lang w:val="zh-CN"/>
              </w:rPr>
              <w:t>含税</w:t>
            </w:r>
          </w:p>
        </w:tc>
        <w:tc>
          <w:tcPr>
            <w:tcW w:w="116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r>
              <w:rPr>
                <w:rFonts w:hint="eastAsia" w:ascii="宋体" w:hAnsi="宋体" w:cs="宋体"/>
                <w:kern w:val="0"/>
                <w:sz w:val="24"/>
                <w:lang w:val="zh-CN"/>
              </w:rPr>
              <w:t>不含税</w:t>
            </w:r>
          </w:p>
        </w:tc>
        <w:tc>
          <w:tcPr>
            <w:tcW w:w="940"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p>
        </w:tc>
      </w:tr>
      <w:tr>
        <w:tblPrEx>
          <w:tblCellMar>
            <w:top w:w="0" w:type="dxa"/>
            <w:left w:w="108" w:type="dxa"/>
            <w:bottom w:w="0" w:type="dxa"/>
            <w:right w:w="108" w:type="dxa"/>
          </w:tblCellMar>
        </w:tblPrEx>
        <w:trPr>
          <w:trHeight w:val="314" w:hRule="atLeast"/>
          <w:jc w:val="center"/>
        </w:trPr>
        <w:tc>
          <w:tcPr>
            <w:tcW w:w="79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r>
              <w:rPr>
                <w:rFonts w:ascii="宋体" w:hAnsi="宋体" w:cs="宋体"/>
                <w:kern w:val="0"/>
                <w:sz w:val="24"/>
                <w:lang w:val="zh-CN"/>
              </w:rPr>
              <w:t>1</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p>
        </w:tc>
        <w:tc>
          <w:tcPr>
            <w:tcW w:w="10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p>
        </w:tc>
        <w:tc>
          <w:tcPr>
            <w:tcW w:w="7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p>
        </w:tc>
        <w:tc>
          <w:tcPr>
            <w:tcW w:w="69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p>
        </w:tc>
        <w:tc>
          <w:tcPr>
            <w:tcW w:w="9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p>
        </w:tc>
        <w:tc>
          <w:tcPr>
            <w:tcW w:w="106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p>
        </w:tc>
        <w:tc>
          <w:tcPr>
            <w:tcW w:w="8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p>
        </w:tc>
        <w:tc>
          <w:tcPr>
            <w:tcW w:w="116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p>
        </w:tc>
        <w:tc>
          <w:tcPr>
            <w:tcW w:w="9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p>
        </w:tc>
      </w:tr>
      <w:tr>
        <w:tblPrEx>
          <w:tblCellMar>
            <w:top w:w="0" w:type="dxa"/>
            <w:left w:w="108" w:type="dxa"/>
            <w:bottom w:w="0" w:type="dxa"/>
            <w:right w:w="108" w:type="dxa"/>
          </w:tblCellMar>
        </w:tblPrEx>
        <w:trPr>
          <w:trHeight w:val="347" w:hRule="atLeast"/>
          <w:jc w:val="center"/>
        </w:trPr>
        <w:tc>
          <w:tcPr>
            <w:tcW w:w="79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r>
              <w:rPr>
                <w:rFonts w:ascii="宋体" w:hAnsi="宋体" w:cs="宋体"/>
                <w:kern w:val="0"/>
                <w:sz w:val="24"/>
                <w:lang w:val="zh-CN"/>
              </w:rPr>
              <w:t>2</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p>
        </w:tc>
        <w:tc>
          <w:tcPr>
            <w:tcW w:w="10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p>
        </w:tc>
        <w:tc>
          <w:tcPr>
            <w:tcW w:w="7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p>
        </w:tc>
        <w:tc>
          <w:tcPr>
            <w:tcW w:w="69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p>
        </w:tc>
        <w:tc>
          <w:tcPr>
            <w:tcW w:w="9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p>
        </w:tc>
        <w:tc>
          <w:tcPr>
            <w:tcW w:w="106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p>
        </w:tc>
        <w:tc>
          <w:tcPr>
            <w:tcW w:w="8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p>
        </w:tc>
        <w:tc>
          <w:tcPr>
            <w:tcW w:w="116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p>
        </w:tc>
        <w:tc>
          <w:tcPr>
            <w:tcW w:w="9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p>
        </w:tc>
      </w:tr>
      <w:tr>
        <w:tblPrEx>
          <w:tblCellMar>
            <w:top w:w="0" w:type="dxa"/>
            <w:left w:w="108" w:type="dxa"/>
            <w:bottom w:w="0" w:type="dxa"/>
            <w:right w:w="108" w:type="dxa"/>
          </w:tblCellMar>
        </w:tblPrEx>
        <w:trPr>
          <w:trHeight w:val="211" w:hRule="atLeast"/>
          <w:jc w:val="center"/>
        </w:trPr>
        <w:tc>
          <w:tcPr>
            <w:tcW w:w="79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r>
              <w:rPr>
                <w:rFonts w:ascii="宋体" w:hAnsi="宋体" w:cs="宋体"/>
                <w:kern w:val="0"/>
                <w:sz w:val="24"/>
                <w:lang w:val="zh-CN"/>
              </w:rPr>
              <w:t>3</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p>
        </w:tc>
        <w:tc>
          <w:tcPr>
            <w:tcW w:w="10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p>
        </w:tc>
        <w:tc>
          <w:tcPr>
            <w:tcW w:w="7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p>
        </w:tc>
        <w:tc>
          <w:tcPr>
            <w:tcW w:w="69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p>
        </w:tc>
        <w:tc>
          <w:tcPr>
            <w:tcW w:w="9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p>
        </w:tc>
        <w:tc>
          <w:tcPr>
            <w:tcW w:w="106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p>
        </w:tc>
        <w:tc>
          <w:tcPr>
            <w:tcW w:w="8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p>
        </w:tc>
        <w:tc>
          <w:tcPr>
            <w:tcW w:w="116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p>
        </w:tc>
        <w:tc>
          <w:tcPr>
            <w:tcW w:w="9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p>
        </w:tc>
      </w:tr>
      <w:tr>
        <w:tblPrEx>
          <w:tblCellMar>
            <w:top w:w="0" w:type="dxa"/>
            <w:left w:w="108" w:type="dxa"/>
            <w:bottom w:w="0" w:type="dxa"/>
            <w:right w:w="108" w:type="dxa"/>
          </w:tblCellMar>
        </w:tblPrEx>
        <w:trPr>
          <w:trHeight w:val="231" w:hRule="atLeast"/>
          <w:jc w:val="center"/>
        </w:trPr>
        <w:tc>
          <w:tcPr>
            <w:tcW w:w="4106"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r>
              <w:rPr>
                <w:rFonts w:hint="eastAsia" w:ascii="宋体" w:hAnsi="宋体" w:cs="宋体"/>
                <w:kern w:val="0"/>
                <w:sz w:val="24"/>
                <w:lang w:val="zh-CN"/>
              </w:rPr>
              <w:t>合同暂定总价（万元）</w:t>
            </w:r>
          </w:p>
        </w:tc>
        <w:tc>
          <w:tcPr>
            <w:tcW w:w="9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p>
        </w:tc>
        <w:tc>
          <w:tcPr>
            <w:tcW w:w="106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p>
        </w:tc>
        <w:tc>
          <w:tcPr>
            <w:tcW w:w="8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p>
        </w:tc>
        <w:tc>
          <w:tcPr>
            <w:tcW w:w="116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p>
        </w:tc>
        <w:tc>
          <w:tcPr>
            <w:tcW w:w="9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lang w:val="zh-CN"/>
              </w:rPr>
            </w:pPr>
            <w:r>
              <w:rPr>
                <w:rFonts w:hint="eastAsia" w:ascii="宋体" w:hAnsi="宋体" w:cs="宋体"/>
                <w:kern w:val="0"/>
                <w:sz w:val="24"/>
                <w:lang w:val="zh-CN"/>
              </w:rPr>
              <w:t>——</w:t>
            </w:r>
          </w:p>
        </w:tc>
      </w:tr>
    </w:tbl>
    <w:p>
      <w:pPr>
        <w:spacing w:after="120" w:line="460" w:lineRule="exact"/>
        <w:rPr>
          <w:rFonts w:ascii="宋体" w:hAnsi="宋体" w:cs="宋体"/>
          <w:kern w:val="0"/>
          <w:sz w:val="24"/>
          <w:lang w:val="zh-CN"/>
        </w:rPr>
      </w:pPr>
      <w:r>
        <w:rPr>
          <w:rFonts w:hint="eastAsia" w:ascii="宋体" w:hAnsi="宋体" w:cs="宋体"/>
          <w:kern w:val="0"/>
          <w:sz w:val="24"/>
          <w:lang w:val="zh-CN"/>
        </w:rPr>
        <w:t>其他</w:t>
      </w:r>
      <w:r>
        <w:rPr>
          <w:rFonts w:hint="eastAsia" w:ascii="宋体" w:hAnsi="宋体" w:cs="宋体"/>
          <w:kern w:val="0"/>
          <w:sz w:val="24"/>
        </w:rPr>
        <w:t>采购</w:t>
      </w:r>
      <w:r>
        <w:rPr>
          <w:rFonts w:hint="eastAsia" w:ascii="宋体" w:hAnsi="宋体" w:cs="宋体"/>
          <w:kern w:val="0"/>
          <w:sz w:val="24"/>
          <w:lang w:val="zh-CN"/>
        </w:rPr>
        <w:t>需求见附件（如</w:t>
      </w:r>
      <w:r>
        <w:rPr>
          <w:rFonts w:hint="eastAsia" w:ascii="宋体" w:hAnsi="宋体" w:cs="宋体"/>
          <w:kern w:val="0"/>
          <w:sz w:val="24"/>
        </w:rPr>
        <w:t>有</w:t>
      </w:r>
      <w:r>
        <w:rPr>
          <w:rFonts w:hint="eastAsia" w:ascii="宋体" w:hAnsi="宋体" w:cs="宋体"/>
          <w:kern w:val="0"/>
          <w:sz w:val="24"/>
          <w:lang w:val="zh-CN"/>
        </w:rPr>
        <w:t>）。</w:t>
      </w:r>
    </w:p>
    <w:p>
      <w:pPr>
        <w:adjustRightInd w:val="0"/>
        <w:snapToGrid w:val="0"/>
        <w:spacing w:line="460" w:lineRule="exact"/>
        <w:ind w:firstLine="482" w:firstLineChars="200"/>
        <w:rPr>
          <w:rFonts w:ascii="宋体" w:hAnsi="宋体" w:cs="宋体"/>
          <w:b/>
          <w:bCs/>
          <w:kern w:val="0"/>
          <w:sz w:val="24"/>
          <w:lang w:val="zh-CN"/>
        </w:rPr>
      </w:pPr>
      <w:r>
        <w:rPr>
          <w:rFonts w:hint="eastAsia" w:ascii="宋体" w:hAnsi="宋体" w:cs="宋体"/>
          <w:b/>
          <w:bCs/>
          <w:kern w:val="0"/>
          <w:sz w:val="24"/>
          <w:lang w:val="zh-CN"/>
        </w:rPr>
        <w:t>第三条 交货日期及地点</w:t>
      </w:r>
    </w:p>
    <w:p>
      <w:pPr>
        <w:adjustRightInd w:val="0"/>
        <w:snapToGrid w:val="0"/>
        <w:spacing w:line="460" w:lineRule="exact"/>
        <w:ind w:firstLine="480" w:firstLineChars="200"/>
        <w:rPr>
          <w:rFonts w:ascii="宋体" w:hAnsi="宋体" w:cs="宋体"/>
          <w:sz w:val="24"/>
        </w:rPr>
      </w:pPr>
      <w:r>
        <w:rPr>
          <w:rFonts w:hint="eastAsia" w:ascii="宋体" w:hAnsi="宋体" w:cs="宋体"/>
          <w:sz w:val="24"/>
        </w:rPr>
        <w:t>3.1乙方按以下第</w:t>
      </w:r>
      <w:r>
        <w:rPr>
          <w:rFonts w:hint="eastAsia" w:ascii="宋体" w:hAnsi="宋体" w:cs="宋体"/>
          <w:sz w:val="24"/>
          <w:u w:val="single"/>
        </w:rPr>
        <w:t xml:space="preserve"> </w:t>
      </w:r>
      <w:r>
        <w:rPr>
          <w:rFonts w:ascii="宋体" w:hAnsi="宋体" w:cs="宋体"/>
          <w:sz w:val="24"/>
          <w:u w:val="single"/>
        </w:rPr>
        <w:t>1</w:t>
      </w:r>
      <w:r>
        <w:rPr>
          <w:rFonts w:hint="eastAsia" w:ascii="宋体" w:hAnsi="宋体" w:cs="宋体"/>
          <w:sz w:val="24"/>
          <w:u w:val="single"/>
        </w:rPr>
        <w:t xml:space="preserve"> </w:t>
      </w:r>
      <w:r>
        <w:rPr>
          <w:rFonts w:hint="eastAsia" w:ascii="宋体" w:hAnsi="宋体" w:cs="宋体"/>
          <w:sz w:val="24"/>
        </w:rPr>
        <w:t>种供货期供货。</w:t>
      </w:r>
    </w:p>
    <w:p>
      <w:pPr>
        <w:adjustRightInd w:val="0"/>
        <w:snapToGrid w:val="0"/>
        <w:spacing w:line="460" w:lineRule="exact"/>
        <w:ind w:firstLine="480" w:firstLineChars="200"/>
        <w:rPr>
          <w:rFonts w:ascii="宋体" w:hAnsi="宋体" w:cs="宋体"/>
          <w:sz w:val="24"/>
        </w:rPr>
      </w:pPr>
      <w:r>
        <w:rPr>
          <w:rFonts w:hint="eastAsia" w:ascii="宋体" w:hAnsi="宋体" w:cs="宋体"/>
          <w:sz w:val="24"/>
        </w:rPr>
        <w:t>(1)合同生效之日起</w:t>
      </w:r>
      <w:r>
        <w:rPr>
          <w:rFonts w:hint="eastAsia" w:ascii="宋体" w:hAnsi="宋体" w:cs="宋体"/>
          <w:sz w:val="24"/>
          <w:u w:val="single"/>
        </w:rPr>
        <w:t xml:space="preserve"> 35 </w:t>
      </w:r>
      <w:r>
        <w:rPr>
          <w:rFonts w:hint="eastAsia" w:ascii="宋体" w:hAnsi="宋体" w:cs="宋体"/>
          <w:sz w:val="24"/>
        </w:rPr>
        <w:t>日内到货，并开箱/试运行验收合格（如果供货要求包含安装、调试，则应为试运行验收合格）。</w:t>
      </w:r>
    </w:p>
    <w:p>
      <w:pPr>
        <w:adjustRightInd w:val="0"/>
        <w:snapToGrid w:val="0"/>
        <w:spacing w:line="460" w:lineRule="exact"/>
        <w:ind w:firstLine="360" w:firstLineChars="150"/>
        <w:rPr>
          <w:rFonts w:ascii="宋体" w:hAnsi="宋体" w:cs="宋体"/>
          <w:sz w:val="24"/>
        </w:rPr>
      </w:pPr>
      <w:r>
        <w:rPr>
          <w:rFonts w:hint="eastAsia" w:ascii="宋体" w:hAnsi="宋体" w:cs="宋体"/>
          <w:sz w:val="24"/>
        </w:rPr>
        <w:t>（2)乙方按甲方要求，按时间计划逐批（次）供货，并开箱/试运行验收合格（如果供货要求包含安装、调试，则应为试运行验收合格），具体交货日期以甲方</w:t>
      </w:r>
      <w:r>
        <w:rPr>
          <w:rFonts w:hint="eastAsia" w:ascii="宋体" w:hAnsi="宋体" w:cs="宋体"/>
          <w:bCs/>
          <w:sz w:val="24"/>
        </w:rPr>
        <w:t>书面</w:t>
      </w:r>
      <w:r>
        <w:rPr>
          <w:rFonts w:hint="eastAsia" w:ascii="宋体" w:hAnsi="宋体" w:cs="宋体"/>
          <w:sz w:val="24"/>
        </w:rPr>
        <w:t>通知为准。</w:t>
      </w:r>
    </w:p>
    <w:p>
      <w:pPr>
        <w:adjustRightInd w:val="0"/>
        <w:snapToGrid w:val="0"/>
        <w:spacing w:line="460" w:lineRule="exact"/>
        <w:ind w:firstLine="480" w:firstLineChars="200"/>
        <w:rPr>
          <w:rFonts w:ascii="宋体" w:hAnsi="宋体" w:cs="宋体"/>
          <w:sz w:val="24"/>
        </w:rPr>
      </w:pPr>
      <w:r>
        <w:rPr>
          <w:rFonts w:hint="eastAsia" w:ascii="宋体" w:hAnsi="宋体" w:cs="宋体"/>
          <w:sz w:val="24"/>
        </w:rPr>
        <w:t>合同有效期为</w:t>
      </w:r>
      <w:r>
        <w:rPr>
          <w:rFonts w:hint="eastAsia" w:ascii="宋体" w:hAnsi="宋体" w:cs="宋体"/>
          <w:sz w:val="24"/>
          <w:u w:val="single"/>
        </w:rPr>
        <w:t xml:space="preserve">    </w:t>
      </w:r>
      <w:r>
        <w:rPr>
          <w:rFonts w:hint="eastAsia" w:ascii="宋体" w:hAnsi="宋体" w:cs="宋体"/>
          <w:sz w:val="24"/>
        </w:rPr>
        <w:t>年，自合同签订之日起算。若合同到期前实际采购货物金额达到合同暂定总价的，合同提前终止（适用于按单价采购且分批供货的采购方式）。</w:t>
      </w:r>
    </w:p>
    <w:p>
      <w:pPr>
        <w:spacing w:after="120" w:line="460" w:lineRule="exact"/>
        <w:ind w:firstLine="480" w:firstLineChars="200"/>
        <w:rPr>
          <w:rFonts w:ascii="宋体" w:hAnsi="宋体" w:cs="宋体"/>
          <w:sz w:val="24"/>
        </w:rPr>
      </w:pPr>
      <w:r>
        <w:rPr>
          <w:rFonts w:hint="eastAsia" w:ascii="宋体" w:hAnsi="宋体" w:cs="宋体"/>
          <w:sz w:val="24"/>
        </w:rPr>
        <w:t>（3）其它供货期要求：</w:t>
      </w:r>
      <w:r>
        <w:rPr>
          <w:rFonts w:hint="eastAsia" w:ascii="宋体" w:hAnsi="宋体" w:cs="宋体"/>
          <w:sz w:val="24"/>
          <w:u w:val="single"/>
        </w:rPr>
        <w:t xml:space="preserve"> </w:t>
      </w:r>
      <w:r>
        <w:rPr>
          <w:rFonts w:ascii="宋体" w:hAnsi="宋体" w:cs="宋体"/>
          <w:sz w:val="24"/>
          <w:u w:val="single"/>
        </w:rPr>
        <w:t>/</w:t>
      </w:r>
      <w:r>
        <w:rPr>
          <w:rFonts w:hint="eastAsia" w:ascii="宋体" w:hAnsi="宋体" w:cs="宋体"/>
          <w:sz w:val="24"/>
          <w:u w:val="single"/>
        </w:rPr>
        <w:t xml:space="preserve"> </w:t>
      </w:r>
      <w:r>
        <w:rPr>
          <w:rFonts w:hint="eastAsia" w:ascii="宋体" w:hAnsi="宋体" w:cs="宋体"/>
          <w:sz w:val="24"/>
        </w:rPr>
        <w:t xml:space="preserve">。   </w:t>
      </w:r>
    </w:p>
    <w:p>
      <w:pPr>
        <w:spacing w:after="120" w:line="460" w:lineRule="exact"/>
        <w:ind w:firstLine="480" w:firstLineChars="200"/>
        <w:rPr>
          <w:rFonts w:ascii="宋体" w:hAnsi="宋体" w:cs="宋体"/>
          <w:sz w:val="24"/>
        </w:rPr>
      </w:pPr>
      <w:r>
        <w:rPr>
          <w:rFonts w:hint="eastAsia" w:ascii="宋体" w:hAnsi="宋体" w:cs="宋体"/>
          <w:sz w:val="24"/>
        </w:rPr>
        <w:t>3.2</w:t>
      </w:r>
      <w:r>
        <w:rPr>
          <w:rFonts w:hint="eastAsia" w:ascii="宋体" w:hAnsi="宋体" w:cs="宋体"/>
          <w:bCs/>
          <w:sz w:val="24"/>
        </w:rPr>
        <w:t>交货地点：</w:t>
      </w:r>
      <w:r>
        <w:rPr>
          <w:rFonts w:hint="eastAsia" w:ascii="宋体" w:hAnsi="宋体" w:cs="宋体"/>
          <w:bCs/>
          <w:sz w:val="24"/>
          <w:u w:val="single"/>
        </w:rPr>
        <w:t xml:space="preserve"> 广州市净水有限公司沥滘和京溪分公司；或甲方指定的任一货物（设备）临时存放点 </w:t>
      </w:r>
      <w:r>
        <w:rPr>
          <w:rFonts w:hint="eastAsia" w:ascii="宋体" w:hAnsi="宋体" w:cs="宋体"/>
          <w:bCs/>
          <w:sz w:val="24"/>
        </w:rPr>
        <w:t>（包括甲方指定的任一收货点），最终具体交货地点以甲方书面通知为准。</w:t>
      </w:r>
      <w:r>
        <w:rPr>
          <w:rFonts w:hint="eastAsia" w:ascii="宋体" w:hAnsi="宋体" w:cs="宋体"/>
          <w:sz w:val="24"/>
        </w:rPr>
        <w:t xml:space="preserve"> </w:t>
      </w:r>
    </w:p>
    <w:p>
      <w:pPr>
        <w:adjustRightInd w:val="0"/>
        <w:snapToGrid w:val="0"/>
        <w:spacing w:line="460" w:lineRule="exact"/>
        <w:ind w:firstLine="482" w:firstLineChars="200"/>
        <w:rPr>
          <w:rFonts w:ascii="宋体" w:hAnsi="宋体" w:cs="宋体"/>
          <w:b/>
          <w:sz w:val="24"/>
        </w:rPr>
      </w:pPr>
      <w:r>
        <w:rPr>
          <w:rFonts w:hint="eastAsia" w:ascii="宋体" w:hAnsi="宋体" w:cs="宋体"/>
          <w:b/>
          <w:bCs/>
          <w:kern w:val="0"/>
          <w:sz w:val="24"/>
        </w:rPr>
        <w:t>第四条</w:t>
      </w:r>
      <w:r>
        <w:rPr>
          <w:rFonts w:hint="eastAsia" w:ascii="宋体" w:hAnsi="宋体" w:cs="宋体"/>
          <w:kern w:val="0"/>
          <w:sz w:val="24"/>
        </w:rPr>
        <w:t xml:space="preserve"> 合同</w:t>
      </w:r>
      <w:r>
        <w:rPr>
          <w:rFonts w:hint="eastAsia" w:ascii="宋体" w:hAnsi="宋体" w:cs="宋体"/>
          <w:sz w:val="24"/>
        </w:rPr>
        <w:t>单价为综合单价，指货物运到甲方指定地点的交货价，该价格包括但不限于：货物的生产、产品检验（含出厂及到货验收）、运输（含转运）、包装、装卸（含卸车费用）、安装调试运行</w:t>
      </w:r>
      <w:r>
        <w:rPr>
          <w:rFonts w:hint="eastAsia" w:ascii="宋体" w:hAnsi="宋体" w:cs="宋体"/>
          <w:b/>
          <w:sz w:val="24"/>
        </w:rPr>
        <w:t>（具体按“采购需求”）</w:t>
      </w:r>
      <w:r>
        <w:rPr>
          <w:rFonts w:hint="eastAsia" w:ascii="宋体" w:hAnsi="宋体" w:cs="宋体"/>
          <w:sz w:val="24"/>
        </w:rPr>
        <w:t>、质量抽检、培训、相关税费、保险费、物货伴随服务（包括安装使用说明书、图纸的提供、质保期服务）等全部费用。合同履行期间国家税率调整的，不含税价不变，价税合计相应调整，以开具发票时间为准。</w:t>
      </w:r>
    </w:p>
    <w:p>
      <w:pPr>
        <w:autoSpaceDE w:val="0"/>
        <w:autoSpaceDN w:val="0"/>
        <w:adjustRightInd w:val="0"/>
        <w:spacing w:line="460" w:lineRule="exact"/>
        <w:ind w:firstLine="600" w:firstLineChars="250"/>
        <w:rPr>
          <w:rFonts w:ascii="宋体" w:hAnsi="宋体" w:cs="宋体"/>
          <w:sz w:val="24"/>
        </w:rPr>
      </w:pPr>
      <w:r>
        <w:rPr>
          <w:rFonts w:hint="eastAsia" w:ascii="宋体" w:hAnsi="宋体" w:cs="宋体"/>
          <w:sz w:val="24"/>
        </w:rPr>
        <w:t>合同单价在合同有效期内为不变价。乙方已经充分考虑本合同履行期间的市场风险和国家政策性调整风险系数并已计入报价，因此合同单价在合同有效期内不因任何因素而作调整。</w:t>
      </w:r>
      <w:bookmarkStart w:id="16" w:name="_Toc520190028"/>
      <w:bookmarkStart w:id="17" w:name="_Toc518992988"/>
      <w:bookmarkStart w:id="18" w:name="_Toc27425"/>
      <w:bookmarkStart w:id="19" w:name="_Toc474245212"/>
      <w:bookmarkStart w:id="20" w:name="_Toc107446843"/>
      <w:bookmarkStart w:id="21" w:name="_Toc107447236"/>
    </w:p>
    <w:bookmarkEnd w:id="16"/>
    <w:bookmarkEnd w:id="17"/>
    <w:bookmarkEnd w:id="18"/>
    <w:bookmarkEnd w:id="19"/>
    <w:p>
      <w:pPr>
        <w:autoSpaceDE w:val="0"/>
        <w:autoSpaceDN w:val="0"/>
        <w:adjustRightInd w:val="0"/>
        <w:spacing w:line="460" w:lineRule="exact"/>
        <w:ind w:left="420"/>
        <w:rPr>
          <w:rFonts w:ascii="宋体" w:hAnsi="宋体" w:cs="宋体"/>
          <w:bCs/>
          <w:sz w:val="24"/>
        </w:rPr>
      </w:pPr>
      <w:bookmarkStart w:id="22" w:name="_Toc520190029"/>
      <w:bookmarkStart w:id="23" w:name="_Toc518992989"/>
      <w:bookmarkStart w:id="24" w:name="_Toc474245213"/>
      <w:r>
        <w:rPr>
          <w:rFonts w:hint="eastAsia" w:ascii="宋体" w:hAnsi="宋体" w:cs="宋体"/>
          <w:b/>
          <w:sz w:val="24"/>
        </w:rPr>
        <w:t>第五条</w:t>
      </w:r>
      <w:r>
        <w:rPr>
          <w:rFonts w:ascii="宋体" w:hAnsi="宋体" w:cs="宋体"/>
          <w:b/>
          <w:sz w:val="24"/>
        </w:rPr>
        <w:t xml:space="preserve"> </w:t>
      </w:r>
      <w:r>
        <w:rPr>
          <w:rFonts w:hint="eastAsia" w:ascii="宋体" w:hAnsi="宋体" w:cs="宋体"/>
          <w:b/>
          <w:sz w:val="24"/>
        </w:rPr>
        <w:t>支付</w:t>
      </w:r>
      <w:bookmarkEnd w:id="22"/>
      <w:bookmarkEnd w:id="23"/>
      <w:bookmarkEnd w:id="24"/>
      <w:r>
        <w:rPr>
          <w:rFonts w:hint="eastAsia" w:ascii="宋体" w:hAnsi="宋体" w:cs="宋体"/>
          <w:b/>
          <w:sz w:val="24"/>
        </w:rPr>
        <w:t>方式</w:t>
      </w:r>
    </w:p>
    <w:bookmarkEnd w:id="20"/>
    <w:bookmarkEnd w:id="21"/>
    <w:p>
      <w:pPr>
        <w:spacing w:line="460" w:lineRule="exact"/>
        <w:ind w:firstLine="480" w:firstLineChars="200"/>
        <w:rPr>
          <w:rFonts w:ascii="宋体" w:hAnsi="宋体" w:cs="宋体"/>
          <w:sz w:val="24"/>
          <w:u w:val="single"/>
        </w:rPr>
      </w:pPr>
      <w:bookmarkStart w:id="25" w:name="_Toc14703"/>
      <w:bookmarkStart w:id="26" w:name="_Toc183666516"/>
      <w:r>
        <w:rPr>
          <w:rFonts w:ascii="宋体" w:hAnsi="宋体" w:cs="宋体"/>
          <w:sz w:val="24"/>
        </w:rPr>
        <w:t>5.1</w:t>
      </w:r>
      <w:r>
        <w:rPr>
          <w:rFonts w:hint="eastAsia" w:ascii="宋体" w:hAnsi="宋体" w:cs="宋体"/>
          <w:bCs/>
          <w:sz w:val="24"/>
        </w:rPr>
        <w:t>预付款支付：</w:t>
      </w:r>
      <w:r>
        <w:rPr>
          <w:rFonts w:hint="eastAsia" w:ascii="宋体" w:hAnsi="宋体" w:cs="宋体"/>
          <w:bCs/>
          <w:sz w:val="24"/>
        </w:rPr>
        <w:sym w:font="Wingdings 2" w:char="0052"/>
      </w:r>
      <w:r>
        <w:rPr>
          <w:rFonts w:hint="eastAsia" w:ascii="宋体" w:hAnsi="宋体" w:cs="宋体"/>
          <w:bCs/>
          <w:sz w:val="24"/>
        </w:rPr>
        <w:t>无；</w:t>
      </w:r>
      <w:r>
        <w:rPr>
          <w:rFonts w:ascii="宋体" w:hAnsi="宋体" w:cs="宋体"/>
          <w:bCs/>
          <w:sz w:val="24"/>
        </w:rPr>
        <w:t xml:space="preserve">     </w:t>
      </w:r>
      <w:r>
        <w:rPr>
          <w:rFonts w:ascii="宋体" w:hAnsi="宋体" w:cs="宋体"/>
          <w:bCs/>
          <w:sz w:val="24"/>
        </w:rPr>
        <w:sym w:font="Wingdings" w:char="F0A8"/>
      </w:r>
      <w:r>
        <w:rPr>
          <w:rFonts w:hint="eastAsia" w:ascii="宋体" w:hAnsi="宋体" w:cs="宋体"/>
          <w:bCs/>
          <w:sz w:val="24"/>
        </w:rPr>
        <w:t>合同签订后，乙方开具</w:t>
      </w:r>
      <w:r>
        <w:rPr>
          <w:rFonts w:hint="eastAsia" w:ascii="宋体" w:hAnsi="宋体" w:cs="宋体"/>
          <w:sz w:val="24"/>
        </w:rPr>
        <w:t>等额</w:t>
      </w:r>
      <w:r>
        <w:rPr>
          <w:rFonts w:hint="eastAsia" w:ascii="宋体" w:hAnsi="宋体" w:cs="宋体"/>
          <w:bCs/>
          <w:sz w:val="24"/>
        </w:rPr>
        <w:t>增值税专用发票及提交履约担保（如有）后</w:t>
      </w:r>
      <w:r>
        <w:rPr>
          <w:rFonts w:ascii="宋体" w:hAnsi="宋体" w:cs="宋体"/>
          <w:bCs/>
          <w:sz w:val="24"/>
          <w:u w:val="single"/>
        </w:rPr>
        <w:t>10</w:t>
      </w:r>
      <w:r>
        <w:rPr>
          <w:rFonts w:hint="eastAsia" w:ascii="宋体" w:hAnsi="宋体" w:cs="宋体"/>
          <w:bCs/>
          <w:sz w:val="24"/>
        </w:rPr>
        <w:t>个工作日内，甲方支付</w:t>
      </w:r>
      <w:r>
        <w:rPr>
          <w:rFonts w:hint="eastAsia" w:ascii="宋体" w:hAnsi="宋体" w:cs="宋体"/>
          <w:sz w:val="24"/>
          <w:u w:val="single"/>
        </w:rPr>
        <w:t>合同暂定总价</w:t>
      </w:r>
      <w:r>
        <w:rPr>
          <w:rFonts w:hint="eastAsia" w:ascii="宋体" w:hAnsi="宋体" w:cs="宋体"/>
          <w:bCs/>
          <w:sz w:val="24"/>
          <w:u w:val="single"/>
        </w:rPr>
        <w:t>的</w:t>
      </w:r>
      <w:r>
        <w:rPr>
          <w:rFonts w:ascii="宋体" w:hAnsi="宋体" w:cs="宋体"/>
          <w:bCs/>
          <w:sz w:val="24"/>
          <w:u w:val="single"/>
        </w:rPr>
        <w:t xml:space="preserve"> 30%  </w:t>
      </w:r>
      <w:r>
        <w:rPr>
          <w:rFonts w:hint="eastAsia" w:ascii="宋体" w:hAnsi="宋体" w:cs="宋体"/>
          <w:sz w:val="24"/>
        </w:rPr>
        <w:t>即</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u w:val="single"/>
        </w:rPr>
        <w:t>元，（大写：</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rPr>
        <w:t xml:space="preserve">  </w:t>
      </w:r>
      <w:r>
        <w:rPr>
          <w:rFonts w:hint="eastAsia" w:ascii="宋体" w:hAnsi="宋体" w:cs="宋体"/>
          <w:bCs/>
          <w:sz w:val="24"/>
        </w:rPr>
        <w:t>作为预付款。</w:t>
      </w:r>
      <w:r>
        <w:rPr>
          <w:rFonts w:hint="eastAsia" w:ascii="宋体" w:hAnsi="宋体" w:cs="宋体"/>
          <w:sz w:val="24"/>
        </w:rPr>
        <w:t>若合同解除或终止，乙方在</w:t>
      </w:r>
      <w:r>
        <w:rPr>
          <w:rFonts w:ascii="宋体" w:hAnsi="宋体" w:cs="宋体"/>
          <w:sz w:val="24"/>
          <w:u w:val="single"/>
        </w:rPr>
        <w:t xml:space="preserve"> 5 </w:t>
      </w:r>
      <w:r>
        <w:rPr>
          <w:rFonts w:hint="eastAsia" w:ascii="宋体" w:hAnsi="宋体" w:cs="宋体"/>
          <w:sz w:val="24"/>
        </w:rPr>
        <w:t>个工作日内返还预付款</w:t>
      </w:r>
      <w:r>
        <w:rPr>
          <w:rFonts w:hint="eastAsia" w:ascii="宋体" w:hAnsi="宋体" w:cs="宋体"/>
          <w:bCs/>
          <w:kern w:val="0"/>
          <w:sz w:val="24"/>
        </w:rPr>
        <w:t>（无息）</w:t>
      </w:r>
      <w:r>
        <w:rPr>
          <w:rFonts w:hint="eastAsia" w:ascii="宋体" w:hAnsi="宋体" w:cs="宋体"/>
          <w:sz w:val="24"/>
        </w:rPr>
        <w:t>。</w:t>
      </w:r>
      <w:r>
        <w:rPr>
          <w:rFonts w:hint="eastAsia" w:ascii="宋体" w:hAnsi="宋体" w:cs="宋体"/>
          <w:bCs/>
          <w:kern w:val="0"/>
          <w:sz w:val="24"/>
        </w:rPr>
        <w:t>逾期未返还，每逾期一天，乙方应按合同暂定总价的</w:t>
      </w:r>
      <w:r>
        <w:rPr>
          <w:rFonts w:hint="eastAsia" w:ascii="宋体" w:hAnsi="宋体" w:cs="宋体"/>
          <w:bCs/>
          <w:kern w:val="0"/>
          <w:sz w:val="24"/>
          <w:u w:val="single"/>
        </w:rPr>
        <w:t>万分之五</w:t>
      </w:r>
      <w:r>
        <w:rPr>
          <w:rFonts w:ascii="宋体" w:hAnsi="宋体" w:cs="宋体"/>
          <w:bCs/>
          <w:kern w:val="0"/>
          <w:sz w:val="24"/>
          <w:u w:val="single"/>
        </w:rPr>
        <w:t>/</w:t>
      </w:r>
      <w:r>
        <w:rPr>
          <w:rFonts w:hint="eastAsia" w:ascii="宋体" w:hAnsi="宋体" w:cs="宋体"/>
          <w:bCs/>
          <w:kern w:val="0"/>
          <w:sz w:val="24"/>
          <w:u w:val="single"/>
        </w:rPr>
        <w:t>天</w:t>
      </w:r>
      <w:r>
        <w:rPr>
          <w:rFonts w:hint="eastAsia" w:ascii="宋体" w:hAnsi="宋体" w:cs="宋体"/>
          <w:bCs/>
          <w:kern w:val="0"/>
          <w:sz w:val="24"/>
        </w:rPr>
        <w:t>支付违约金</w:t>
      </w:r>
      <w:r>
        <w:rPr>
          <w:rFonts w:hint="eastAsia" w:ascii="宋体" w:hAnsi="宋体" w:cs="宋体"/>
          <w:sz w:val="24"/>
        </w:rPr>
        <w:t>。</w:t>
      </w:r>
    </w:p>
    <w:p>
      <w:pPr>
        <w:adjustRightInd w:val="0"/>
        <w:snapToGrid w:val="0"/>
        <w:spacing w:line="460" w:lineRule="exact"/>
        <w:ind w:firstLine="360" w:firstLineChars="150"/>
        <w:rPr>
          <w:rFonts w:ascii="宋体" w:hAnsi="宋体" w:cs="宋体"/>
          <w:sz w:val="24"/>
        </w:rPr>
      </w:pPr>
      <w:r>
        <w:rPr>
          <w:rFonts w:ascii="宋体" w:hAnsi="宋体" w:cs="宋体"/>
          <w:sz w:val="24"/>
        </w:rPr>
        <w:t>5.2</w:t>
      </w:r>
      <w:r>
        <w:rPr>
          <w:rFonts w:hint="eastAsia" w:ascii="宋体" w:hAnsi="宋体" w:cs="宋体"/>
          <w:sz w:val="24"/>
        </w:rPr>
        <w:t>支付方式：本合同款项按以下第</w:t>
      </w:r>
      <w:r>
        <w:rPr>
          <w:rFonts w:ascii="宋体" w:hAnsi="宋体" w:cs="宋体"/>
          <w:sz w:val="24"/>
          <w:u w:val="single"/>
        </w:rPr>
        <w:t xml:space="preserve"> 5 </w:t>
      </w:r>
      <w:r>
        <w:rPr>
          <w:rFonts w:hint="eastAsia" w:ascii="宋体" w:hAnsi="宋体" w:cs="宋体"/>
          <w:sz w:val="24"/>
        </w:rPr>
        <w:t>种方式支付。</w:t>
      </w:r>
    </w:p>
    <w:p>
      <w:pPr>
        <w:adjustRightInd w:val="0"/>
        <w:snapToGrid w:val="0"/>
        <w:spacing w:line="460" w:lineRule="exact"/>
        <w:ind w:firstLine="360" w:firstLineChars="15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）本合同生效后，甲方支付乙方</w:t>
      </w:r>
      <w:r>
        <w:rPr>
          <w:rFonts w:hint="eastAsia" w:ascii="宋体" w:hAnsi="宋体" w:cs="宋体"/>
          <w:sz w:val="24"/>
          <w:u w:val="single"/>
        </w:rPr>
        <w:t>合同暂定总价</w:t>
      </w:r>
      <w:r>
        <w:rPr>
          <w:rFonts w:ascii="宋体" w:hAnsi="宋体" w:cs="宋体"/>
          <w:sz w:val="24"/>
          <w:u w:val="single"/>
        </w:rPr>
        <w:t>30%</w:t>
      </w:r>
      <w:r>
        <w:rPr>
          <w:rFonts w:hint="eastAsia" w:ascii="宋体" w:hAnsi="宋体" w:cs="宋体"/>
          <w:sz w:val="24"/>
        </w:rPr>
        <w:t>预付款，乙方按时供货，货物到齐且经</w:t>
      </w:r>
      <w:r>
        <w:rPr>
          <w:rFonts w:hint="eastAsia" w:ascii="宋体" w:hAnsi="宋体" w:cs="宋体"/>
          <w:sz w:val="24"/>
          <w:u w:val="single"/>
        </w:rPr>
        <w:t>开箱</w:t>
      </w:r>
      <w:r>
        <w:rPr>
          <w:rFonts w:ascii="宋体" w:hAnsi="宋体" w:cs="宋体"/>
          <w:sz w:val="24"/>
          <w:u w:val="single"/>
        </w:rPr>
        <w:t>/</w:t>
      </w:r>
      <w:r>
        <w:rPr>
          <w:rFonts w:hint="eastAsia" w:ascii="宋体" w:hAnsi="宋体" w:cs="宋体"/>
          <w:sz w:val="24"/>
          <w:u w:val="single"/>
        </w:rPr>
        <w:t>试运行</w:t>
      </w:r>
      <w:r>
        <w:rPr>
          <w:rFonts w:hint="eastAsia" w:ascii="宋体" w:hAnsi="宋体" w:cs="宋体"/>
          <w:sz w:val="24"/>
        </w:rPr>
        <w:t>验收合格，经甲方相关部门结算且乙方提交请款资料及等额增值税专用发票后</w:t>
      </w:r>
      <w:r>
        <w:rPr>
          <w:rFonts w:ascii="宋体" w:hAnsi="宋体" w:cs="宋体"/>
          <w:sz w:val="24"/>
          <w:u w:val="single"/>
        </w:rPr>
        <w:t>15</w:t>
      </w:r>
      <w:r>
        <w:rPr>
          <w:rFonts w:hint="eastAsia" w:ascii="宋体" w:hAnsi="宋体" w:cs="宋体"/>
          <w:sz w:val="24"/>
        </w:rPr>
        <w:t>个工作日内，甲方向乙方支付至结算审定价总额的</w:t>
      </w:r>
      <w:r>
        <w:rPr>
          <w:rFonts w:ascii="宋体" w:hAnsi="宋体" w:cs="宋体"/>
          <w:sz w:val="24"/>
        </w:rPr>
        <w:t>95%</w:t>
      </w:r>
      <w:r>
        <w:rPr>
          <w:rFonts w:hint="eastAsia" w:ascii="宋体" w:hAnsi="宋体" w:cs="宋体"/>
          <w:sz w:val="24"/>
        </w:rPr>
        <w:t>（含预付款），余款</w:t>
      </w:r>
      <w:r>
        <w:rPr>
          <w:rFonts w:ascii="宋体" w:hAnsi="宋体" w:cs="宋体"/>
          <w:sz w:val="24"/>
        </w:rPr>
        <w:t>5%</w:t>
      </w:r>
      <w:r>
        <w:rPr>
          <w:rFonts w:hint="eastAsia" w:ascii="宋体" w:hAnsi="宋体" w:cs="宋体"/>
          <w:sz w:val="24"/>
        </w:rPr>
        <w:t>作为质量保证金。质保期自</w:t>
      </w:r>
      <w:r>
        <w:rPr>
          <w:rFonts w:hint="eastAsia" w:ascii="宋体" w:hAnsi="宋体" w:cs="宋体"/>
          <w:sz w:val="24"/>
          <w:u w:val="single"/>
        </w:rPr>
        <w:t>货物开箱</w:t>
      </w:r>
      <w:r>
        <w:rPr>
          <w:rFonts w:ascii="宋体" w:hAnsi="宋体" w:cs="宋体"/>
          <w:sz w:val="24"/>
          <w:u w:val="single"/>
        </w:rPr>
        <w:t>/</w:t>
      </w:r>
      <w:r>
        <w:rPr>
          <w:rFonts w:hint="eastAsia" w:ascii="宋体" w:hAnsi="宋体" w:cs="宋体"/>
          <w:sz w:val="24"/>
          <w:u w:val="single"/>
        </w:rPr>
        <w:t>试运行</w:t>
      </w:r>
      <w:r>
        <w:rPr>
          <w:rFonts w:hint="eastAsia" w:ascii="宋体" w:hAnsi="宋体" w:cs="宋体"/>
          <w:sz w:val="24"/>
        </w:rPr>
        <w:t>验收合格之日起</w:t>
      </w:r>
      <w:r>
        <w:rPr>
          <w:rFonts w:ascii="宋体" w:hAnsi="宋体" w:cs="宋体"/>
          <w:sz w:val="24"/>
          <w:u w:val="single"/>
        </w:rPr>
        <w:t xml:space="preserve">       </w:t>
      </w:r>
      <w:r>
        <w:rPr>
          <w:rFonts w:hint="eastAsia" w:ascii="宋体" w:hAnsi="宋体" w:cs="宋体"/>
          <w:sz w:val="24"/>
        </w:rPr>
        <w:t>年。质保期满后，乙方申请退还质保金并提供相关资料后的</w:t>
      </w:r>
      <w:r>
        <w:rPr>
          <w:rFonts w:ascii="宋体" w:hAnsi="宋体" w:cs="宋体"/>
          <w:sz w:val="24"/>
          <w:u w:val="single"/>
        </w:rPr>
        <w:t>15</w:t>
      </w:r>
      <w:r>
        <w:rPr>
          <w:rFonts w:hint="eastAsia" w:ascii="宋体" w:hAnsi="宋体" w:cs="宋体"/>
          <w:sz w:val="24"/>
        </w:rPr>
        <w:t>个工作日内，甲方支付质保金（无息）（适用于需支付预付款采购）。</w:t>
      </w:r>
    </w:p>
    <w:p>
      <w:pPr>
        <w:adjustRightInd w:val="0"/>
        <w:snapToGrid w:val="0"/>
        <w:spacing w:line="460" w:lineRule="exact"/>
        <w:ind w:firstLine="360" w:firstLineChars="15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）本合同生效后，乙方按时供货，货物到齐且经</w:t>
      </w:r>
      <w:r>
        <w:rPr>
          <w:rFonts w:hint="eastAsia" w:ascii="宋体" w:hAnsi="宋体" w:cs="宋体"/>
          <w:sz w:val="24"/>
          <w:u w:val="single"/>
        </w:rPr>
        <w:t>开箱</w:t>
      </w:r>
      <w:r>
        <w:rPr>
          <w:rFonts w:ascii="宋体" w:hAnsi="宋体" w:cs="宋体"/>
          <w:sz w:val="24"/>
          <w:u w:val="single"/>
        </w:rPr>
        <w:t>/</w:t>
      </w:r>
      <w:r>
        <w:rPr>
          <w:rFonts w:hint="eastAsia" w:ascii="宋体" w:hAnsi="宋体" w:cs="宋体"/>
          <w:sz w:val="24"/>
          <w:u w:val="single"/>
        </w:rPr>
        <w:t>试运行</w:t>
      </w:r>
      <w:r>
        <w:rPr>
          <w:rFonts w:hint="eastAsia" w:ascii="宋体" w:hAnsi="宋体" w:cs="宋体"/>
          <w:sz w:val="24"/>
        </w:rPr>
        <w:t>验收合格后，甲方在收到乙方提交的请款资料及等额增值税专用发票后</w:t>
      </w:r>
      <w:r>
        <w:rPr>
          <w:rFonts w:ascii="宋体" w:hAnsi="宋体" w:cs="宋体"/>
          <w:sz w:val="24"/>
          <w:u w:val="single"/>
        </w:rPr>
        <w:t>15</w:t>
      </w:r>
      <w:r>
        <w:rPr>
          <w:rFonts w:hint="eastAsia" w:ascii="宋体" w:hAnsi="宋体" w:cs="宋体"/>
          <w:sz w:val="24"/>
        </w:rPr>
        <w:t>个工作日内向乙方支付至货款总额的</w:t>
      </w:r>
      <w:r>
        <w:rPr>
          <w:rFonts w:ascii="宋体" w:hAnsi="宋体" w:cs="宋体"/>
          <w:sz w:val="24"/>
        </w:rPr>
        <w:t>95%</w:t>
      </w:r>
      <w:r>
        <w:rPr>
          <w:rFonts w:hint="eastAsia" w:ascii="宋体" w:hAnsi="宋体" w:cs="宋体"/>
          <w:sz w:val="24"/>
        </w:rPr>
        <w:t>。余款</w:t>
      </w:r>
      <w:r>
        <w:rPr>
          <w:rFonts w:ascii="宋体" w:hAnsi="宋体" w:cs="宋体"/>
          <w:sz w:val="24"/>
        </w:rPr>
        <w:t>5%</w:t>
      </w:r>
      <w:r>
        <w:rPr>
          <w:rFonts w:hint="eastAsia" w:ascii="宋体" w:hAnsi="宋体" w:cs="宋体"/>
          <w:sz w:val="24"/>
        </w:rPr>
        <w:t>作为质量保证金。质保期自</w:t>
      </w:r>
      <w:r>
        <w:rPr>
          <w:rFonts w:hint="eastAsia" w:ascii="宋体" w:hAnsi="宋体" w:cs="宋体"/>
          <w:sz w:val="24"/>
          <w:u w:val="single"/>
        </w:rPr>
        <w:t>货物开箱</w:t>
      </w:r>
      <w:r>
        <w:rPr>
          <w:rFonts w:ascii="宋体" w:hAnsi="宋体" w:cs="宋体"/>
          <w:sz w:val="24"/>
          <w:u w:val="single"/>
        </w:rPr>
        <w:t>/</w:t>
      </w:r>
      <w:r>
        <w:rPr>
          <w:rFonts w:hint="eastAsia" w:ascii="宋体" w:hAnsi="宋体" w:cs="宋体"/>
          <w:sz w:val="24"/>
          <w:u w:val="single"/>
        </w:rPr>
        <w:t>试运行</w:t>
      </w:r>
      <w:r>
        <w:rPr>
          <w:rFonts w:hint="eastAsia" w:ascii="宋体" w:hAnsi="宋体" w:cs="宋体"/>
          <w:sz w:val="24"/>
        </w:rPr>
        <w:t>验收合格之日起</w:t>
      </w:r>
      <w:r>
        <w:rPr>
          <w:rFonts w:ascii="宋体" w:hAnsi="宋体" w:cs="宋体"/>
          <w:sz w:val="24"/>
          <w:u w:val="single"/>
        </w:rPr>
        <w:t xml:space="preserve"> X </w:t>
      </w:r>
      <w:r>
        <w:rPr>
          <w:rFonts w:hint="eastAsia" w:ascii="宋体" w:hAnsi="宋体" w:cs="宋体"/>
          <w:sz w:val="24"/>
        </w:rPr>
        <w:t>年。质保期满后，乙方申请退还质保金并提供相关资料后的</w:t>
      </w:r>
      <w:r>
        <w:rPr>
          <w:rFonts w:ascii="宋体" w:hAnsi="宋体" w:cs="宋体"/>
          <w:sz w:val="24"/>
          <w:u w:val="single"/>
        </w:rPr>
        <w:t>15</w:t>
      </w:r>
      <w:r>
        <w:rPr>
          <w:rFonts w:hint="eastAsia" w:ascii="宋体" w:hAnsi="宋体" w:cs="宋体"/>
          <w:sz w:val="24"/>
        </w:rPr>
        <w:t>个工作日内，甲方支付质保金（无息）（适用于不需支付预付款采购）。</w:t>
      </w:r>
    </w:p>
    <w:p>
      <w:pPr>
        <w:adjustRightInd w:val="0"/>
        <w:snapToGrid w:val="0"/>
        <w:spacing w:line="460" w:lineRule="exact"/>
        <w:ind w:firstLine="360" w:firstLineChars="150"/>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）本合同生效后，乙方按时供货，货物到齐且经</w:t>
      </w:r>
      <w:r>
        <w:rPr>
          <w:rFonts w:hint="eastAsia" w:ascii="宋体" w:hAnsi="宋体" w:cs="宋体"/>
          <w:sz w:val="24"/>
          <w:u w:val="single"/>
        </w:rPr>
        <w:t>开箱</w:t>
      </w:r>
      <w:r>
        <w:rPr>
          <w:rFonts w:ascii="宋体" w:hAnsi="宋体" w:cs="宋体"/>
          <w:sz w:val="24"/>
          <w:u w:val="single"/>
        </w:rPr>
        <w:t>/</w:t>
      </w:r>
      <w:r>
        <w:rPr>
          <w:rFonts w:hint="eastAsia" w:ascii="宋体" w:hAnsi="宋体" w:cs="宋体"/>
          <w:sz w:val="24"/>
          <w:u w:val="single"/>
        </w:rPr>
        <w:t>试运行</w:t>
      </w:r>
      <w:r>
        <w:rPr>
          <w:rFonts w:hint="eastAsia" w:ascii="宋体" w:hAnsi="宋体" w:cs="宋体"/>
          <w:sz w:val="24"/>
        </w:rPr>
        <w:t>验收合格后，甲方在收到乙方提交的请款资料及等额增值税专用发票后</w:t>
      </w:r>
      <w:r>
        <w:rPr>
          <w:rFonts w:ascii="宋体" w:hAnsi="宋体" w:cs="宋体"/>
          <w:sz w:val="24"/>
          <w:u w:val="single"/>
        </w:rPr>
        <w:t>15</w:t>
      </w:r>
      <w:r>
        <w:rPr>
          <w:rFonts w:hint="eastAsia" w:ascii="宋体" w:hAnsi="宋体" w:cs="宋体"/>
          <w:sz w:val="24"/>
        </w:rPr>
        <w:t>个工作日内向乙方支付至货款总额的</w:t>
      </w:r>
      <w:r>
        <w:rPr>
          <w:rFonts w:ascii="宋体" w:hAnsi="宋体" w:cs="宋体"/>
          <w:sz w:val="24"/>
        </w:rPr>
        <w:t>100%</w:t>
      </w:r>
      <w:r>
        <w:rPr>
          <w:rFonts w:hint="eastAsia" w:ascii="宋体" w:hAnsi="宋体" w:cs="宋体"/>
          <w:sz w:val="24"/>
        </w:rPr>
        <w:t>（适用于即时结清采购）。</w:t>
      </w:r>
    </w:p>
    <w:p>
      <w:pPr>
        <w:adjustRightInd w:val="0"/>
        <w:snapToGrid w:val="0"/>
        <w:spacing w:line="460" w:lineRule="exact"/>
        <w:ind w:firstLine="360" w:firstLineChars="150"/>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）本合同生效后，乙方按时分批供货，每批货物到齐且经</w:t>
      </w:r>
      <w:r>
        <w:rPr>
          <w:rFonts w:hint="eastAsia" w:ascii="宋体" w:hAnsi="宋体" w:cs="宋体"/>
          <w:sz w:val="24"/>
          <w:u w:val="single"/>
        </w:rPr>
        <w:t>开箱</w:t>
      </w:r>
      <w:r>
        <w:rPr>
          <w:rFonts w:ascii="宋体" w:hAnsi="宋体" w:cs="宋体"/>
          <w:sz w:val="24"/>
          <w:u w:val="single"/>
        </w:rPr>
        <w:t>/</w:t>
      </w:r>
      <w:r>
        <w:rPr>
          <w:rFonts w:hint="eastAsia" w:ascii="宋体" w:hAnsi="宋体" w:cs="宋体"/>
          <w:sz w:val="24"/>
          <w:u w:val="single"/>
        </w:rPr>
        <w:t>试运行</w:t>
      </w:r>
      <w:r>
        <w:rPr>
          <w:rFonts w:hint="eastAsia" w:ascii="宋体" w:hAnsi="宋体" w:cs="宋体"/>
          <w:sz w:val="24"/>
        </w:rPr>
        <w:t>验收合格后，甲方在收到乙方提交的请款资料及等额增值税专用发票后</w:t>
      </w:r>
      <w:r>
        <w:rPr>
          <w:rFonts w:ascii="宋体" w:hAnsi="宋体" w:cs="宋体"/>
          <w:sz w:val="24"/>
          <w:u w:val="single"/>
        </w:rPr>
        <w:t>15</w:t>
      </w:r>
      <w:r>
        <w:rPr>
          <w:rFonts w:hint="eastAsia" w:ascii="宋体" w:hAnsi="宋体" w:cs="宋体"/>
          <w:sz w:val="24"/>
        </w:rPr>
        <w:t>个工作日内向乙方支付至该批货款总额的</w:t>
      </w:r>
      <w:r>
        <w:rPr>
          <w:rFonts w:ascii="宋体" w:hAnsi="宋体" w:cs="宋体"/>
          <w:sz w:val="24"/>
        </w:rPr>
        <w:t>100%</w:t>
      </w:r>
      <w:r>
        <w:rPr>
          <w:rFonts w:hint="eastAsia" w:ascii="宋体" w:hAnsi="宋体" w:cs="宋体"/>
          <w:sz w:val="24"/>
        </w:rPr>
        <w:t>（适用于分批供货且即时结清采购）。</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）其它支付方式：</w:t>
      </w:r>
      <w:r>
        <w:rPr>
          <w:rFonts w:ascii="宋体" w:hAnsi="宋体" w:cs="宋体"/>
          <w:sz w:val="24"/>
          <w:u w:val="single"/>
        </w:rPr>
        <w:t xml:space="preserve"> </w:t>
      </w:r>
    </w:p>
    <w:p>
      <w:pPr>
        <w:spacing w:line="360" w:lineRule="auto"/>
        <w:ind w:firstLine="480" w:firstLineChars="200"/>
        <w:rPr>
          <w:rFonts w:ascii="宋体" w:hAnsi="宋体" w:cs="宋体"/>
          <w:bCs/>
          <w:sz w:val="24"/>
        </w:rPr>
      </w:pPr>
      <w:r>
        <w:rPr>
          <w:rFonts w:ascii="宋体" w:hAnsi="宋体" w:cs="宋体"/>
          <w:sz w:val="24"/>
        </w:rPr>
        <w:t>1</w:t>
      </w:r>
      <w:r>
        <w:rPr>
          <w:rFonts w:hint="eastAsia" w:ascii="宋体" w:hAnsi="宋体" w:cs="宋体"/>
          <w:sz w:val="24"/>
        </w:rPr>
        <w:t>设备到达现场，经开箱验收合格，</w:t>
      </w:r>
      <w:r>
        <w:rPr>
          <w:rFonts w:hint="eastAsia" w:ascii="宋体" w:hAnsi="宋体" w:cs="宋体"/>
          <w:bCs/>
          <w:sz w:val="24"/>
        </w:rPr>
        <w:t>乙方开具等额的增值税专用发票后</w:t>
      </w:r>
      <w:r>
        <w:rPr>
          <w:rFonts w:ascii="宋体" w:hAnsi="宋体" w:cs="宋体"/>
          <w:bCs/>
          <w:sz w:val="24"/>
          <w:u w:val="single"/>
        </w:rPr>
        <w:t>10</w:t>
      </w:r>
      <w:r>
        <w:rPr>
          <w:rFonts w:hint="eastAsia" w:ascii="宋体" w:hAnsi="宋体" w:cs="宋体"/>
          <w:bCs/>
          <w:sz w:val="24"/>
        </w:rPr>
        <w:t>个工作日内，甲方支付合同暂定总价的</w:t>
      </w:r>
      <w:r>
        <w:rPr>
          <w:rFonts w:ascii="宋体" w:hAnsi="宋体" w:cs="宋体"/>
          <w:bCs/>
          <w:sz w:val="24"/>
          <w:u w:val="single"/>
        </w:rPr>
        <w:t xml:space="preserve">50%  </w:t>
      </w:r>
      <w:r>
        <w:rPr>
          <w:rFonts w:hint="eastAsia" w:ascii="宋体" w:hAnsi="宋体" w:cs="宋体"/>
          <w:sz w:val="24"/>
        </w:rPr>
        <w:t>即</w:t>
      </w:r>
      <w:r>
        <w:rPr>
          <w:rFonts w:ascii="宋体" w:hAnsi="宋体" w:cs="宋体"/>
          <w:sz w:val="24"/>
          <w:u w:val="single"/>
        </w:rPr>
        <w:t xml:space="preserve">        元，（大写：      </w:t>
      </w:r>
      <w:r>
        <w:rPr>
          <w:rFonts w:hint="eastAsia" w:ascii="宋体" w:hAnsi="宋体" w:cs="宋体"/>
          <w:sz w:val="24"/>
          <w:u w:val="single"/>
        </w:rPr>
        <w:t>）</w:t>
      </w:r>
      <w:r>
        <w:rPr>
          <w:rFonts w:hint="eastAsia" w:ascii="宋体" w:hAnsi="宋体" w:cs="宋体"/>
          <w:bCs/>
          <w:sz w:val="24"/>
        </w:rPr>
        <w:t>；</w:t>
      </w:r>
    </w:p>
    <w:p>
      <w:pPr>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货物到达后完成设备安装、调试和联网完毕，且乙方提供全额增值税专用发票</w:t>
      </w:r>
      <w:r>
        <w:rPr>
          <w:rFonts w:hint="eastAsia" w:ascii="宋体" w:hAnsi="宋体" w:cs="宋体"/>
          <w:bCs/>
          <w:sz w:val="24"/>
        </w:rPr>
        <w:t>后</w:t>
      </w:r>
      <w:r>
        <w:rPr>
          <w:rFonts w:ascii="宋体" w:hAnsi="宋体" w:cs="宋体"/>
          <w:bCs/>
          <w:sz w:val="24"/>
          <w:u w:val="single"/>
        </w:rPr>
        <w:t>10</w:t>
      </w:r>
      <w:r>
        <w:rPr>
          <w:rFonts w:hint="eastAsia" w:ascii="宋体" w:hAnsi="宋体" w:cs="宋体"/>
          <w:bCs/>
          <w:sz w:val="24"/>
        </w:rPr>
        <w:t>个工作日内，甲方支付至合同暂定总价的</w:t>
      </w:r>
      <w:r>
        <w:rPr>
          <w:rFonts w:ascii="宋体" w:hAnsi="宋体" w:cs="宋体"/>
          <w:bCs/>
          <w:sz w:val="24"/>
          <w:u w:val="single"/>
        </w:rPr>
        <w:t xml:space="preserve">75%  </w:t>
      </w:r>
      <w:r>
        <w:rPr>
          <w:rFonts w:hint="eastAsia" w:ascii="宋体" w:hAnsi="宋体" w:cs="宋体"/>
          <w:sz w:val="24"/>
        </w:rPr>
        <w:t>即</w:t>
      </w:r>
      <w:r>
        <w:rPr>
          <w:rFonts w:ascii="宋体" w:hAnsi="宋体" w:cs="宋体"/>
          <w:sz w:val="24"/>
          <w:u w:val="single"/>
        </w:rPr>
        <w:t xml:space="preserve">        元，（大写：      </w:t>
      </w:r>
      <w:r>
        <w:rPr>
          <w:rFonts w:hint="eastAsia" w:ascii="宋体" w:hAnsi="宋体" w:cs="宋体"/>
          <w:sz w:val="24"/>
          <w:u w:val="single"/>
        </w:rPr>
        <w:t>）</w:t>
      </w:r>
      <w:r>
        <w:rPr>
          <w:rFonts w:hint="eastAsia" w:ascii="宋体" w:hAnsi="宋体" w:cs="宋体"/>
          <w:sz w:val="24"/>
        </w:rPr>
        <w:t>；</w:t>
      </w:r>
    </w:p>
    <w:p>
      <w:pPr>
        <w:adjustRightInd w:val="0"/>
        <w:snapToGrid w:val="0"/>
        <w:spacing w:line="460" w:lineRule="exact"/>
        <w:ind w:firstLine="480" w:firstLineChars="200"/>
        <w:rPr>
          <w:rFonts w:ascii="宋体" w:hAnsi="宋体" w:cs="宋体"/>
          <w:sz w:val="24"/>
        </w:rPr>
      </w:pPr>
      <w:r>
        <w:rPr>
          <w:rFonts w:ascii="宋体" w:hAnsi="宋体" w:cs="宋体"/>
          <w:bCs/>
          <w:sz w:val="24"/>
        </w:rPr>
        <w:t xml:space="preserve">3 </w:t>
      </w:r>
      <w:r>
        <w:rPr>
          <w:rFonts w:hint="eastAsia" w:ascii="宋体" w:hAnsi="宋体"/>
          <w:sz w:val="24"/>
        </w:rPr>
        <w:t>设备安装</w:t>
      </w:r>
      <w:r>
        <w:rPr>
          <w:rFonts w:hint="eastAsia" w:ascii="宋体" w:hAnsi="宋体" w:cs="宋体"/>
          <w:sz w:val="24"/>
        </w:rPr>
        <w:t>并全部调试完毕，</w:t>
      </w:r>
      <w:r>
        <w:rPr>
          <w:rFonts w:hint="eastAsia" w:ascii="宋体" w:hAnsi="宋体"/>
          <w:sz w:val="24"/>
        </w:rPr>
        <w:t>顺利通过验收，完成工程项目验收合格后，</w:t>
      </w:r>
      <w:r>
        <w:rPr>
          <w:rFonts w:hint="eastAsia" w:ascii="宋体" w:hAnsi="宋体" w:cs="宋体"/>
          <w:sz w:val="24"/>
        </w:rPr>
        <w:t>乙方提交请款资料及等额增值税专用发票，经甲方结算审核后</w:t>
      </w:r>
      <w:r>
        <w:rPr>
          <w:rFonts w:ascii="宋体" w:hAnsi="宋体" w:cs="宋体"/>
          <w:sz w:val="24"/>
          <w:u w:val="single"/>
        </w:rPr>
        <w:t xml:space="preserve"> 15 </w:t>
      </w:r>
      <w:r>
        <w:rPr>
          <w:rFonts w:hint="eastAsia" w:ascii="宋体" w:hAnsi="宋体" w:cs="宋体"/>
          <w:sz w:val="24"/>
        </w:rPr>
        <w:t>个工作日内，支付至合同结算价的</w:t>
      </w:r>
      <w:r>
        <w:rPr>
          <w:rFonts w:ascii="宋体" w:hAnsi="宋体" w:cs="宋体"/>
          <w:sz w:val="24"/>
        </w:rPr>
        <w:t>95%</w:t>
      </w:r>
      <w:r>
        <w:rPr>
          <w:rFonts w:hint="eastAsia" w:ascii="宋体" w:hAnsi="宋体" w:cs="宋体"/>
          <w:sz w:val="24"/>
        </w:rPr>
        <w:t>（含预付款）（若审核价低于合同暂定总价，则以审核价作为合同结算价，否则以合同暂定总价为合同结算价），合同结算价的</w:t>
      </w:r>
      <w:r>
        <w:rPr>
          <w:rFonts w:ascii="宋体" w:hAnsi="宋体" w:cs="宋体"/>
          <w:sz w:val="24"/>
        </w:rPr>
        <w:t>5%</w:t>
      </w:r>
      <w:r>
        <w:rPr>
          <w:rFonts w:hint="eastAsia" w:ascii="宋体" w:hAnsi="宋体" w:cs="宋体"/>
          <w:sz w:val="24"/>
        </w:rPr>
        <w:t>作为质保金留存。</w:t>
      </w:r>
    </w:p>
    <w:p>
      <w:pPr>
        <w:adjustRightInd w:val="0"/>
        <w:snapToGrid w:val="0"/>
        <w:spacing w:line="460" w:lineRule="exact"/>
        <w:ind w:firstLine="240" w:firstLineChars="100"/>
        <w:rPr>
          <w:rFonts w:ascii="宋体" w:hAnsi="宋体" w:cs="宋体"/>
          <w:sz w:val="24"/>
        </w:rPr>
      </w:pPr>
      <w:r>
        <w:rPr>
          <w:rFonts w:ascii="宋体" w:hAnsi="宋体"/>
          <w:sz w:val="24"/>
        </w:rPr>
        <w:t xml:space="preserve">4 </w:t>
      </w:r>
      <w:r>
        <w:rPr>
          <w:rFonts w:hint="eastAsia" w:ascii="宋体" w:hAnsi="宋体"/>
          <w:sz w:val="24"/>
        </w:rPr>
        <w:t>质保期自货物试运行验收合格之日起</w:t>
      </w:r>
      <w:r>
        <w:rPr>
          <w:rFonts w:ascii="宋体" w:hAnsi="宋体"/>
          <w:sz w:val="24"/>
          <w:u w:val="single"/>
        </w:rPr>
        <w:t>1</w:t>
      </w:r>
      <w:r>
        <w:rPr>
          <w:rFonts w:hint="eastAsia" w:ascii="宋体" w:hAnsi="宋体"/>
          <w:sz w:val="24"/>
        </w:rPr>
        <w:t>年。质保期满后，乙方申请退还质保金并提供相关资料后的15个工作日内，甲方支付质保金（无息）</w:t>
      </w:r>
    </w:p>
    <w:p>
      <w:pPr>
        <w:spacing w:line="460" w:lineRule="exact"/>
        <w:ind w:firstLine="480" w:firstLineChars="200"/>
        <w:rPr>
          <w:rFonts w:ascii="宋体" w:hAnsi="宋体" w:cs="宋体"/>
          <w:sz w:val="24"/>
        </w:rPr>
      </w:pPr>
      <w:r>
        <w:rPr>
          <w:rFonts w:ascii="宋体" w:hAnsi="宋体" w:cs="宋体"/>
          <w:sz w:val="24"/>
        </w:rPr>
        <w:t>5.3</w:t>
      </w:r>
      <w:r>
        <w:rPr>
          <w:rFonts w:hint="eastAsia" w:ascii="宋体" w:hAnsi="宋体" w:cs="宋体"/>
          <w:sz w:val="24"/>
        </w:rPr>
        <w:t>乙方收款账户：</w:t>
      </w:r>
      <w:r>
        <w:rPr>
          <w:rFonts w:ascii="宋体" w:hAnsi="宋体" w:cs="宋体"/>
          <w:sz w:val="24"/>
          <w:u w:val="single"/>
        </w:rPr>
        <w:t xml:space="preserve">                                     </w:t>
      </w:r>
      <w:r>
        <w:rPr>
          <w:rFonts w:hint="eastAsia" w:ascii="宋体" w:hAnsi="宋体" w:cs="宋体"/>
          <w:sz w:val="24"/>
        </w:rPr>
        <w:t>；</w:t>
      </w:r>
    </w:p>
    <w:p>
      <w:pPr>
        <w:spacing w:line="460" w:lineRule="exact"/>
        <w:ind w:firstLine="960" w:firstLineChars="400"/>
        <w:rPr>
          <w:rFonts w:ascii="宋体" w:hAnsi="宋体" w:cs="宋体"/>
          <w:sz w:val="24"/>
        </w:rPr>
      </w:pPr>
      <w:r>
        <w:rPr>
          <w:rFonts w:hint="eastAsia" w:ascii="宋体" w:hAnsi="宋体" w:cs="宋体"/>
          <w:sz w:val="24"/>
        </w:rPr>
        <w:t>收款账号：</w:t>
      </w:r>
      <w:r>
        <w:rPr>
          <w:rFonts w:ascii="宋体" w:hAnsi="宋体" w:cs="宋体"/>
          <w:sz w:val="24"/>
          <w:u w:val="single"/>
        </w:rPr>
        <w:t xml:space="preserve">                                    </w:t>
      </w:r>
      <w:r>
        <w:rPr>
          <w:rFonts w:hint="eastAsia" w:ascii="宋体" w:hAnsi="宋体" w:cs="宋体"/>
          <w:sz w:val="24"/>
        </w:rPr>
        <w:t>；</w:t>
      </w:r>
    </w:p>
    <w:p>
      <w:pPr>
        <w:spacing w:line="460" w:lineRule="exact"/>
        <w:ind w:firstLine="960" w:firstLineChars="400"/>
        <w:rPr>
          <w:rFonts w:ascii="宋体" w:hAnsi="宋体" w:cs="宋体"/>
          <w:sz w:val="24"/>
        </w:rPr>
      </w:pPr>
      <w:r>
        <w:rPr>
          <w:rFonts w:hint="eastAsia" w:ascii="宋体" w:hAnsi="宋体" w:cs="宋体"/>
          <w:sz w:val="24"/>
        </w:rPr>
        <w:t>开户行：</w:t>
      </w:r>
      <w:r>
        <w:rPr>
          <w:rFonts w:ascii="宋体" w:hAnsi="宋体" w:cs="宋体"/>
          <w:sz w:val="24"/>
          <w:u w:val="single"/>
        </w:rPr>
        <w:t xml:space="preserve">                                       </w:t>
      </w:r>
      <w:r>
        <w:rPr>
          <w:rFonts w:hint="eastAsia" w:ascii="宋体" w:hAnsi="宋体" w:cs="宋体"/>
          <w:sz w:val="24"/>
        </w:rPr>
        <w:t>；</w:t>
      </w:r>
    </w:p>
    <w:p>
      <w:pPr>
        <w:spacing w:line="460" w:lineRule="exact"/>
        <w:ind w:firstLine="480" w:firstLineChars="200"/>
        <w:rPr>
          <w:rFonts w:ascii="宋体" w:hAnsi="宋体" w:cs="宋体"/>
          <w:sz w:val="24"/>
        </w:rPr>
      </w:pPr>
      <w:r>
        <w:rPr>
          <w:rFonts w:hint="eastAsia" w:ascii="宋体" w:hAnsi="宋体" w:cs="宋体"/>
          <w:sz w:val="24"/>
        </w:rPr>
        <w:t>乙方在收款前需向甲方提交等额增值税专用发票，增值税专用发票信息：</w:t>
      </w:r>
    </w:p>
    <w:p>
      <w:pPr>
        <w:spacing w:line="460" w:lineRule="exact"/>
        <w:ind w:firstLine="480" w:firstLineChars="200"/>
        <w:rPr>
          <w:rFonts w:ascii="宋体" w:hAnsi="宋体" w:cs="宋体"/>
          <w:sz w:val="24"/>
        </w:rPr>
      </w:pPr>
      <w:r>
        <w:rPr>
          <w:rFonts w:hint="eastAsia" w:ascii="宋体" w:hAnsi="宋体" w:cs="宋体"/>
          <w:sz w:val="24"/>
        </w:rPr>
        <w:t>名称：广州市净水有限公司</w:t>
      </w:r>
    </w:p>
    <w:p>
      <w:pPr>
        <w:spacing w:line="460" w:lineRule="exact"/>
        <w:ind w:firstLine="480" w:firstLineChars="200"/>
        <w:rPr>
          <w:rFonts w:ascii="宋体" w:hAnsi="宋体" w:cs="宋体"/>
          <w:sz w:val="24"/>
        </w:rPr>
      </w:pPr>
      <w:r>
        <w:rPr>
          <w:rFonts w:hint="eastAsia" w:ascii="宋体" w:hAnsi="宋体" w:cs="宋体"/>
          <w:sz w:val="24"/>
        </w:rPr>
        <w:t>税号：</w:t>
      </w:r>
      <w:r>
        <w:rPr>
          <w:rFonts w:ascii="宋体" w:hAnsi="宋体" w:cs="宋体"/>
          <w:sz w:val="24"/>
          <w:u w:val="single"/>
        </w:rPr>
        <w:t xml:space="preserve"> 9144 0101 7555 8472 9Q </w:t>
      </w:r>
      <w:r>
        <w:rPr>
          <w:rFonts w:ascii="宋体" w:hAnsi="宋体" w:cs="宋体"/>
          <w:sz w:val="24"/>
        </w:rPr>
        <w:t xml:space="preserve"> </w:t>
      </w:r>
      <w:r>
        <w:rPr>
          <w:rFonts w:hint="eastAsia" w:ascii="宋体" w:hAnsi="宋体" w:cs="宋体"/>
          <w:sz w:val="24"/>
        </w:rPr>
        <w:t>；</w:t>
      </w:r>
      <w:r>
        <w:rPr>
          <w:rFonts w:ascii="宋体" w:hAnsi="宋体" w:cs="宋体"/>
          <w:sz w:val="24"/>
        </w:rPr>
        <w:t xml:space="preserve">  </w:t>
      </w:r>
    </w:p>
    <w:p>
      <w:pPr>
        <w:spacing w:line="460" w:lineRule="exact"/>
        <w:ind w:firstLine="480" w:firstLineChars="200"/>
        <w:rPr>
          <w:rFonts w:ascii="宋体" w:hAnsi="宋体" w:cs="宋体"/>
          <w:sz w:val="24"/>
        </w:rPr>
      </w:pPr>
      <w:r>
        <w:rPr>
          <w:rFonts w:hint="eastAsia" w:ascii="宋体" w:hAnsi="宋体" w:cs="宋体"/>
          <w:sz w:val="24"/>
        </w:rPr>
        <w:t>地址：</w:t>
      </w:r>
      <w:r>
        <w:rPr>
          <w:rFonts w:ascii="宋体" w:hAnsi="宋体" w:cs="宋体"/>
          <w:sz w:val="24"/>
          <w:u w:val="single"/>
        </w:rPr>
        <w:t xml:space="preserve"> </w:t>
      </w:r>
      <w:r>
        <w:rPr>
          <w:rFonts w:hint="eastAsia" w:ascii="宋体" w:hAnsi="宋体" w:cs="宋体"/>
          <w:sz w:val="24"/>
          <w:u w:val="single"/>
        </w:rPr>
        <w:t>广州市天河区临江大道 501 号</w:t>
      </w:r>
      <w:r>
        <w:rPr>
          <w:rFonts w:ascii="宋体" w:hAnsi="宋体" w:cs="宋体"/>
          <w:sz w:val="24"/>
          <w:u w:val="single"/>
        </w:rPr>
        <w:t xml:space="preserve"> </w:t>
      </w:r>
      <w:r>
        <w:rPr>
          <w:rFonts w:hint="eastAsia" w:ascii="宋体" w:hAnsi="宋体" w:cs="宋体"/>
          <w:sz w:val="24"/>
        </w:rPr>
        <w:t>；</w:t>
      </w:r>
    </w:p>
    <w:p>
      <w:pPr>
        <w:spacing w:line="460" w:lineRule="exact"/>
        <w:ind w:firstLine="480" w:firstLineChars="200"/>
        <w:rPr>
          <w:rFonts w:ascii="宋体" w:hAnsi="宋体" w:cs="宋体"/>
          <w:sz w:val="24"/>
        </w:rPr>
      </w:pPr>
      <w:r>
        <w:rPr>
          <w:rFonts w:ascii="宋体" w:hAnsi="宋体" w:cs="宋体"/>
          <w:sz w:val="24"/>
        </w:rPr>
        <w:t>5.4</w:t>
      </w:r>
      <w:r>
        <w:rPr>
          <w:rFonts w:hint="eastAsia" w:ascii="宋体" w:hAnsi="宋体" w:cs="宋体"/>
          <w:sz w:val="24"/>
        </w:rPr>
        <w:t>付款方式：</w:t>
      </w:r>
      <w:r>
        <w:rPr>
          <w:rFonts w:ascii="宋体" w:hAnsi="宋体" w:cs="宋体"/>
          <w:sz w:val="24"/>
        </w:rPr>
        <w:t xml:space="preserve"> </w:t>
      </w:r>
      <w:r>
        <w:rPr>
          <w:rFonts w:hint="eastAsia" w:ascii="宋体" w:hAnsi="宋体" w:cs="宋体"/>
          <w:sz w:val="24"/>
        </w:rPr>
        <w:sym w:font="Wingdings 2" w:char="0052"/>
      </w:r>
      <w:r>
        <w:rPr>
          <w:rFonts w:hint="eastAsia" w:ascii="宋体" w:hAnsi="宋体" w:cs="宋体"/>
          <w:sz w:val="24"/>
        </w:rPr>
        <w:t>网银支付；</w:t>
      </w:r>
      <w:r>
        <w:rPr>
          <w:rFonts w:ascii="宋体" w:hAnsi="宋体" w:cs="宋体"/>
          <w:sz w:val="24"/>
        </w:rPr>
        <w:t xml:space="preserve">  </w:t>
      </w:r>
      <w:r>
        <w:rPr>
          <w:rFonts w:ascii="宋体" w:hAnsi="宋体" w:cs="宋体"/>
          <w:sz w:val="24"/>
        </w:rPr>
        <w:sym w:font="Wingdings" w:char="00A8"/>
      </w:r>
      <w:r>
        <w:rPr>
          <w:rFonts w:hint="eastAsia" w:ascii="宋体" w:hAnsi="宋体" w:cs="宋体"/>
          <w:sz w:val="24"/>
        </w:rPr>
        <w:t>支票；</w:t>
      </w:r>
      <w:r>
        <w:rPr>
          <w:rFonts w:ascii="宋体" w:hAnsi="宋体" w:cs="宋体"/>
          <w:sz w:val="24"/>
        </w:rPr>
        <w:t xml:space="preserve">   </w:t>
      </w:r>
      <w:r>
        <w:rPr>
          <w:rFonts w:ascii="宋体" w:hAnsi="宋体" w:cs="宋体"/>
          <w:sz w:val="24"/>
        </w:rPr>
        <w:sym w:font="Wingdings" w:char="00A8"/>
      </w:r>
      <w:r>
        <w:rPr>
          <w:rFonts w:hint="eastAsia" w:ascii="宋体" w:hAnsi="宋体" w:cs="宋体"/>
          <w:sz w:val="24"/>
        </w:rPr>
        <w:t>其他：</w:t>
      </w:r>
      <w:r>
        <w:rPr>
          <w:rFonts w:ascii="宋体" w:hAnsi="宋体" w:cs="宋体"/>
          <w:sz w:val="24"/>
        </w:rPr>
        <w:t xml:space="preserve">       </w:t>
      </w:r>
    </w:p>
    <w:p>
      <w:pPr>
        <w:spacing w:line="460" w:lineRule="exact"/>
        <w:ind w:firstLine="720" w:firstLineChars="300"/>
        <w:outlineLvl w:val="1"/>
        <w:rPr>
          <w:rFonts w:hAnsi="宋体" w:cs="宋体"/>
        </w:rPr>
      </w:pPr>
      <w:r>
        <w:rPr>
          <w:rFonts w:hint="eastAsia" w:ascii="宋体" w:hAnsi="宋体" w:cs="宋体"/>
          <w:sz w:val="24"/>
        </w:rPr>
        <w:t>（建议采用网银支付、支票两种形式中之一）。</w:t>
      </w:r>
    </w:p>
    <w:bookmarkEnd w:id="25"/>
    <w:bookmarkEnd w:id="26"/>
    <w:p>
      <w:pPr>
        <w:adjustRightInd w:val="0"/>
        <w:snapToGrid w:val="0"/>
        <w:spacing w:line="460" w:lineRule="exact"/>
        <w:ind w:firstLine="482" w:firstLineChars="200"/>
        <w:rPr>
          <w:rFonts w:ascii="宋体" w:hAnsi="宋体" w:cs="宋体"/>
          <w:sz w:val="24"/>
        </w:rPr>
      </w:pPr>
      <w:bookmarkStart w:id="27" w:name="_Toc474245224"/>
      <w:bookmarkStart w:id="28" w:name="_Toc518992998"/>
      <w:bookmarkStart w:id="29" w:name="_Toc107446861"/>
      <w:bookmarkStart w:id="30" w:name="_Toc107447253"/>
      <w:bookmarkStart w:id="31" w:name="_Toc257"/>
      <w:bookmarkStart w:id="32" w:name="_Toc107446860"/>
      <w:bookmarkStart w:id="33" w:name="_Toc306350465"/>
      <w:bookmarkStart w:id="34" w:name="_Toc118086592"/>
      <w:bookmarkStart w:id="35" w:name="_Toc183666529"/>
      <w:bookmarkStart w:id="36" w:name="_Toc520190038"/>
      <w:bookmarkStart w:id="37" w:name="_Toc107447254"/>
      <w:bookmarkStart w:id="38" w:name="_Toc5166"/>
      <w:bookmarkStart w:id="39" w:name="_Toc183666534"/>
      <w:r>
        <w:rPr>
          <w:rFonts w:hint="eastAsia" w:ascii="宋体" w:hAnsi="宋体" w:cs="宋体"/>
          <w:b/>
          <w:bCs/>
          <w:sz w:val="24"/>
        </w:rPr>
        <w:t>第六条</w:t>
      </w:r>
      <w:r>
        <w:rPr>
          <w:rFonts w:ascii="宋体" w:hAnsi="宋体" w:cs="宋体"/>
          <w:b/>
          <w:bCs/>
          <w:sz w:val="24"/>
        </w:rPr>
        <w:t xml:space="preserve"> </w:t>
      </w:r>
      <w:r>
        <w:rPr>
          <w:rFonts w:hint="eastAsia" w:ascii="宋体" w:hAnsi="宋体" w:cs="宋体"/>
          <w:b/>
          <w:bCs/>
          <w:sz w:val="24"/>
        </w:rPr>
        <w:t>违约责任</w:t>
      </w:r>
    </w:p>
    <w:p>
      <w:pPr>
        <w:adjustRightInd w:val="0"/>
        <w:snapToGrid w:val="0"/>
        <w:spacing w:line="460" w:lineRule="exact"/>
        <w:ind w:firstLine="480" w:firstLineChars="200"/>
        <w:rPr>
          <w:rFonts w:ascii="宋体" w:hAnsi="宋体" w:cs="宋体"/>
          <w:sz w:val="24"/>
        </w:rPr>
      </w:pPr>
      <w:r>
        <w:rPr>
          <w:rFonts w:ascii="宋体" w:hAnsi="宋体" w:cs="宋体"/>
          <w:sz w:val="24"/>
        </w:rPr>
        <w:t>6.1</w:t>
      </w:r>
      <w:r>
        <w:rPr>
          <w:rFonts w:hint="eastAsia" w:ascii="宋体" w:hAnsi="宋体" w:cs="宋体"/>
          <w:sz w:val="24"/>
        </w:rPr>
        <w:t>单方面取消合同：任意一方未经对方同意单方面取消合同，应按</w:t>
      </w:r>
      <w:r>
        <w:rPr>
          <w:rFonts w:hint="eastAsia" w:ascii="宋体" w:hAnsi="宋体" w:cs="宋体"/>
          <w:sz w:val="24"/>
          <w:u w:val="single"/>
        </w:rPr>
        <w:t>合同暂定总价的</w:t>
      </w:r>
      <w:r>
        <w:rPr>
          <w:rFonts w:ascii="宋体" w:hAnsi="宋体" w:cs="宋体"/>
          <w:sz w:val="24"/>
          <w:u w:val="single"/>
        </w:rPr>
        <w:t>30%</w:t>
      </w:r>
      <w:r>
        <w:rPr>
          <w:rFonts w:hint="eastAsia" w:ascii="宋体" w:hAnsi="宋体" w:cs="宋体"/>
          <w:sz w:val="24"/>
        </w:rPr>
        <w:t>向对方赔偿。</w:t>
      </w:r>
    </w:p>
    <w:p>
      <w:pPr>
        <w:adjustRightInd w:val="0"/>
        <w:snapToGrid w:val="0"/>
        <w:spacing w:line="460" w:lineRule="exact"/>
        <w:ind w:firstLine="480" w:firstLineChars="200"/>
        <w:rPr>
          <w:rFonts w:ascii="宋体" w:hAnsi="宋体" w:cs="宋体"/>
          <w:sz w:val="24"/>
        </w:rPr>
      </w:pPr>
      <w:r>
        <w:rPr>
          <w:rFonts w:ascii="宋体" w:hAnsi="宋体" w:cs="宋体"/>
          <w:sz w:val="24"/>
        </w:rPr>
        <w:t>6.2</w:t>
      </w:r>
      <w:r>
        <w:rPr>
          <w:rFonts w:hint="eastAsia" w:ascii="宋体" w:hAnsi="宋体" w:cs="宋体"/>
          <w:sz w:val="24"/>
        </w:rPr>
        <w:t>乙方不能按时交货的，每逾期</w:t>
      </w:r>
      <w:r>
        <w:rPr>
          <w:rFonts w:ascii="宋体" w:hAnsi="宋体" w:cs="宋体"/>
          <w:sz w:val="24"/>
        </w:rPr>
        <w:t>1</w:t>
      </w:r>
      <w:r>
        <w:rPr>
          <w:rFonts w:hint="eastAsia" w:ascii="宋体" w:hAnsi="宋体" w:cs="宋体"/>
          <w:sz w:val="24"/>
        </w:rPr>
        <w:t>日，按</w:t>
      </w:r>
      <w:r>
        <w:rPr>
          <w:rFonts w:hint="eastAsia" w:ascii="宋体" w:hAnsi="宋体" w:cs="宋体"/>
          <w:sz w:val="24"/>
          <w:u w:val="single"/>
        </w:rPr>
        <w:t>迟交货物总价的</w:t>
      </w:r>
      <w:r>
        <w:rPr>
          <w:rFonts w:ascii="宋体" w:hAnsi="宋体" w:cs="宋体"/>
          <w:sz w:val="24"/>
          <w:u w:val="single"/>
        </w:rPr>
        <w:t xml:space="preserve"> 1%支付违约金</w:t>
      </w:r>
      <w:r>
        <w:rPr>
          <w:rFonts w:hint="eastAsia" w:ascii="宋体" w:hAnsi="宋体" w:cs="宋体"/>
          <w:sz w:val="24"/>
        </w:rPr>
        <w:t>，逾期达到</w:t>
      </w:r>
      <w:r>
        <w:rPr>
          <w:rFonts w:ascii="宋体" w:hAnsi="宋体" w:cs="宋体"/>
          <w:sz w:val="24"/>
          <w:u w:val="single"/>
        </w:rPr>
        <w:t xml:space="preserve"> 15 </w:t>
      </w:r>
      <w:r>
        <w:rPr>
          <w:rFonts w:hint="eastAsia" w:ascii="宋体" w:hAnsi="宋体" w:cs="宋体"/>
          <w:sz w:val="24"/>
        </w:rPr>
        <w:t>天及以上的，甲方有权解除合同。</w:t>
      </w:r>
    </w:p>
    <w:p>
      <w:pPr>
        <w:adjustRightInd w:val="0"/>
        <w:snapToGrid w:val="0"/>
        <w:spacing w:line="460" w:lineRule="exact"/>
        <w:ind w:firstLine="480" w:firstLineChars="200"/>
        <w:rPr>
          <w:rFonts w:ascii="宋体" w:hAnsi="宋体" w:cs="宋体"/>
          <w:sz w:val="24"/>
        </w:rPr>
      </w:pPr>
      <w:r>
        <w:rPr>
          <w:rFonts w:ascii="宋体" w:hAnsi="宋体" w:cs="宋体"/>
          <w:sz w:val="24"/>
        </w:rPr>
        <w:t xml:space="preserve">6.3 </w:t>
      </w:r>
      <w:r>
        <w:rPr>
          <w:rFonts w:hint="eastAsia" w:ascii="宋体" w:hAnsi="宋体" w:cs="宋体"/>
          <w:sz w:val="24"/>
        </w:rPr>
        <w:t>货物</w:t>
      </w:r>
      <w:r>
        <w:rPr>
          <w:rFonts w:hint="eastAsia" w:ascii="宋体" w:hAnsi="宋体" w:cs="宋体"/>
          <w:sz w:val="24"/>
          <w:u w:val="single"/>
        </w:rPr>
        <w:t>开箱</w:t>
      </w:r>
      <w:r>
        <w:rPr>
          <w:rFonts w:ascii="宋体" w:hAnsi="宋体" w:cs="宋体"/>
          <w:sz w:val="24"/>
          <w:u w:val="single"/>
        </w:rPr>
        <w:t>/</w:t>
      </w:r>
      <w:r>
        <w:rPr>
          <w:rFonts w:hint="eastAsia" w:ascii="宋体" w:hAnsi="宋体" w:cs="宋体"/>
          <w:sz w:val="24"/>
          <w:u w:val="single"/>
        </w:rPr>
        <w:t>试运行</w:t>
      </w:r>
      <w:r>
        <w:rPr>
          <w:rFonts w:hint="eastAsia" w:ascii="宋体" w:hAnsi="宋体" w:cs="宋体"/>
          <w:sz w:val="24"/>
        </w:rPr>
        <w:t>验收不合格或货物在</w:t>
      </w:r>
      <w:r>
        <w:rPr>
          <w:rFonts w:hint="eastAsia" w:ascii="宋体" w:hAnsi="宋体" w:cs="宋体"/>
          <w:sz w:val="24"/>
          <w:u w:val="single"/>
        </w:rPr>
        <w:t>开箱</w:t>
      </w:r>
      <w:r>
        <w:rPr>
          <w:rFonts w:ascii="宋体" w:hAnsi="宋体" w:cs="宋体"/>
          <w:sz w:val="24"/>
          <w:u w:val="single"/>
        </w:rPr>
        <w:t>/</w:t>
      </w:r>
      <w:r>
        <w:rPr>
          <w:rFonts w:hint="eastAsia" w:ascii="宋体" w:hAnsi="宋体" w:cs="宋体"/>
          <w:sz w:val="24"/>
          <w:u w:val="single"/>
        </w:rPr>
        <w:t>试运行</w:t>
      </w:r>
      <w:r>
        <w:rPr>
          <w:rFonts w:hint="eastAsia" w:ascii="宋体" w:hAnsi="宋体" w:cs="宋体"/>
          <w:sz w:val="24"/>
        </w:rPr>
        <w:t>验收后发现乙方所供货物不合格的，甲方有权退货或要求更换。甲方要求退货的，乙方应在收到甲方退货要求的</w:t>
      </w:r>
      <w:r>
        <w:rPr>
          <w:rFonts w:ascii="宋体" w:hAnsi="宋体" w:cs="宋体"/>
          <w:sz w:val="24"/>
        </w:rPr>
        <w:t>3</w:t>
      </w:r>
      <w:r>
        <w:rPr>
          <w:rFonts w:hint="eastAsia" w:ascii="宋体" w:hAnsi="宋体" w:cs="宋体"/>
          <w:sz w:val="24"/>
        </w:rPr>
        <w:t>日内退还甲方已支付的货款（含预付款）并按退货总价的双倍金额向甲方支付违约金，同时甲方有权解除合同；甲方要求更换的，乙方应在</w:t>
      </w:r>
      <w:r>
        <w:rPr>
          <w:rFonts w:ascii="宋体" w:hAnsi="宋体" w:cs="宋体"/>
          <w:sz w:val="24"/>
        </w:rPr>
        <w:t>3</w:t>
      </w:r>
      <w:r>
        <w:rPr>
          <w:rFonts w:hint="eastAsia" w:ascii="宋体" w:hAnsi="宋体" w:cs="宋体"/>
          <w:sz w:val="24"/>
        </w:rPr>
        <w:t>日内重新交货并按</w:t>
      </w:r>
      <w:r>
        <w:rPr>
          <w:rFonts w:hint="eastAsia" w:ascii="宋体" w:hAnsi="宋体" w:cs="宋体"/>
          <w:sz w:val="24"/>
          <w:u w:val="single"/>
        </w:rPr>
        <w:t>更换货物总价的</w:t>
      </w:r>
      <w:r>
        <w:rPr>
          <w:rFonts w:ascii="宋体" w:hAnsi="宋体" w:cs="宋体"/>
          <w:sz w:val="24"/>
          <w:u w:val="single"/>
        </w:rPr>
        <w:t>10%</w:t>
      </w:r>
      <w:r>
        <w:rPr>
          <w:rFonts w:hint="eastAsia" w:ascii="宋体" w:hAnsi="宋体" w:cs="宋体"/>
          <w:sz w:val="24"/>
        </w:rPr>
        <w:t>支付违约金，乙方承担由此产生的一切损失和费用。</w:t>
      </w:r>
    </w:p>
    <w:p>
      <w:pPr>
        <w:adjustRightInd w:val="0"/>
        <w:snapToGrid w:val="0"/>
        <w:spacing w:line="460" w:lineRule="exact"/>
        <w:ind w:firstLine="480" w:firstLineChars="200"/>
        <w:rPr>
          <w:rFonts w:ascii="宋体" w:hAnsi="宋体" w:cs="宋体"/>
          <w:sz w:val="24"/>
        </w:rPr>
      </w:pPr>
      <w:r>
        <w:rPr>
          <w:rFonts w:ascii="宋体" w:hAnsi="宋体" w:cs="宋体"/>
          <w:sz w:val="24"/>
        </w:rPr>
        <w:t xml:space="preserve">6.4 </w:t>
      </w:r>
      <w:r>
        <w:rPr>
          <w:rFonts w:hint="eastAsia" w:ascii="宋体" w:hAnsi="宋体" w:cs="宋体"/>
          <w:sz w:val="24"/>
        </w:rPr>
        <w:t>乙方不履行合同义务、或履行合同义务不符合合同约定、或违反国家、省、市行业标准的，甲方有权要求乙方限期整改。乙方逾期未完成整改的，每项每超过</w:t>
      </w:r>
      <w:r>
        <w:rPr>
          <w:rFonts w:ascii="宋体" w:hAnsi="宋体" w:cs="宋体"/>
          <w:sz w:val="24"/>
        </w:rPr>
        <w:t>1日支付违约金人民币1万元，超过</w:t>
      </w:r>
      <w:r>
        <w:rPr>
          <w:rFonts w:ascii="宋体" w:hAnsi="宋体" w:cs="宋体"/>
          <w:sz w:val="24"/>
          <w:u w:val="single"/>
        </w:rPr>
        <w:t xml:space="preserve">_7 </w:t>
      </w:r>
      <w:r>
        <w:rPr>
          <w:rFonts w:hint="eastAsia" w:ascii="宋体" w:hAnsi="宋体" w:cs="宋体"/>
          <w:sz w:val="24"/>
        </w:rPr>
        <w:t>日，甲方有权解除合同并要求乙方支付</w:t>
      </w:r>
      <w:r>
        <w:rPr>
          <w:rFonts w:hint="eastAsia" w:ascii="宋体" w:hAnsi="宋体" w:cs="宋体"/>
          <w:sz w:val="24"/>
          <w:u w:val="single"/>
        </w:rPr>
        <w:t>合同暂定总价的</w:t>
      </w:r>
      <w:r>
        <w:rPr>
          <w:rFonts w:ascii="宋体" w:hAnsi="宋体" w:cs="宋体"/>
          <w:sz w:val="24"/>
          <w:u w:val="single"/>
        </w:rPr>
        <w:t>20%</w:t>
      </w:r>
      <w:r>
        <w:rPr>
          <w:rFonts w:ascii="宋体" w:hAnsi="宋体" w:cs="宋体"/>
          <w:sz w:val="24"/>
        </w:rPr>
        <w:t>作为违约金</w:t>
      </w:r>
      <w:r>
        <w:rPr>
          <w:rFonts w:hint="eastAsia" w:ascii="宋体" w:hAnsi="宋体" w:cs="宋体"/>
          <w:sz w:val="24"/>
        </w:rPr>
        <w:t>（</w:t>
      </w:r>
      <w:r>
        <w:rPr>
          <w:rFonts w:hint="eastAsia" w:cs="宋体"/>
          <w:sz w:val="24"/>
        </w:rPr>
        <w:t>如合同另行约定违约责任，从其约定</w:t>
      </w:r>
      <w:r>
        <w:rPr>
          <w:rFonts w:hint="eastAsia" w:ascii="宋体" w:hAnsi="宋体" w:cs="宋体"/>
          <w:sz w:val="24"/>
        </w:rPr>
        <w:t>）</w:t>
      </w:r>
      <w:r>
        <w:rPr>
          <w:rFonts w:ascii="宋体" w:hAnsi="宋体" w:cs="宋体"/>
          <w:sz w:val="24"/>
        </w:rPr>
        <w:t>。</w:t>
      </w:r>
    </w:p>
    <w:p>
      <w:pPr>
        <w:adjustRightInd w:val="0"/>
        <w:snapToGrid w:val="0"/>
        <w:spacing w:line="460" w:lineRule="exact"/>
        <w:ind w:firstLine="482" w:firstLineChars="200"/>
        <w:rPr>
          <w:rFonts w:ascii="宋体" w:hAnsi="宋体" w:cs="宋体"/>
          <w:b/>
          <w:bCs/>
          <w:sz w:val="24"/>
        </w:rPr>
      </w:pPr>
      <w:r>
        <w:rPr>
          <w:rFonts w:hint="eastAsia" w:ascii="宋体" w:hAnsi="宋体" w:cs="宋体"/>
          <w:b/>
          <w:bCs/>
          <w:sz w:val="24"/>
        </w:rPr>
        <w:t>第七条</w:t>
      </w:r>
      <w:r>
        <w:rPr>
          <w:rFonts w:ascii="宋体" w:hAnsi="宋体" w:cs="宋体"/>
          <w:b/>
          <w:bCs/>
          <w:sz w:val="24"/>
        </w:rPr>
        <w:t xml:space="preserve"> </w:t>
      </w:r>
      <w:r>
        <w:rPr>
          <w:rFonts w:hint="eastAsia" w:ascii="宋体" w:hAnsi="宋体" w:cs="宋体"/>
          <w:b/>
          <w:bCs/>
          <w:sz w:val="24"/>
        </w:rPr>
        <w:t>不可抗力</w:t>
      </w:r>
    </w:p>
    <w:p>
      <w:pPr>
        <w:numPr>
          <w:ilvl w:val="255"/>
          <w:numId w:val="0"/>
        </w:numPr>
        <w:adjustRightInd w:val="0"/>
        <w:snapToGrid w:val="0"/>
        <w:spacing w:line="460" w:lineRule="exact"/>
        <w:ind w:firstLine="480" w:firstLineChars="200"/>
        <w:rPr>
          <w:rFonts w:ascii="宋体" w:hAnsi="宋体" w:cs="宋体"/>
          <w:sz w:val="24"/>
        </w:rPr>
      </w:pPr>
      <w:r>
        <w:rPr>
          <w:rFonts w:ascii="宋体" w:hAnsi="宋体" w:cs="宋体"/>
          <w:sz w:val="24"/>
        </w:rPr>
        <w:t xml:space="preserve">7.1 </w:t>
      </w:r>
      <w:r>
        <w:rPr>
          <w:rFonts w:hint="eastAsia" w:ascii="宋体" w:hAnsi="宋体" w:cs="宋体"/>
          <w:sz w:val="24"/>
        </w:rPr>
        <w:t>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adjustRightInd w:val="0"/>
        <w:snapToGrid w:val="0"/>
        <w:spacing w:line="460" w:lineRule="exact"/>
        <w:ind w:firstLine="480" w:firstLineChars="200"/>
        <w:rPr>
          <w:rFonts w:ascii="宋体" w:hAnsi="宋体" w:cs="宋体"/>
          <w:sz w:val="24"/>
        </w:rPr>
      </w:pPr>
      <w:r>
        <w:rPr>
          <w:rFonts w:hint="eastAsia" w:ascii="宋体" w:hAnsi="宋体" w:cs="宋体"/>
          <w:sz w:val="24"/>
        </w:rPr>
        <w:t>（</w:t>
      </w:r>
      <w:r>
        <w:rPr>
          <w:rFonts w:ascii="宋体" w:hAnsi="宋体" w:cs="宋体"/>
          <w:sz w:val="24"/>
        </w:rPr>
        <w:t>1）地震、火山爆发、滑坡、暴雨（橙色预警及以上）、台风（黄色预警及以上）、海啸、龙卷风、大面积流行病(如：非典型性肺炎等)或瘟疫；</w:t>
      </w:r>
    </w:p>
    <w:p>
      <w:pPr>
        <w:adjustRightInd w:val="0"/>
        <w:snapToGrid w:val="0"/>
        <w:spacing w:line="460" w:lineRule="exact"/>
        <w:ind w:firstLine="480" w:firstLineChars="200"/>
        <w:rPr>
          <w:rFonts w:ascii="宋体" w:hAnsi="宋体" w:cs="宋体"/>
          <w:sz w:val="24"/>
        </w:rPr>
      </w:pPr>
      <w:r>
        <w:rPr>
          <w:rFonts w:hint="eastAsia" w:ascii="宋体" w:hAnsi="宋体" w:cs="宋体"/>
          <w:sz w:val="24"/>
        </w:rPr>
        <w:t>（</w:t>
      </w:r>
      <w:r>
        <w:rPr>
          <w:rFonts w:ascii="宋体" w:hAnsi="宋体" w:cs="宋体"/>
          <w:sz w:val="24"/>
        </w:rPr>
        <w:t>2）战争行为、入侵、武装冲突或外敌行为、封锁、暴乱、恐怖行为或军事演习；</w:t>
      </w:r>
    </w:p>
    <w:p>
      <w:pPr>
        <w:adjustRightInd w:val="0"/>
        <w:snapToGrid w:val="0"/>
        <w:spacing w:line="460" w:lineRule="exact"/>
        <w:ind w:firstLine="480" w:firstLineChars="200"/>
        <w:rPr>
          <w:rFonts w:ascii="宋体" w:hAnsi="宋体" w:cs="宋体"/>
          <w:sz w:val="24"/>
        </w:rPr>
      </w:pPr>
      <w:r>
        <w:rPr>
          <w:rFonts w:ascii="宋体" w:hAnsi="宋体" w:cs="宋体"/>
          <w:sz w:val="24"/>
        </w:rPr>
        <w:t xml:space="preserve">7.2 </w:t>
      </w:r>
      <w:r>
        <w:rPr>
          <w:rFonts w:hint="eastAsia" w:ascii="宋体" w:hAnsi="宋体" w:cs="宋体"/>
          <w:sz w:val="24"/>
        </w:rPr>
        <w:t>声称受到不可抗力影响的一方，应在发生不可抗力或知道发生不可抗力之后</w:t>
      </w:r>
      <w:r>
        <w:rPr>
          <w:rFonts w:ascii="宋体" w:hAnsi="宋体" w:cs="宋体"/>
          <w:sz w:val="24"/>
        </w:rPr>
        <w:t>5日内书面通知另一方，详细描述不可抗力的发生情况和对该方履行在本合同项下义务的影响，同时附上此种不可抗力事件及其持续时间的有效证明文件。</w:t>
      </w:r>
    </w:p>
    <w:p>
      <w:pPr>
        <w:adjustRightInd w:val="0"/>
        <w:snapToGrid w:val="0"/>
        <w:spacing w:line="460" w:lineRule="exact"/>
        <w:ind w:firstLine="480" w:firstLineChars="200"/>
        <w:rPr>
          <w:rFonts w:ascii="宋体" w:hAnsi="宋体" w:cs="宋体"/>
          <w:sz w:val="24"/>
        </w:rPr>
      </w:pPr>
      <w:r>
        <w:rPr>
          <w:rFonts w:ascii="宋体" w:hAnsi="宋体" w:cs="宋体"/>
          <w:sz w:val="24"/>
        </w:rPr>
        <w:t xml:space="preserve">7.3 </w:t>
      </w:r>
      <w:r>
        <w:rPr>
          <w:rFonts w:hint="eastAsia" w:ascii="宋体" w:hAnsi="宋体" w:cs="宋体"/>
          <w:sz w:val="24"/>
        </w:rPr>
        <w:t>因不可抗力导致合同无法履行的时间自该不可抗力发生日起连续超过玖拾</w:t>
      </w:r>
      <w:r>
        <w:rPr>
          <w:rFonts w:ascii="宋体" w:hAnsi="宋体" w:cs="宋体"/>
          <w:sz w:val="24"/>
        </w:rPr>
        <w:t>(90)天，双方应协商决定继续履行本合同的条件或者变更本合同。如果自不可抗力发生后壹佰捌拾(180)天之内双方不能达成一致意见，任何一方有权解除本合同。</w:t>
      </w:r>
    </w:p>
    <w:p>
      <w:pPr>
        <w:adjustRightInd w:val="0"/>
        <w:snapToGrid w:val="0"/>
        <w:spacing w:line="460" w:lineRule="exact"/>
        <w:ind w:firstLine="480" w:firstLineChars="200"/>
        <w:rPr>
          <w:rFonts w:ascii="宋体" w:hAnsi="宋体" w:cs="宋体"/>
          <w:sz w:val="24"/>
        </w:rPr>
      </w:pPr>
      <w:r>
        <w:rPr>
          <w:rFonts w:ascii="宋体" w:hAnsi="宋体" w:cs="宋体"/>
          <w:sz w:val="24"/>
        </w:rPr>
        <w:t xml:space="preserve">7.4 </w:t>
      </w:r>
      <w:r>
        <w:rPr>
          <w:rFonts w:hint="eastAsia" w:ascii="宋体" w:hAnsi="宋体" w:cs="宋体"/>
          <w:sz w:val="24"/>
        </w:rPr>
        <w:t>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p>
    <w:p>
      <w:pPr>
        <w:adjustRightInd w:val="0"/>
        <w:snapToGrid w:val="0"/>
        <w:spacing w:line="460" w:lineRule="exact"/>
        <w:ind w:firstLine="482" w:firstLineChars="200"/>
        <w:rPr>
          <w:rFonts w:ascii="宋体" w:hAnsi="宋体" w:cs="宋体"/>
          <w:bCs/>
          <w:sz w:val="24"/>
        </w:rPr>
      </w:pPr>
      <w:r>
        <w:rPr>
          <w:rFonts w:hint="eastAsia" w:ascii="宋体" w:hAnsi="宋体" w:cs="宋体"/>
          <w:b/>
          <w:bCs/>
          <w:sz w:val="24"/>
        </w:rPr>
        <w:t>第八条</w:t>
      </w:r>
      <w:r>
        <w:rPr>
          <w:rFonts w:ascii="宋体" w:hAnsi="宋体" w:cs="宋体"/>
          <w:b/>
          <w:bCs/>
          <w:sz w:val="24"/>
        </w:rPr>
        <w:t xml:space="preserve"> </w:t>
      </w:r>
      <w:r>
        <w:rPr>
          <w:rFonts w:hint="eastAsia" w:ascii="宋体" w:hAnsi="宋体" w:cs="宋体"/>
          <w:b/>
          <w:bCs/>
          <w:sz w:val="24"/>
        </w:rPr>
        <w:t>争议解决</w:t>
      </w:r>
    </w:p>
    <w:p>
      <w:pPr>
        <w:spacing w:line="460" w:lineRule="exact"/>
        <w:ind w:firstLine="720" w:firstLineChars="300"/>
        <w:rPr>
          <w:rFonts w:ascii="宋体" w:hAnsi="宋体" w:cs="宋体"/>
          <w:sz w:val="24"/>
        </w:rPr>
      </w:pPr>
      <w:r>
        <w:rPr>
          <w:rFonts w:ascii="宋体" w:hAnsi="宋体" w:cs="宋体"/>
          <w:bCs/>
          <w:sz w:val="24"/>
        </w:rPr>
        <w:t>8.1</w:t>
      </w:r>
      <w:r>
        <w:rPr>
          <w:rFonts w:hint="eastAsia" w:ascii="宋体" w:hAnsi="宋体" w:cs="宋体"/>
          <w:bCs/>
          <w:sz w:val="24"/>
        </w:rPr>
        <w:t>因本合同引起的或与本合同有关的任何争议，甲乙双方应友好协商解决，如协商不成，任何一方可依法向甲方所在地</w:t>
      </w:r>
      <w:r>
        <w:rPr>
          <w:rFonts w:hint="eastAsia" w:ascii="宋体" w:hAnsi="宋体" w:cs="宋体"/>
          <w:bCs/>
          <w:sz w:val="24"/>
          <w:u w:val="single"/>
        </w:rPr>
        <w:t>人民法院</w:t>
      </w:r>
      <w:r>
        <w:rPr>
          <w:rFonts w:hint="eastAsia" w:ascii="宋体" w:hAnsi="宋体" w:cs="宋体"/>
          <w:bCs/>
          <w:sz w:val="24"/>
        </w:rPr>
        <w:t>提起诉讼</w:t>
      </w:r>
      <w:r>
        <w:rPr>
          <w:rFonts w:hint="eastAsia" w:ascii="宋体" w:hAnsi="宋体" w:cs="宋体"/>
          <w:sz w:val="24"/>
        </w:rPr>
        <w:t>。</w:t>
      </w:r>
    </w:p>
    <w:p>
      <w:pPr>
        <w:spacing w:line="460" w:lineRule="exact"/>
        <w:ind w:firstLine="720" w:firstLineChars="300"/>
        <w:rPr>
          <w:rFonts w:ascii="宋体" w:hAnsi="宋体" w:cs="宋体"/>
          <w:sz w:val="24"/>
        </w:rPr>
      </w:pPr>
      <w:r>
        <w:rPr>
          <w:rFonts w:ascii="宋体" w:hAnsi="宋体" w:cs="宋体"/>
          <w:sz w:val="24"/>
        </w:rPr>
        <w:t>8.2</w:t>
      </w:r>
      <w:r>
        <w:rPr>
          <w:rFonts w:hint="eastAsia" w:ascii="宋体" w:hAnsi="宋体" w:cs="宋体"/>
          <w:sz w:val="24"/>
        </w:rPr>
        <w:t>在甲方同意的情况下，除有争端之外的合同其它部分在争端解决前应继续执行。</w:t>
      </w:r>
    </w:p>
    <w:p>
      <w:pPr>
        <w:numPr>
          <w:ilvl w:val="255"/>
          <w:numId w:val="0"/>
        </w:numPr>
        <w:spacing w:line="460" w:lineRule="exact"/>
        <w:ind w:firstLine="482" w:firstLineChars="200"/>
        <w:rPr>
          <w:rFonts w:ascii="宋体" w:hAnsi="宋体" w:cs="宋体"/>
          <w:sz w:val="24"/>
        </w:rPr>
      </w:pPr>
      <w:r>
        <w:rPr>
          <w:rFonts w:hint="eastAsia" w:ascii="宋体" w:hAnsi="宋体" w:cs="宋体"/>
          <w:b/>
          <w:bCs/>
          <w:sz w:val="24"/>
        </w:rPr>
        <w:t>第九条</w:t>
      </w:r>
      <w:r>
        <w:rPr>
          <w:rFonts w:ascii="宋体" w:hAnsi="宋体" w:cs="宋体"/>
          <w:b/>
          <w:bCs/>
          <w:sz w:val="24"/>
        </w:rPr>
        <w:t xml:space="preserve"> </w:t>
      </w:r>
      <w:r>
        <w:rPr>
          <w:rFonts w:hint="eastAsia" w:ascii="宋体" w:hAnsi="宋体" w:cs="宋体"/>
          <w:b/>
          <w:bCs/>
          <w:sz w:val="24"/>
        </w:rPr>
        <w:t>其他</w:t>
      </w:r>
    </w:p>
    <w:p>
      <w:pPr>
        <w:spacing w:line="460" w:lineRule="exact"/>
        <w:ind w:firstLine="638" w:firstLineChars="266"/>
        <w:rPr>
          <w:rFonts w:ascii="宋体" w:hAnsi="宋体" w:cs="宋体"/>
          <w:b/>
          <w:sz w:val="24"/>
        </w:rPr>
      </w:pPr>
      <w:r>
        <w:rPr>
          <w:rFonts w:ascii="宋体" w:hAnsi="宋体" w:cs="宋体"/>
          <w:sz w:val="24"/>
        </w:rPr>
        <w:t>9.1</w:t>
      </w:r>
      <w:r>
        <w:rPr>
          <w:rFonts w:hint="eastAsia" w:ascii="宋体" w:hAnsi="宋体" w:cs="宋体"/>
          <w:sz w:val="24"/>
        </w:rPr>
        <w:t>本协议未尽事宜，可由甲乙双方另行签订补充协议。补充协议与本合同具有同等法律效力。</w:t>
      </w:r>
    </w:p>
    <w:p>
      <w:pPr>
        <w:spacing w:line="460" w:lineRule="exact"/>
        <w:ind w:firstLine="638" w:firstLineChars="266"/>
        <w:rPr>
          <w:rFonts w:ascii="宋体" w:hAnsi="宋体" w:cs="宋体"/>
          <w:sz w:val="24"/>
        </w:rPr>
      </w:pPr>
      <w:r>
        <w:rPr>
          <w:rFonts w:ascii="宋体" w:hAnsi="宋体" w:cs="宋体"/>
          <w:sz w:val="24"/>
        </w:rPr>
        <w:t>9.2</w:t>
      </w:r>
      <w:r>
        <w:rPr>
          <w:rFonts w:hint="eastAsia" w:ascii="宋体" w:hAnsi="宋体" w:cs="宋体"/>
          <w:sz w:val="24"/>
        </w:rPr>
        <w:t>本合同自甲乙双方法定代表人或授权代理人签字并加盖公章之日起生效。</w:t>
      </w:r>
    </w:p>
    <w:p>
      <w:pPr>
        <w:spacing w:line="460" w:lineRule="exact"/>
        <w:ind w:firstLine="638" w:firstLineChars="266"/>
        <w:rPr>
          <w:rFonts w:ascii="宋体" w:hAnsi="宋体" w:cs="宋体"/>
          <w:sz w:val="24"/>
        </w:rPr>
      </w:pPr>
      <w:r>
        <w:rPr>
          <w:rFonts w:ascii="宋体" w:hAnsi="宋体" w:cs="宋体"/>
          <w:sz w:val="24"/>
        </w:rPr>
        <w:t>9.3</w:t>
      </w:r>
      <w:r>
        <w:rPr>
          <w:rFonts w:hint="eastAsia" w:ascii="宋体" w:hAnsi="宋体" w:cs="宋体"/>
          <w:sz w:val="24"/>
        </w:rPr>
        <w:t>本合同一式</w:t>
      </w:r>
      <w:r>
        <w:rPr>
          <w:rFonts w:ascii="宋体" w:hAnsi="宋体" w:cs="宋体"/>
          <w:sz w:val="24"/>
          <w:u w:val="single"/>
        </w:rPr>
        <w:t xml:space="preserve"> </w:t>
      </w:r>
      <w:r>
        <w:rPr>
          <w:rFonts w:hint="eastAsia" w:ascii="宋体" w:hAnsi="宋体" w:cs="宋体"/>
          <w:sz w:val="24"/>
          <w:u w:val="single"/>
        </w:rPr>
        <w:t>柒</w:t>
      </w:r>
      <w:r>
        <w:rPr>
          <w:rFonts w:ascii="宋体" w:hAnsi="宋体" w:cs="宋体"/>
          <w:sz w:val="24"/>
          <w:u w:val="single"/>
        </w:rPr>
        <w:t xml:space="preserve"> </w:t>
      </w:r>
      <w:r>
        <w:rPr>
          <w:rFonts w:hint="eastAsia" w:ascii="宋体" w:hAnsi="宋体" w:cs="宋体"/>
          <w:sz w:val="24"/>
        </w:rPr>
        <w:t>份，甲方执</w:t>
      </w:r>
      <w:r>
        <w:rPr>
          <w:rFonts w:ascii="宋体" w:hAnsi="宋体" w:cs="宋体"/>
          <w:sz w:val="24"/>
          <w:u w:val="single"/>
        </w:rPr>
        <w:t xml:space="preserve"> </w:t>
      </w:r>
      <w:r>
        <w:rPr>
          <w:rFonts w:hint="eastAsia" w:ascii="宋体" w:hAnsi="宋体" w:cs="宋体"/>
          <w:sz w:val="24"/>
          <w:u w:val="single"/>
        </w:rPr>
        <w:t>伍</w:t>
      </w:r>
      <w:r>
        <w:rPr>
          <w:rFonts w:ascii="宋体" w:hAnsi="宋体" w:cs="宋体"/>
          <w:sz w:val="24"/>
          <w:u w:val="single"/>
        </w:rPr>
        <w:t xml:space="preserve"> </w:t>
      </w:r>
      <w:r>
        <w:rPr>
          <w:rFonts w:hint="eastAsia" w:ascii="宋体" w:hAnsi="宋体" w:cs="宋体"/>
          <w:sz w:val="24"/>
        </w:rPr>
        <w:t>份，乙方执</w:t>
      </w:r>
      <w:r>
        <w:rPr>
          <w:rFonts w:ascii="宋体" w:hAnsi="宋体" w:cs="宋体"/>
          <w:sz w:val="24"/>
          <w:u w:val="single"/>
        </w:rPr>
        <w:t xml:space="preserve"> </w:t>
      </w:r>
      <w:r>
        <w:rPr>
          <w:rFonts w:hint="eastAsia" w:ascii="宋体" w:hAnsi="宋体" w:cs="宋体"/>
          <w:sz w:val="24"/>
          <w:u w:val="single"/>
        </w:rPr>
        <w:t>贰</w:t>
      </w:r>
      <w:r>
        <w:rPr>
          <w:rFonts w:ascii="宋体" w:hAnsi="宋体" w:cs="宋体"/>
          <w:sz w:val="24"/>
          <w:u w:val="single"/>
        </w:rPr>
        <w:t xml:space="preserve"> </w:t>
      </w:r>
      <w:r>
        <w:rPr>
          <w:rFonts w:hint="eastAsia" w:ascii="宋体" w:hAnsi="宋体" w:cs="宋体"/>
          <w:sz w:val="24"/>
        </w:rPr>
        <w:t>份。均具有同等法律效力。</w:t>
      </w:r>
    </w:p>
    <w:p>
      <w:pPr>
        <w:adjustRightInd w:val="0"/>
        <w:snapToGrid w:val="0"/>
        <w:spacing w:line="460" w:lineRule="exact"/>
        <w:ind w:right="521" w:rightChars="248" w:firstLine="720" w:firstLineChars="300"/>
        <w:rPr>
          <w:rFonts w:ascii="宋体" w:hAnsi="宋体" w:cs="宋体"/>
          <w:sz w:val="24"/>
        </w:rPr>
      </w:pPr>
      <w:r>
        <w:rPr>
          <w:rFonts w:ascii="宋体" w:hAnsi="宋体" w:cs="宋体"/>
          <w:sz w:val="24"/>
        </w:rPr>
        <w:t>9.4</w:t>
      </w:r>
      <w:r>
        <w:rPr>
          <w:rFonts w:hint="eastAsia" w:ascii="宋体" w:hAnsi="宋体" w:cs="宋体"/>
          <w:sz w:val="24"/>
        </w:rPr>
        <w:t>补充条款：</w:t>
      </w:r>
      <w:r>
        <w:rPr>
          <w:rFonts w:ascii="宋体" w:hAnsi="宋体" w:cs="宋体"/>
          <w:sz w:val="24"/>
          <w:u w:val="single"/>
        </w:rPr>
        <w:t xml:space="preserve"> / </w:t>
      </w:r>
      <w:r>
        <w:rPr>
          <w:rFonts w:hint="eastAsia" w:ascii="宋体" w:hAnsi="宋体" w:cs="宋体"/>
          <w:sz w:val="24"/>
          <w:u w:val="single"/>
        </w:rPr>
        <w:t>。</w:t>
      </w:r>
      <w:r>
        <w:rPr>
          <w:rFonts w:ascii="宋体" w:hAnsi="宋体" w:cs="宋体"/>
          <w:sz w:val="24"/>
        </w:rPr>
        <w:t xml:space="preserve">    </w:t>
      </w:r>
    </w:p>
    <w:bookmarkEnd w:id="27"/>
    <w:bookmarkEnd w:id="28"/>
    <w:bookmarkEnd w:id="29"/>
    <w:bookmarkEnd w:id="30"/>
    <w:bookmarkEnd w:id="31"/>
    <w:bookmarkEnd w:id="32"/>
    <w:bookmarkEnd w:id="33"/>
    <w:bookmarkEnd w:id="34"/>
    <w:bookmarkEnd w:id="35"/>
    <w:bookmarkEnd w:id="36"/>
    <w:bookmarkEnd w:id="37"/>
    <w:bookmarkEnd w:id="38"/>
    <w:bookmarkEnd w:id="39"/>
    <w:p>
      <w:pPr>
        <w:spacing w:line="460" w:lineRule="exact"/>
        <w:ind w:firstLine="480"/>
        <w:rPr>
          <w:rFonts w:ascii="宋体" w:hAnsi="宋体" w:cs="宋体"/>
          <w:sz w:val="24"/>
        </w:rPr>
      </w:pPr>
      <w:r>
        <w:rPr>
          <w:rFonts w:hint="eastAsia" w:ascii="宋体" w:hAnsi="宋体" w:cs="宋体"/>
          <w:sz w:val="24"/>
        </w:rPr>
        <w:t>附件：</w:t>
      </w:r>
      <w:r>
        <w:rPr>
          <w:rFonts w:ascii="宋体" w:hAnsi="宋体" w:cs="宋体"/>
          <w:sz w:val="24"/>
        </w:rPr>
        <w:t>1</w:t>
      </w:r>
      <w:r>
        <w:rPr>
          <w:rFonts w:hint="eastAsia" w:ascii="宋体" w:hAnsi="宋体" w:cs="宋体"/>
          <w:sz w:val="24"/>
        </w:rPr>
        <w:t>.发包通知书</w:t>
      </w:r>
      <w:r>
        <w:rPr>
          <w:rFonts w:ascii="宋体" w:hAnsi="宋体" w:cs="宋体"/>
          <w:sz w:val="24"/>
        </w:rPr>
        <w:t>/</w:t>
      </w:r>
      <w:r>
        <w:rPr>
          <w:rFonts w:hint="eastAsia" w:ascii="宋体" w:hAnsi="宋体" w:cs="宋体"/>
          <w:sz w:val="24"/>
        </w:rPr>
        <w:t>委托函</w:t>
      </w:r>
    </w:p>
    <w:p>
      <w:pPr>
        <w:spacing w:line="460" w:lineRule="exact"/>
        <w:rPr>
          <w:rFonts w:ascii="宋体" w:hAnsi="宋体" w:cs="宋体"/>
          <w:sz w:val="24"/>
        </w:rPr>
      </w:pPr>
      <w:r>
        <w:rPr>
          <w:rFonts w:ascii="宋体" w:hAnsi="宋体" w:cs="宋体"/>
          <w:sz w:val="24"/>
        </w:rPr>
        <w:t xml:space="preserve">          2</w:t>
      </w:r>
      <w:r>
        <w:rPr>
          <w:rFonts w:hint="eastAsia" w:ascii="宋体" w:hAnsi="宋体" w:cs="宋体"/>
          <w:sz w:val="24"/>
        </w:rPr>
        <w:t>.廉洁协议</w:t>
      </w:r>
    </w:p>
    <w:p>
      <w:pPr>
        <w:spacing w:line="460" w:lineRule="exact"/>
        <w:ind w:left="1200"/>
        <w:rPr>
          <w:rFonts w:ascii="宋体" w:hAnsi="宋体" w:cs="宋体"/>
          <w:kern w:val="0"/>
          <w:sz w:val="24"/>
        </w:rPr>
      </w:pPr>
      <w:r>
        <w:rPr>
          <w:rFonts w:hint="eastAsia" w:ascii="宋体" w:hAnsi="宋体" w:cs="宋体"/>
          <w:kern w:val="0"/>
          <w:sz w:val="24"/>
        </w:rPr>
        <w:t>3.物品采购安全协议书</w:t>
      </w:r>
    </w:p>
    <w:p>
      <w:pPr>
        <w:spacing w:line="460" w:lineRule="exact"/>
        <w:ind w:left="1200"/>
        <w:rPr>
          <w:rFonts w:ascii="宋体" w:hAnsi="宋体" w:cs="宋体"/>
          <w:kern w:val="0"/>
          <w:sz w:val="24"/>
        </w:rPr>
      </w:pPr>
      <w:r>
        <w:rPr>
          <w:rFonts w:hint="eastAsia" w:ascii="宋体" w:hAnsi="宋体" w:cs="宋体"/>
          <w:kern w:val="0"/>
          <w:sz w:val="24"/>
        </w:rPr>
        <w:t>4.采购需求</w:t>
      </w:r>
    </w:p>
    <w:p>
      <w:pPr>
        <w:spacing w:line="460" w:lineRule="exact"/>
        <w:ind w:left="1200"/>
        <w:rPr>
          <w:rFonts w:ascii="宋体" w:hAnsi="宋体" w:cs="宋体"/>
          <w:kern w:val="0"/>
          <w:sz w:val="24"/>
          <w:lang w:val="zh-CN"/>
        </w:rPr>
      </w:pPr>
      <w:r>
        <w:rPr>
          <w:rFonts w:hint="eastAsia" w:ascii="宋体" w:hAnsi="宋体" w:cs="宋体"/>
          <w:kern w:val="0"/>
          <w:sz w:val="24"/>
          <w:lang w:val="zh-CN"/>
        </w:rPr>
        <w:t>5.保密协议</w:t>
      </w:r>
    </w:p>
    <w:tbl>
      <w:tblPr>
        <w:tblStyle w:val="27"/>
        <w:tblpPr w:leftFromText="180" w:rightFromText="180" w:vertAnchor="text" w:horzAnchor="page" w:tblpX="1450" w:tblpY="447"/>
        <w:tblOverlap w:val="never"/>
        <w:tblW w:w="9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2"/>
        <w:gridCol w:w="4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812" w:type="dxa"/>
            <w:tcBorders>
              <w:top w:val="nil"/>
              <w:left w:val="nil"/>
              <w:bottom w:val="nil"/>
              <w:right w:val="nil"/>
            </w:tcBorders>
          </w:tcPr>
          <w:p>
            <w:pPr>
              <w:adjustRightInd w:val="0"/>
              <w:snapToGrid w:val="0"/>
              <w:spacing w:line="460" w:lineRule="exact"/>
              <w:rPr>
                <w:rFonts w:ascii="宋体" w:hAnsi="宋体" w:cs="宋体"/>
                <w:sz w:val="24"/>
              </w:rPr>
            </w:pPr>
            <w:r>
              <w:rPr>
                <w:rFonts w:hint="eastAsia" w:ascii="宋体" w:hAnsi="宋体" w:cs="宋体"/>
                <w:b/>
                <w:sz w:val="24"/>
              </w:rPr>
              <w:t>甲方</w:t>
            </w:r>
            <w:r>
              <w:rPr>
                <w:rFonts w:hint="eastAsia" w:ascii="宋体" w:hAnsi="宋体" w:cs="宋体"/>
                <w:sz w:val="24"/>
              </w:rPr>
              <w:t>：广州市净水有限公司（盖章）</w:t>
            </w:r>
          </w:p>
          <w:p>
            <w:pPr>
              <w:adjustRightInd w:val="0"/>
              <w:snapToGrid w:val="0"/>
              <w:spacing w:line="460" w:lineRule="exact"/>
              <w:rPr>
                <w:rFonts w:ascii="宋体" w:hAnsi="宋体" w:cs="宋体"/>
                <w:sz w:val="24"/>
              </w:rPr>
            </w:pPr>
          </w:p>
        </w:tc>
        <w:tc>
          <w:tcPr>
            <w:tcW w:w="4696" w:type="dxa"/>
            <w:tcBorders>
              <w:top w:val="nil"/>
              <w:left w:val="nil"/>
              <w:bottom w:val="nil"/>
              <w:right w:val="nil"/>
            </w:tcBorders>
          </w:tcPr>
          <w:p>
            <w:pPr>
              <w:adjustRightInd w:val="0"/>
              <w:snapToGrid w:val="0"/>
              <w:spacing w:line="460" w:lineRule="exact"/>
              <w:rPr>
                <w:rFonts w:ascii="宋体" w:hAnsi="宋体" w:cs="宋体"/>
                <w:sz w:val="24"/>
              </w:rPr>
            </w:pPr>
            <w:r>
              <w:rPr>
                <w:rFonts w:hint="eastAsia" w:ascii="宋体" w:hAnsi="宋体" w:cs="宋体"/>
                <w:b/>
                <w:sz w:val="24"/>
              </w:rPr>
              <w:t>乙方</w:t>
            </w:r>
            <w:r>
              <w:rPr>
                <w:rFonts w:hint="eastAsia" w:ascii="宋体" w:hAnsi="宋体" w:cs="宋体"/>
                <w:sz w:val="24"/>
              </w:rPr>
              <w:t>：</w:t>
            </w:r>
            <w:r>
              <w:rPr>
                <w:rFonts w:ascii="宋体" w:hAnsi="宋体" w:cs="宋体"/>
                <w:sz w:val="24"/>
              </w:rPr>
              <w:t xml:space="preserve">                 </w:t>
            </w:r>
            <w:r>
              <w:rPr>
                <w:rFonts w:hint="eastAsia" w:ascii="宋体" w:hAnsi="宋体" w:cs="宋体"/>
                <w:sz w:val="24"/>
              </w:rPr>
              <w:t>（盖章）</w:t>
            </w:r>
          </w:p>
          <w:p>
            <w:pPr>
              <w:adjustRightInd w:val="0"/>
              <w:snapToGrid w:val="0"/>
              <w:spacing w:line="460" w:lineRule="exact"/>
              <w:ind w:firstLine="240" w:firstLineChars="10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460" w:lineRule="exact"/>
              <w:rPr>
                <w:rFonts w:ascii="宋体" w:hAnsi="宋体" w:cs="宋体"/>
                <w:sz w:val="24"/>
              </w:rPr>
            </w:pPr>
            <w:r>
              <w:rPr>
                <w:rFonts w:hint="eastAsia" w:ascii="宋体" w:hAnsi="宋体" w:cs="宋体"/>
                <w:sz w:val="24"/>
              </w:rPr>
              <w:t>法定代表人或授权代理人：</w:t>
            </w:r>
          </w:p>
        </w:tc>
        <w:tc>
          <w:tcPr>
            <w:tcW w:w="4696" w:type="dxa"/>
            <w:tcBorders>
              <w:top w:val="nil"/>
              <w:left w:val="nil"/>
              <w:bottom w:val="nil"/>
              <w:right w:val="nil"/>
            </w:tcBorders>
          </w:tcPr>
          <w:p>
            <w:pPr>
              <w:adjustRightInd w:val="0"/>
              <w:snapToGrid w:val="0"/>
              <w:spacing w:line="460" w:lineRule="exact"/>
              <w:rPr>
                <w:rFonts w:ascii="宋体" w:hAnsi="宋体" w:cs="宋体"/>
                <w:sz w:val="24"/>
              </w:rPr>
            </w:pPr>
            <w:r>
              <w:rPr>
                <w:rFonts w:hint="eastAsia" w:ascii="宋体" w:hAnsi="宋体" w:cs="宋体"/>
                <w:sz w:val="24"/>
              </w:rPr>
              <w:t>法定代表人或授权代理人：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460" w:lineRule="exact"/>
              <w:rPr>
                <w:rFonts w:ascii="宋体" w:hAnsi="宋体" w:cs="宋体"/>
                <w:sz w:val="24"/>
              </w:rPr>
            </w:pPr>
            <w:r>
              <w:rPr>
                <w:rFonts w:hint="eastAsia" w:ascii="宋体" w:hAnsi="宋体" w:cs="宋体"/>
                <w:sz w:val="24"/>
              </w:rPr>
              <w:t>经办人：</w:t>
            </w:r>
          </w:p>
        </w:tc>
        <w:tc>
          <w:tcPr>
            <w:tcW w:w="4696" w:type="dxa"/>
            <w:tcBorders>
              <w:top w:val="nil"/>
              <w:left w:val="nil"/>
              <w:bottom w:val="nil"/>
              <w:right w:val="nil"/>
            </w:tcBorders>
          </w:tcPr>
          <w:p>
            <w:pPr>
              <w:adjustRightInd w:val="0"/>
              <w:snapToGrid w:val="0"/>
              <w:spacing w:line="460" w:lineRule="exact"/>
              <w:rPr>
                <w:rFonts w:ascii="宋体" w:hAnsi="宋体" w:cs="宋体"/>
                <w:sz w:val="24"/>
              </w:rPr>
            </w:pPr>
            <w:r>
              <w:rPr>
                <w:rFonts w:hint="eastAsia" w:ascii="宋体" w:hAnsi="宋体" w:cs="宋体"/>
                <w:sz w:val="24"/>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460" w:lineRule="exact"/>
              <w:rPr>
                <w:rFonts w:ascii="宋体" w:hAnsi="宋体" w:cs="宋体"/>
                <w:sz w:val="24"/>
              </w:rPr>
            </w:pPr>
            <w:r>
              <w:rPr>
                <w:rFonts w:hint="eastAsia" w:ascii="宋体" w:hAnsi="宋体" w:cs="宋体"/>
                <w:sz w:val="24"/>
              </w:rPr>
              <w:t>电话：</w:t>
            </w:r>
          </w:p>
        </w:tc>
        <w:tc>
          <w:tcPr>
            <w:tcW w:w="4696" w:type="dxa"/>
            <w:tcBorders>
              <w:top w:val="nil"/>
              <w:left w:val="nil"/>
              <w:bottom w:val="nil"/>
              <w:right w:val="nil"/>
            </w:tcBorders>
          </w:tcPr>
          <w:p>
            <w:pPr>
              <w:adjustRightInd w:val="0"/>
              <w:snapToGrid w:val="0"/>
              <w:spacing w:line="460" w:lineRule="exact"/>
              <w:rPr>
                <w:rFonts w:ascii="宋体" w:hAnsi="宋体" w:cs="宋体"/>
                <w:sz w:val="24"/>
              </w:rPr>
            </w:pPr>
            <w:r>
              <w:rPr>
                <w:rFonts w:hint="eastAsia" w:ascii="宋体" w:hAnsi="宋体" w:cs="宋体"/>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460" w:lineRule="exact"/>
              <w:rPr>
                <w:rFonts w:ascii="宋体" w:hAnsi="宋体" w:cs="宋体"/>
                <w:sz w:val="24"/>
              </w:rPr>
            </w:pPr>
            <w:r>
              <w:rPr>
                <w:rFonts w:hint="eastAsia" w:ascii="宋体" w:hAnsi="宋体" w:cs="宋体"/>
                <w:sz w:val="24"/>
              </w:rPr>
              <w:t>传真：</w:t>
            </w:r>
          </w:p>
        </w:tc>
        <w:tc>
          <w:tcPr>
            <w:tcW w:w="4696" w:type="dxa"/>
            <w:tcBorders>
              <w:top w:val="nil"/>
              <w:left w:val="nil"/>
              <w:bottom w:val="nil"/>
              <w:right w:val="nil"/>
            </w:tcBorders>
          </w:tcPr>
          <w:p>
            <w:pPr>
              <w:adjustRightInd w:val="0"/>
              <w:snapToGrid w:val="0"/>
              <w:spacing w:line="460" w:lineRule="exact"/>
              <w:rPr>
                <w:rFonts w:ascii="宋体" w:hAnsi="宋体" w:cs="宋体"/>
                <w:sz w:val="24"/>
              </w:rPr>
            </w:pPr>
            <w:r>
              <w:rPr>
                <w:rFonts w:hint="eastAsia" w:ascii="宋体" w:hAnsi="宋体" w:cs="宋体"/>
                <w:sz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4812" w:type="dxa"/>
            <w:tcBorders>
              <w:top w:val="nil"/>
              <w:left w:val="nil"/>
              <w:bottom w:val="nil"/>
              <w:right w:val="nil"/>
            </w:tcBorders>
          </w:tcPr>
          <w:p>
            <w:pPr>
              <w:adjustRightInd w:val="0"/>
              <w:snapToGrid w:val="0"/>
              <w:spacing w:line="460" w:lineRule="exact"/>
              <w:rPr>
                <w:rFonts w:ascii="宋体" w:hAnsi="宋体" w:cs="宋体"/>
                <w:sz w:val="24"/>
              </w:rPr>
            </w:pPr>
            <w:r>
              <w:rPr>
                <w:rFonts w:ascii="宋体" w:hAnsi="宋体" w:cs="宋体"/>
                <w:sz w:val="24"/>
              </w:rPr>
              <w:t xml:space="preserve">                                                    </w:t>
            </w:r>
            <w:r>
              <w:rPr>
                <w:rFonts w:hint="eastAsia" w:ascii="宋体" w:hAnsi="宋体" w:cs="宋体"/>
                <w:sz w:val="24"/>
              </w:rPr>
              <w:t>签订日期：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p>
        </w:tc>
        <w:tc>
          <w:tcPr>
            <w:tcW w:w="4696" w:type="dxa"/>
            <w:tcBorders>
              <w:top w:val="nil"/>
              <w:left w:val="nil"/>
              <w:bottom w:val="nil"/>
              <w:right w:val="nil"/>
            </w:tcBorders>
            <w:vAlign w:val="bottom"/>
          </w:tcPr>
          <w:p>
            <w:pPr>
              <w:adjustRightInd w:val="0"/>
              <w:snapToGrid w:val="0"/>
              <w:spacing w:line="460" w:lineRule="exact"/>
              <w:ind w:left="4181" w:hanging="4180" w:hangingChars="1742"/>
              <w:rPr>
                <w:rFonts w:ascii="宋体" w:hAnsi="宋体" w:cs="宋体"/>
                <w:sz w:val="24"/>
              </w:rPr>
            </w:pPr>
            <w:r>
              <w:rPr>
                <w:rFonts w:hint="eastAsia" w:ascii="宋体" w:hAnsi="宋体" w:cs="宋体"/>
                <w:sz w:val="24"/>
              </w:rPr>
              <w:t>签订日期：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p>
        </w:tc>
      </w:tr>
    </w:tbl>
    <w:p>
      <w:pPr>
        <w:spacing w:line="360" w:lineRule="auto"/>
        <w:rPr>
          <w:rFonts w:ascii="宋体" w:hAnsi="宋体" w:cs="宋体"/>
          <w:b/>
          <w:bCs/>
          <w:szCs w:val="21"/>
        </w:rPr>
      </w:pPr>
    </w:p>
    <w:p>
      <w:pPr>
        <w:widowControl/>
        <w:jc w:val="left"/>
        <w:rPr>
          <w:rFonts w:ascii="宋体" w:hAnsi="宋体" w:cs="宋体"/>
          <w:b/>
          <w:bCs/>
          <w:szCs w:val="21"/>
        </w:rPr>
      </w:pPr>
      <w:r>
        <w:rPr>
          <w:rFonts w:ascii="宋体" w:hAnsi="宋体" w:cs="宋体"/>
          <w:b/>
          <w:bCs/>
          <w:szCs w:val="21"/>
        </w:rPr>
        <w:br w:type="page"/>
      </w:r>
    </w:p>
    <w:p>
      <w:pPr>
        <w:widowControl/>
        <w:spacing w:line="360" w:lineRule="auto"/>
        <w:jc w:val="left"/>
        <w:rPr>
          <w:rFonts w:ascii="宋体" w:hAnsi="宋体" w:cs="宋体"/>
          <w:b/>
          <w:bCs/>
          <w:szCs w:val="21"/>
        </w:rPr>
      </w:pPr>
      <w:r>
        <w:rPr>
          <w:rFonts w:hint="eastAsia" w:ascii="宋体" w:hAnsi="宋体" w:cs="宋体"/>
          <w:b/>
          <w:bCs/>
          <w:szCs w:val="21"/>
        </w:rPr>
        <w:t>附件1：发包通知书/委托函</w:t>
      </w:r>
    </w:p>
    <w:p>
      <w:pPr>
        <w:widowControl/>
        <w:jc w:val="left"/>
        <w:rPr>
          <w:rFonts w:ascii="宋体" w:hAnsi="宋体" w:cs="宋体"/>
          <w:b/>
          <w:bCs/>
          <w:szCs w:val="21"/>
        </w:rPr>
      </w:pPr>
      <w:r>
        <w:rPr>
          <w:rFonts w:hint="eastAsia" w:ascii="宋体" w:hAnsi="宋体" w:cs="宋体"/>
          <w:b/>
          <w:bCs/>
          <w:szCs w:val="21"/>
        </w:rPr>
        <w:t>附件</w:t>
      </w:r>
      <w:r>
        <w:rPr>
          <w:rFonts w:ascii="宋体" w:hAnsi="宋体" w:cs="宋体"/>
          <w:b/>
          <w:bCs/>
          <w:szCs w:val="21"/>
        </w:rPr>
        <w:t>2</w:t>
      </w:r>
      <w:r>
        <w:rPr>
          <w:rFonts w:hint="eastAsia" w:ascii="宋体" w:hAnsi="宋体" w:cs="宋体"/>
          <w:b/>
          <w:bCs/>
          <w:szCs w:val="21"/>
        </w:rPr>
        <w:t>：廉洁协议</w:t>
      </w:r>
    </w:p>
    <w:p>
      <w:pPr>
        <w:spacing w:line="360" w:lineRule="auto"/>
        <w:jc w:val="center"/>
        <w:rPr>
          <w:rFonts w:ascii="宋体" w:hAnsi="宋体"/>
          <w:b/>
          <w:sz w:val="32"/>
          <w:szCs w:val="32"/>
        </w:rPr>
      </w:pPr>
      <w:r>
        <w:rPr>
          <w:rFonts w:hint="eastAsia" w:ascii="宋体" w:hAnsi="宋体"/>
          <w:b/>
          <w:sz w:val="32"/>
          <w:szCs w:val="32"/>
        </w:rPr>
        <w:t>廉洁协议</w:t>
      </w:r>
    </w:p>
    <w:p>
      <w:pPr>
        <w:spacing w:line="360" w:lineRule="auto"/>
        <w:ind w:firstLine="540" w:firstLineChars="225"/>
        <w:rPr>
          <w:rFonts w:ascii="宋体" w:hAnsi="宋体"/>
          <w:sz w:val="24"/>
        </w:rPr>
      </w:pPr>
      <w:r>
        <w:rPr>
          <w:rFonts w:hint="eastAsia" w:ascii="宋体" w:hAnsi="宋体"/>
          <w:sz w:val="24"/>
        </w:rPr>
        <w:t>为促进双方诚信经营、廉洁从业，防范商业贿赂，保护国家、集体和当事人的合法权益，根据国家有关法律法规和广东省、广州市廉政建设的规定，</w:t>
      </w:r>
      <w:r>
        <w:rPr>
          <w:rFonts w:ascii="宋体" w:hAnsi="宋体"/>
          <w:sz w:val="24"/>
          <w:u w:val="single"/>
        </w:rPr>
        <w:t>广州市净水有限公司</w:t>
      </w:r>
      <w:r>
        <w:rPr>
          <w:rFonts w:ascii="宋体" w:hAnsi="宋体"/>
          <w:sz w:val="24"/>
        </w:rPr>
        <w:t>(以下称甲方)与</w:t>
      </w:r>
      <w:r>
        <w:rPr>
          <w:rFonts w:hint="eastAsia" w:ascii="宋体" w:hAnsi="宋体"/>
          <w:sz w:val="24"/>
        </w:rPr>
        <w:t>(以下称乙方</w:t>
      </w:r>
      <w:r>
        <w:rPr>
          <w:rFonts w:ascii="宋体" w:hAnsi="宋体"/>
          <w:sz w:val="24"/>
        </w:rPr>
        <w:t>)，特此订立本协议共同遵照执行。</w:t>
      </w:r>
    </w:p>
    <w:p>
      <w:pPr>
        <w:spacing w:line="360" w:lineRule="auto"/>
        <w:ind w:firstLine="482" w:firstLineChars="200"/>
        <w:rPr>
          <w:rFonts w:ascii="宋体" w:hAnsi="宋体"/>
          <w:sz w:val="24"/>
        </w:rPr>
      </w:pPr>
      <w:r>
        <w:rPr>
          <w:rFonts w:hint="eastAsia" w:ascii="宋体" w:hAnsi="宋体"/>
          <w:b/>
          <w:bCs/>
          <w:sz w:val="24"/>
        </w:rPr>
        <w:t>第一条甲乙双方的权利和义务</w:t>
      </w:r>
    </w:p>
    <w:p>
      <w:pPr>
        <w:spacing w:line="360" w:lineRule="auto"/>
        <w:ind w:firstLine="360" w:firstLineChars="150"/>
        <w:rPr>
          <w:rFonts w:ascii="宋体" w:hAnsi="宋体"/>
          <w:sz w:val="24"/>
        </w:rPr>
      </w:pPr>
      <w:r>
        <w:rPr>
          <w:rFonts w:hint="eastAsia" w:ascii="宋体" w:hAnsi="宋体"/>
          <w:sz w:val="24"/>
        </w:rPr>
        <w:t>（一）甲乙双方严格遵守国家关于市场准入、项目询价报价、市场经营活动等有关法律、法规相关政策及廉政建设的各项规定。</w:t>
      </w:r>
    </w:p>
    <w:p>
      <w:pPr>
        <w:spacing w:line="360" w:lineRule="auto"/>
        <w:ind w:firstLine="360" w:firstLineChars="150"/>
        <w:rPr>
          <w:rFonts w:ascii="宋体" w:hAnsi="宋体"/>
          <w:sz w:val="24"/>
        </w:rPr>
      </w:pPr>
      <w:r>
        <w:rPr>
          <w:rFonts w:hint="eastAsia" w:ascii="宋体" w:hAnsi="宋体"/>
          <w:sz w:val="24"/>
        </w:rPr>
        <w:t>（二）严格执行</w:t>
      </w:r>
      <w:r>
        <w:rPr>
          <w:rFonts w:hint="eastAsia" w:ascii="宋体" w:hAnsi="宋体"/>
          <w:sz w:val="24"/>
          <w:u w:val="single"/>
        </w:rPr>
        <w:t xml:space="preserve"> 污水处理过程精细化控制研究项目仪表采购项目</w:t>
      </w:r>
      <w:r>
        <w:rPr>
          <w:rFonts w:ascii="宋体" w:hAnsi="宋体"/>
          <w:sz w:val="24"/>
          <w:u w:val="single"/>
        </w:rPr>
        <w:t xml:space="preserve"> </w:t>
      </w:r>
      <w:r>
        <w:rPr>
          <w:rFonts w:hint="eastAsia" w:ascii="宋体" w:hAnsi="宋体"/>
          <w:sz w:val="24"/>
        </w:rPr>
        <w:t>合同（以下简称：主合同），自觉履行合同约定的相关义务。</w:t>
      </w:r>
    </w:p>
    <w:p>
      <w:pPr>
        <w:spacing w:line="360" w:lineRule="auto"/>
        <w:ind w:firstLine="360" w:firstLineChars="150"/>
        <w:rPr>
          <w:rFonts w:ascii="宋体" w:hAnsi="宋体"/>
          <w:sz w:val="24"/>
        </w:rPr>
      </w:pPr>
      <w:r>
        <w:rPr>
          <w:rFonts w:hint="eastAsia" w:ascii="宋体" w:hAnsi="宋体"/>
          <w:sz w:val="24"/>
        </w:rPr>
        <w:t>（三）在业务活动中坚持公开、公正、诚信、透明的原则，不得损害国家、集体利益。</w:t>
      </w:r>
    </w:p>
    <w:p>
      <w:pPr>
        <w:spacing w:line="360" w:lineRule="auto"/>
        <w:ind w:firstLine="360" w:firstLineChars="150"/>
        <w:rPr>
          <w:rFonts w:ascii="宋体" w:hAnsi="宋体"/>
          <w:sz w:val="24"/>
        </w:rPr>
      </w:pPr>
      <w:r>
        <w:rPr>
          <w:rFonts w:hint="eastAsia" w:ascii="宋体" w:hAnsi="宋体"/>
          <w:sz w:val="24"/>
        </w:rPr>
        <w:t>（四）建立健全廉洁从业制度，开展廉洁教育，公布举报电话，监督并认真查处不廉洁及违法违纪行为。</w:t>
      </w:r>
    </w:p>
    <w:p>
      <w:pPr>
        <w:spacing w:line="360" w:lineRule="auto"/>
        <w:ind w:firstLine="360" w:firstLineChars="150"/>
        <w:rPr>
          <w:rFonts w:ascii="宋体" w:hAnsi="宋体"/>
          <w:sz w:val="24"/>
        </w:rPr>
      </w:pPr>
      <w:r>
        <w:rPr>
          <w:rFonts w:hint="eastAsia" w:ascii="宋体" w:hAnsi="宋体"/>
          <w:sz w:val="24"/>
        </w:rPr>
        <w:t>（五）发现对方在业务活动中有不廉洁行为，应及时提醒对方纠正。情节严重的，应向其上级有关部门举报，建议给予处理，并有权要求告知处理结果。</w:t>
      </w:r>
    </w:p>
    <w:p>
      <w:pPr>
        <w:spacing w:line="360" w:lineRule="auto"/>
        <w:ind w:firstLine="482" w:firstLineChars="200"/>
        <w:rPr>
          <w:rFonts w:ascii="宋体" w:hAnsi="宋体"/>
          <w:sz w:val="24"/>
        </w:rPr>
      </w:pPr>
      <w:r>
        <w:rPr>
          <w:rFonts w:hint="eastAsia" w:ascii="宋体" w:hAnsi="宋体"/>
          <w:b/>
          <w:bCs/>
          <w:sz w:val="24"/>
        </w:rPr>
        <w:t>第二条甲方的义务</w:t>
      </w:r>
    </w:p>
    <w:p>
      <w:pPr>
        <w:spacing w:line="360" w:lineRule="auto"/>
        <w:ind w:firstLine="480" w:firstLineChars="200"/>
        <w:rPr>
          <w:rFonts w:ascii="宋体" w:hAnsi="宋体"/>
          <w:sz w:val="24"/>
        </w:rPr>
      </w:pPr>
      <w:r>
        <w:rPr>
          <w:rFonts w:hint="eastAsia" w:ascii="宋体" w:hAnsi="宋体"/>
          <w:sz w:val="24"/>
        </w:rPr>
        <w:t>（一）甲方及其工作人员不得索要或接受乙方的礼金、有价证券和贵重物品，不得在乙方报销任何应由甲方或个人支付的费用等。</w:t>
      </w:r>
    </w:p>
    <w:p>
      <w:pPr>
        <w:spacing w:line="360" w:lineRule="auto"/>
        <w:ind w:firstLine="480" w:firstLineChars="200"/>
        <w:rPr>
          <w:rFonts w:ascii="宋体" w:hAnsi="宋体"/>
          <w:sz w:val="24"/>
        </w:rPr>
      </w:pPr>
      <w:r>
        <w:rPr>
          <w:rFonts w:hint="eastAsia" w:ascii="宋体" w:hAnsi="宋体"/>
          <w:sz w:val="24"/>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spacing w:line="360" w:lineRule="auto"/>
        <w:ind w:left="15" w:leftChars="7" w:firstLine="480" w:firstLineChars="200"/>
        <w:rPr>
          <w:rFonts w:ascii="宋体" w:hAnsi="宋体"/>
          <w:sz w:val="24"/>
        </w:rPr>
      </w:pPr>
      <w:r>
        <w:rPr>
          <w:rFonts w:hint="eastAsia" w:ascii="宋体" w:hAnsi="宋体"/>
          <w:sz w:val="24"/>
        </w:rPr>
        <w:t>（三）甲方及其工作人员不得要求或者接受乙方为其住房装修、婚丧嫁娶活动、配偶子女工作安排以及出国出境、旅游等提供方便等。</w:t>
      </w:r>
    </w:p>
    <w:p>
      <w:pPr>
        <w:spacing w:line="360" w:lineRule="auto"/>
        <w:ind w:left="15" w:leftChars="7" w:firstLine="480" w:firstLineChars="200"/>
        <w:rPr>
          <w:rFonts w:ascii="宋体" w:hAnsi="宋体"/>
          <w:sz w:val="24"/>
        </w:rPr>
      </w:pPr>
      <w:r>
        <w:rPr>
          <w:rFonts w:hint="eastAsia" w:ascii="宋体" w:hAnsi="宋体"/>
          <w:sz w:val="24"/>
        </w:rPr>
        <w:t>（四）甲方工作人员不得在乙方或与乙方有股权关联的企业兼职，不得向乙方介绍家属或者亲友从事与甲方业务有关的经济活动。</w:t>
      </w:r>
    </w:p>
    <w:p>
      <w:pPr>
        <w:spacing w:line="360" w:lineRule="auto"/>
        <w:ind w:left="15" w:leftChars="7" w:firstLine="480" w:firstLineChars="200"/>
        <w:rPr>
          <w:rFonts w:ascii="宋体" w:hAnsi="宋体"/>
          <w:sz w:val="24"/>
        </w:rPr>
      </w:pPr>
      <w:r>
        <w:rPr>
          <w:rFonts w:hint="eastAsia" w:ascii="宋体" w:hAnsi="宋体"/>
          <w:sz w:val="24"/>
        </w:rPr>
        <w:t>（五）甲方工作人员不得以明显低于市场的价格向乙方购买房屋、汽车等物品；不得</w:t>
      </w:r>
      <w:r>
        <w:rPr>
          <w:rFonts w:ascii="宋体" w:hAnsi="宋体"/>
          <w:sz w:val="24"/>
        </w:rPr>
        <w:t>以明显高于市场的价格向</w:t>
      </w:r>
      <w:r>
        <w:rPr>
          <w:rFonts w:hint="eastAsia" w:ascii="宋体" w:hAnsi="宋体"/>
          <w:sz w:val="24"/>
        </w:rPr>
        <w:t>乙方</w:t>
      </w:r>
      <w:r>
        <w:rPr>
          <w:rFonts w:ascii="宋体" w:hAnsi="宋体"/>
          <w:sz w:val="24"/>
        </w:rPr>
        <w:t>出售房屋、汽车等物品；</w:t>
      </w:r>
      <w:r>
        <w:rPr>
          <w:rFonts w:hint="eastAsia" w:ascii="宋体" w:hAnsi="宋体"/>
          <w:sz w:val="24"/>
        </w:rPr>
        <w:t>不得使用乙方提供的与工作无关的房屋、汽车等物品；不得以其他交易形式非法收受请托人财物。</w:t>
      </w:r>
    </w:p>
    <w:p>
      <w:pPr>
        <w:spacing w:line="360" w:lineRule="auto"/>
        <w:ind w:left="15" w:leftChars="7" w:firstLine="480" w:firstLineChars="200"/>
        <w:rPr>
          <w:rFonts w:ascii="宋体" w:hAnsi="宋体"/>
          <w:sz w:val="24"/>
        </w:rPr>
      </w:pPr>
      <w:r>
        <w:rPr>
          <w:rFonts w:hint="eastAsia" w:ascii="宋体" w:hAnsi="宋体"/>
          <w:sz w:val="24"/>
        </w:rPr>
        <w:t>（六）甲方工作人员不得利用职务之便收受乙方以回扣、手续费、加班费、咨询费、劳务费、协调费、辛苦费等各种名义给予或赠送的钱物。</w:t>
      </w:r>
    </w:p>
    <w:p>
      <w:pPr>
        <w:spacing w:line="360" w:lineRule="auto"/>
        <w:ind w:left="15" w:leftChars="7" w:firstLine="480" w:firstLineChars="200"/>
        <w:rPr>
          <w:rFonts w:ascii="宋体" w:hAnsi="宋体"/>
          <w:sz w:val="24"/>
        </w:rPr>
      </w:pPr>
      <w:r>
        <w:rPr>
          <w:rFonts w:hint="eastAsia" w:ascii="宋体" w:hAnsi="宋体"/>
          <w:sz w:val="24"/>
        </w:rPr>
        <w:t>（七）甲方工作人员不得接受乙方给予或赠送的干股或红利。</w:t>
      </w:r>
    </w:p>
    <w:p>
      <w:pPr>
        <w:spacing w:line="360" w:lineRule="auto"/>
        <w:ind w:firstLine="482" w:firstLineChars="200"/>
        <w:rPr>
          <w:rFonts w:ascii="宋体" w:hAnsi="宋体"/>
          <w:sz w:val="24"/>
        </w:rPr>
      </w:pPr>
      <w:r>
        <w:rPr>
          <w:rFonts w:hint="eastAsia" w:ascii="宋体" w:hAnsi="宋体"/>
          <w:b/>
          <w:bCs/>
          <w:sz w:val="24"/>
        </w:rPr>
        <w:t>第三条乙方的义务</w:t>
      </w:r>
    </w:p>
    <w:p>
      <w:pPr>
        <w:spacing w:line="360" w:lineRule="auto"/>
        <w:ind w:firstLine="480" w:firstLineChars="200"/>
        <w:rPr>
          <w:rFonts w:ascii="宋体" w:hAnsi="宋体"/>
          <w:sz w:val="24"/>
        </w:rPr>
      </w:pPr>
      <w:r>
        <w:rPr>
          <w:rFonts w:hint="eastAsia" w:ascii="宋体" w:hAnsi="宋体"/>
          <w:sz w:val="24"/>
        </w:rPr>
        <w:t>（一）乙方不得以任何理由向甲方及其工作人员行贿或馈赠礼金、有价证券、贵重礼品。</w:t>
      </w:r>
    </w:p>
    <w:p>
      <w:pPr>
        <w:spacing w:line="360" w:lineRule="auto"/>
        <w:ind w:firstLine="480" w:firstLineChars="200"/>
        <w:rPr>
          <w:rFonts w:ascii="宋体" w:hAnsi="宋体"/>
          <w:sz w:val="24"/>
        </w:rPr>
      </w:pPr>
      <w:r>
        <w:rPr>
          <w:rFonts w:hint="eastAsia" w:ascii="宋体" w:hAnsi="宋体"/>
          <w:sz w:val="24"/>
        </w:rPr>
        <w:t>（二</w:t>
      </w:r>
      <w:r>
        <w:rPr>
          <w:rFonts w:ascii="宋体" w:hAnsi="宋体"/>
          <w:sz w:val="24"/>
        </w:rPr>
        <w:t>)乙方不得以任何名义为甲方及其工作人员报销应由甲方单位或个人支付的任何费用。</w:t>
      </w:r>
    </w:p>
    <w:p>
      <w:pPr>
        <w:spacing w:line="360" w:lineRule="auto"/>
        <w:ind w:left="25" w:leftChars="12" w:firstLine="480" w:firstLineChars="200"/>
        <w:rPr>
          <w:rFonts w:ascii="宋体" w:hAnsi="宋体"/>
          <w:sz w:val="24"/>
        </w:rPr>
      </w:pPr>
      <w:r>
        <w:rPr>
          <w:rFonts w:hint="eastAsia" w:ascii="宋体" w:hAnsi="宋体"/>
          <w:sz w:val="24"/>
        </w:rPr>
        <w:t>（三）乙方不得以任何理由安排甲方工作人员参加可能影响相关业务公开、公正、公平性的宴请及娱乐活动。</w:t>
      </w:r>
    </w:p>
    <w:p>
      <w:pPr>
        <w:pStyle w:val="16"/>
        <w:rPr>
          <w:sz w:val="24"/>
        </w:rPr>
      </w:pPr>
      <w:r>
        <w:rPr>
          <w:rFonts w:hint="eastAsia"/>
          <w:sz w:val="24"/>
        </w:rPr>
        <w:t>（四）乙方不得为甲方单位和个人购置或提供通讯工具和高档办公用品等物品，也不得为甲方提供与工作无关的房屋、汽车等。</w:t>
      </w:r>
    </w:p>
    <w:p>
      <w:pPr>
        <w:spacing w:line="360" w:lineRule="auto"/>
        <w:ind w:firstLine="480" w:firstLineChars="200"/>
        <w:rPr>
          <w:rFonts w:ascii="宋体" w:hAnsi="宋体"/>
          <w:sz w:val="24"/>
        </w:rPr>
      </w:pPr>
      <w:r>
        <w:rPr>
          <w:rFonts w:hint="eastAsia" w:ascii="宋体" w:hAnsi="宋体"/>
          <w:sz w:val="24"/>
        </w:rPr>
        <w:t>（五）乙方不得擅自与甲方工作人员就合同中的质量、数量、价格、工程量、验收等条款进行私下商谈或者达成默契。</w:t>
      </w:r>
    </w:p>
    <w:p>
      <w:pPr>
        <w:spacing w:line="360" w:lineRule="auto"/>
        <w:ind w:firstLine="480" w:firstLineChars="200"/>
        <w:rPr>
          <w:rFonts w:ascii="宋体" w:hAnsi="宋体"/>
          <w:sz w:val="24"/>
        </w:rPr>
      </w:pPr>
      <w:r>
        <w:rPr>
          <w:rFonts w:hint="eastAsia" w:ascii="宋体" w:hAnsi="宋体"/>
          <w:sz w:val="24"/>
        </w:rPr>
        <w:t>（六）乙方不得以回扣、手续费、加班费、咨询费、劳务费、协调费、辛苦费等各种名义向甲方工作人员给予或赠送钱物。</w:t>
      </w:r>
    </w:p>
    <w:p>
      <w:pPr>
        <w:spacing w:line="360" w:lineRule="auto"/>
        <w:ind w:firstLine="480" w:firstLineChars="200"/>
        <w:rPr>
          <w:rFonts w:ascii="宋体" w:hAnsi="宋体"/>
          <w:sz w:val="24"/>
        </w:rPr>
      </w:pPr>
      <w:r>
        <w:rPr>
          <w:rFonts w:hint="eastAsia" w:ascii="宋体" w:hAnsi="宋体"/>
          <w:sz w:val="24"/>
        </w:rPr>
        <w:t>（七）乙方不得向甲方工作人员提供干股或红利。</w:t>
      </w:r>
    </w:p>
    <w:p>
      <w:pPr>
        <w:spacing w:line="360" w:lineRule="auto"/>
        <w:ind w:firstLine="482" w:firstLineChars="200"/>
        <w:rPr>
          <w:rFonts w:ascii="宋体" w:hAnsi="宋体"/>
          <w:sz w:val="24"/>
        </w:rPr>
      </w:pPr>
      <w:r>
        <w:rPr>
          <w:rFonts w:hint="eastAsia" w:ascii="宋体" w:hAnsi="宋体"/>
          <w:b/>
          <w:bCs/>
          <w:sz w:val="24"/>
        </w:rPr>
        <w:t>第四条违约责任</w:t>
      </w:r>
    </w:p>
    <w:p>
      <w:pPr>
        <w:spacing w:line="360" w:lineRule="auto"/>
        <w:ind w:firstLine="480" w:firstLineChars="200"/>
        <w:rPr>
          <w:rFonts w:ascii="宋体" w:hAnsi="宋体"/>
          <w:sz w:val="24"/>
        </w:rPr>
      </w:pPr>
      <w:r>
        <w:rPr>
          <w:rFonts w:hint="eastAsia" w:ascii="宋体" w:hAnsi="宋体"/>
          <w:sz w:val="24"/>
        </w:rPr>
        <w:t>（一）甲方及其工作人员违反本协议第一、二条。甲方按管理权限，对相关责任人依据有关规定给予党纪、政务处分或组织处理；涉嫌犯罪的，移交司法机关追究刑事责任；给乙方单位造成经济损失的，应予以赔偿。</w:t>
      </w:r>
    </w:p>
    <w:p>
      <w:pPr>
        <w:spacing w:line="360" w:lineRule="auto"/>
        <w:ind w:firstLine="480" w:firstLineChars="200"/>
        <w:rPr>
          <w:rFonts w:ascii="宋体" w:hAnsi="宋体"/>
          <w:sz w:val="24"/>
        </w:rPr>
      </w:pPr>
      <w:r>
        <w:rPr>
          <w:rFonts w:hint="eastAsia" w:ascii="宋体" w:hAnsi="宋体"/>
          <w:sz w:val="24"/>
        </w:rPr>
        <w:t>甲方举报投诉联系部门：广州市净水有限公司</w:t>
      </w:r>
      <w:r>
        <w:rPr>
          <w:rFonts w:ascii="宋体" w:hAnsi="宋体"/>
          <w:sz w:val="24"/>
          <w:u w:val="single"/>
        </w:rPr>
        <w:t>纪检</w:t>
      </w:r>
      <w:r>
        <w:rPr>
          <w:rFonts w:hint="eastAsia" w:ascii="宋体" w:hAnsi="宋体"/>
          <w:sz w:val="24"/>
          <w:u w:val="single"/>
        </w:rPr>
        <w:t>室</w:t>
      </w:r>
      <w:r>
        <w:rPr>
          <w:rFonts w:hint="eastAsia" w:ascii="宋体" w:hAnsi="宋体"/>
          <w:sz w:val="24"/>
        </w:rPr>
        <w:t>，联系电话：</w:t>
      </w:r>
      <w:r>
        <w:rPr>
          <w:rFonts w:ascii="宋体" w:hAnsi="宋体"/>
          <w:sz w:val="24"/>
          <w:u w:val="single"/>
        </w:rPr>
        <w:t xml:space="preserve"> 020-38890265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（二）乙方及其工作人员违反本协议第一、三条。根据具体情节和造成的后果，甲方有权对乙方采取以下一种或多种处理办法：</w:t>
      </w:r>
    </w:p>
    <w:p>
      <w:pPr>
        <w:spacing w:line="360" w:lineRule="auto"/>
        <w:ind w:firstLine="480" w:firstLineChars="200"/>
        <w:rPr>
          <w:rFonts w:ascii="宋体" w:hAnsi="宋体"/>
          <w:sz w:val="24"/>
        </w:rPr>
      </w:pPr>
      <w:r>
        <w:rPr>
          <w:rFonts w:ascii="宋体" w:hAnsi="宋体"/>
          <w:sz w:val="24"/>
        </w:rPr>
        <w:t>1、扣除乙方</w:t>
      </w:r>
      <w:r>
        <w:rPr>
          <w:rFonts w:hint="eastAsia" w:ascii="宋体" w:hAnsi="宋体"/>
          <w:sz w:val="24"/>
        </w:rPr>
        <w:t>全部</w:t>
      </w:r>
      <w:r>
        <w:rPr>
          <w:rFonts w:ascii="宋体" w:hAnsi="宋体"/>
          <w:sz w:val="24"/>
        </w:rPr>
        <w:t>履约保证金；</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解除主合同</w:t>
      </w:r>
      <w:r>
        <w:rPr>
          <w:rFonts w:ascii="宋体" w:hAnsi="宋体"/>
          <w:sz w:val="24"/>
        </w:rPr>
        <w:t>；</w:t>
      </w:r>
    </w:p>
    <w:p>
      <w:pPr>
        <w:spacing w:line="360" w:lineRule="auto"/>
        <w:ind w:firstLine="480" w:firstLineChars="200"/>
        <w:rPr>
          <w:rFonts w:ascii="宋体" w:hAnsi="宋体"/>
          <w:sz w:val="24"/>
        </w:rPr>
      </w:pPr>
      <w:r>
        <w:rPr>
          <w:rFonts w:ascii="宋体" w:hAnsi="宋体"/>
          <w:sz w:val="24"/>
        </w:rPr>
        <w:t>3、追究乙方合同其他违约责任；</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根据甲方及其上级单位、主管部门的有关规定，对乙方违反廉洁协议的行为限制其参与招报价活动的资格。</w:t>
      </w:r>
    </w:p>
    <w:p>
      <w:pPr>
        <w:spacing w:line="360" w:lineRule="auto"/>
        <w:ind w:firstLine="480" w:firstLineChars="200"/>
        <w:rPr>
          <w:rFonts w:ascii="宋体" w:hAnsi="宋体"/>
          <w:sz w:val="24"/>
        </w:rPr>
      </w:pPr>
      <w:r>
        <w:rPr>
          <w:rFonts w:hint="eastAsia" w:ascii="宋体" w:hAnsi="宋体"/>
          <w:sz w:val="24"/>
        </w:rPr>
        <w:t>乙方无条件接受甲方处理意见并承担给甲方造成的损失，全额返还用不正当手段获取的非法所得，并承担相应的法律责任。</w:t>
      </w:r>
    </w:p>
    <w:p>
      <w:pPr>
        <w:rPr>
          <w:rFonts w:ascii="宋体" w:hAnsi="宋体" w:cs="宋体"/>
          <w:kern w:val="0"/>
          <w:sz w:val="24"/>
        </w:rPr>
      </w:pPr>
      <w:r>
        <w:rPr>
          <w:rFonts w:hint="eastAsia" w:ascii="宋体" w:hAnsi="宋体"/>
          <w:b/>
          <w:bCs/>
          <w:sz w:val="24"/>
        </w:rPr>
        <w:t xml:space="preserve">第五条 </w:t>
      </w:r>
      <w:r>
        <w:rPr>
          <w:rFonts w:ascii="宋体" w:hAnsi="宋体" w:cs="宋体"/>
          <w:kern w:val="0"/>
          <w:sz w:val="24"/>
        </w:rPr>
        <w:t xml:space="preserve">本协议执行情况，接受有管辖权的纪检、监察部门的监督，双方应予以配合检查调查。 </w:t>
      </w:r>
    </w:p>
    <w:p>
      <w:pPr>
        <w:spacing w:line="360" w:lineRule="auto"/>
        <w:ind w:firstLine="482" w:firstLineChars="200"/>
        <w:rPr>
          <w:rFonts w:ascii="宋体" w:hAnsi="宋体"/>
          <w:sz w:val="24"/>
        </w:rPr>
      </w:pPr>
      <w:r>
        <w:rPr>
          <w:rFonts w:hint="eastAsia" w:ascii="宋体" w:hAnsi="宋体"/>
          <w:b/>
          <w:sz w:val="24"/>
        </w:rPr>
        <w:t>第六条</w:t>
      </w:r>
      <w:r>
        <w:rPr>
          <w:rFonts w:ascii="宋体" w:hAnsi="宋体"/>
          <w:sz w:val="24"/>
        </w:rPr>
        <w:t>本协议作为</w:t>
      </w:r>
      <w:r>
        <w:rPr>
          <w:rFonts w:hint="eastAsia" w:ascii="宋体" w:hAnsi="宋体"/>
          <w:sz w:val="24"/>
          <w:u w:val="single"/>
        </w:rPr>
        <w:t>（污水处理过程精细化控制研究项目仪表采购项目）+穗净水合[</w:t>
      </w:r>
      <w:r>
        <w:rPr>
          <w:rFonts w:ascii="宋体" w:hAnsi="宋体"/>
          <w:sz w:val="24"/>
          <w:u w:val="single"/>
        </w:rPr>
        <w:t xml:space="preserve">2021]     </w:t>
      </w:r>
      <w:r>
        <w:rPr>
          <w:rFonts w:hint="eastAsia" w:ascii="宋体" w:hAnsi="宋体"/>
          <w:sz w:val="24"/>
          <w:u w:val="single"/>
        </w:rPr>
        <w:t>号</w:t>
      </w:r>
      <w:r>
        <w:rPr>
          <w:rFonts w:hint="eastAsia" w:ascii="宋体" w:hAnsi="宋体"/>
          <w:sz w:val="24"/>
        </w:rPr>
        <w:t>合同的附件，并具有同等的法律效力，本协议自双方签字盖章之日起生效，与主合同同时终止。</w:t>
      </w:r>
    </w:p>
    <w:p>
      <w:pPr>
        <w:spacing w:line="360" w:lineRule="auto"/>
        <w:ind w:firstLine="482" w:firstLineChars="200"/>
        <w:rPr>
          <w:rFonts w:ascii="宋体" w:hAnsi="宋体"/>
          <w:sz w:val="24"/>
        </w:rPr>
      </w:pPr>
      <w:r>
        <w:rPr>
          <w:rFonts w:hint="eastAsia" w:ascii="宋体" w:hAnsi="宋体"/>
          <w:b/>
          <w:sz w:val="24"/>
        </w:rPr>
        <w:t>第七条</w:t>
      </w:r>
      <w:r>
        <w:rPr>
          <w:rFonts w:hint="eastAsia" w:ascii="宋体" w:hAnsi="宋体"/>
          <w:sz w:val="24"/>
        </w:rPr>
        <w:t>甲方、乙方双方执持数量与主合同一致。</w:t>
      </w:r>
      <w:r>
        <w:rPr>
          <w:rFonts w:ascii="宋体" w:hAnsi="宋体"/>
          <w:sz w:val="24"/>
        </w:rPr>
        <w:t>。</w:t>
      </w:r>
    </w:p>
    <w:p>
      <w:pPr>
        <w:spacing w:line="360" w:lineRule="auto"/>
        <w:ind w:firstLine="480" w:firstLineChars="200"/>
        <w:rPr>
          <w:rFonts w:ascii="宋体" w:hAnsi="宋体"/>
          <w:sz w:val="24"/>
        </w:rPr>
      </w:pPr>
    </w:p>
    <w:p>
      <w:pPr>
        <w:spacing w:line="360" w:lineRule="auto"/>
        <w:rPr>
          <w:rFonts w:ascii="宋体" w:hAnsi="宋体"/>
          <w:sz w:val="24"/>
        </w:rPr>
      </w:pPr>
      <w:r>
        <w:rPr>
          <w:rFonts w:ascii="宋体" w:hAnsi="宋体"/>
          <w:sz w:val="24"/>
        </w:rPr>
        <w:br w:type="textWrapping"/>
      </w:r>
      <w:r>
        <w:rPr>
          <w:rFonts w:hint="eastAsia" w:ascii="宋体" w:hAnsi="宋体"/>
          <w:sz w:val="24"/>
        </w:rPr>
        <w:t>甲方（盖章）：                     乙方（盖章）：</w:t>
      </w:r>
    </w:p>
    <w:p>
      <w:pPr>
        <w:pStyle w:val="46"/>
        <w:tabs>
          <w:tab w:val="left" w:pos="5100"/>
        </w:tabs>
        <w:spacing w:line="360" w:lineRule="auto"/>
        <w:ind w:left="7200" w:firstLine="0" w:firstLineChars="0"/>
        <w:jc w:val="left"/>
        <w:rPr>
          <w:rFonts w:ascii="宋体" w:hAnsi="宋体"/>
          <w:sz w:val="24"/>
        </w:rPr>
      </w:pPr>
    </w:p>
    <w:p>
      <w:pPr>
        <w:tabs>
          <w:tab w:val="left" w:pos="5100"/>
        </w:tabs>
        <w:spacing w:line="360" w:lineRule="auto"/>
        <w:ind w:left="7200" w:hanging="7200" w:hangingChars="3000"/>
        <w:rPr>
          <w:rFonts w:ascii="宋体" w:hAnsi="宋体"/>
          <w:sz w:val="24"/>
        </w:rPr>
      </w:pPr>
      <w:r>
        <w:rPr>
          <w:rFonts w:hint="eastAsia" w:ascii="宋体" w:hAnsi="宋体"/>
          <w:sz w:val="24"/>
        </w:rPr>
        <w:t>签约代表：                         签约代表：</w:t>
      </w:r>
    </w:p>
    <w:p>
      <w:pPr>
        <w:tabs>
          <w:tab w:val="left" w:pos="4170"/>
        </w:tabs>
        <w:spacing w:line="360" w:lineRule="auto"/>
        <w:rPr>
          <w:rFonts w:ascii="宋体" w:hAnsi="宋体"/>
        </w:rPr>
      </w:pPr>
      <w:r>
        <w:rPr>
          <w:rFonts w:hint="eastAsia" w:ascii="宋体" w:hAnsi="宋体"/>
          <w:sz w:val="24"/>
        </w:rPr>
        <w:t>日期</w:t>
      </w:r>
      <w:r>
        <w:rPr>
          <w:rFonts w:ascii="宋体" w:hAnsi="宋体"/>
          <w:sz w:val="24"/>
        </w:rPr>
        <w:t>:    年</w:t>
      </w:r>
      <w:r>
        <w:rPr>
          <w:rFonts w:hint="eastAsia" w:ascii="宋体" w:hAnsi="宋体"/>
          <w:sz w:val="24"/>
        </w:rPr>
        <w:t xml:space="preserve">  </w:t>
      </w:r>
      <w:r>
        <w:rPr>
          <w:rFonts w:ascii="宋体" w:hAnsi="宋体"/>
          <w:sz w:val="24"/>
        </w:rPr>
        <w:t>月</w:t>
      </w:r>
      <w:r>
        <w:rPr>
          <w:rFonts w:hint="eastAsia" w:ascii="宋体" w:hAnsi="宋体"/>
          <w:sz w:val="24"/>
        </w:rPr>
        <w:t xml:space="preserve"> </w:t>
      </w:r>
      <w:r>
        <w:rPr>
          <w:rFonts w:ascii="宋体" w:hAnsi="宋体"/>
          <w:sz w:val="24"/>
        </w:rPr>
        <w:t xml:space="preserve"> 日</w:t>
      </w:r>
      <w:r>
        <w:rPr>
          <w:rFonts w:ascii="宋体" w:hAnsi="宋体"/>
          <w:sz w:val="24"/>
        </w:rPr>
        <w:tab/>
      </w:r>
      <w:r>
        <w:rPr>
          <w:rFonts w:hint="eastAsia" w:ascii="宋体" w:hAnsi="宋体"/>
          <w:sz w:val="24"/>
        </w:rPr>
        <w:t xml:space="preserve">日期： </w:t>
      </w:r>
      <w:r>
        <w:rPr>
          <w:rFonts w:ascii="宋体" w:hAnsi="宋体"/>
          <w:sz w:val="24"/>
        </w:rPr>
        <w:t xml:space="preserve"> </w:t>
      </w:r>
      <w:r>
        <w:rPr>
          <w:rFonts w:hint="eastAsia" w:ascii="宋体" w:hAnsi="宋体"/>
          <w:sz w:val="24"/>
        </w:rPr>
        <w:t xml:space="preserve">年 </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日</w:t>
      </w:r>
    </w:p>
    <w:p>
      <w:pPr>
        <w:pStyle w:val="12"/>
      </w:pPr>
    </w:p>
    <w:p>
      <w:pPr>
        <w:widowControl/>
        <w:jc w:val="left"/>
        <w:rPr>
          <w:rFonts w:cs="宋体" w:asciiTheme="majorEastAsia" w:hAnsiTheme="majorEastAsia" w:eastAsiaTheme="majorEastAsia"/>
          <w:b/>
          <w:szCs w:val="21"/>
        </w:rPr>
      </w:pPr>
      <w:r>
        <w:rPr>
          <w:rFonts w:cs="宋体" w:asciiTheme="majorEastAsia" w:hAnsiTheme="majorEastAsia" w:eastAsiaTheme="majorEastAsia"/>
          <w:b/>
          <w:szCs w:val="21"/>
        </w:rPr>
        <w:br w:type="page"/>
      </w:r>
    </w:p>
    <w:p>
      <w:pPr>
        <w:spacing w:line="360" w:lineRule="auto"/>
        <w:rPr>
          <w:rFonts w:cs="宋体" w:asciiTheme="majorEastAsia" w:hAnsiTheme="majorEastAsia" w:eastAsiaTheme="majorEastAsia"/>
          <w:b/>
          <w:szCs w:val="21"/>
        </w:rPr>
      </w:pPr>
      <w:r>
        <w:rPr>
          <w:rFonts w:hint="eastAsia" w:cs="宋体" w:asciiTheme="majorEastAsia" w:hAnsiTheme="majorEastAsia" w:eastAsiaTheme="majorEastAsia"/>
          <w:b/>
          <w:szCs w:val="21"/>
        </w:rPr>
        <w:t>附件</w:t>
      </w:r>
      <w:r>
        <w:rPr>
          <w:rFonts w:cs="宋体" w:asciiTheme="majorEastAsia" w:hAnsiTheme="majorEastAsia" w:eastAsiaTheme="majorEastAsia"/>
          <w:b/>
          <w:szCs w:val="21"/>
        </w:rPr>
        <w:t>3</w:t>
      </w:r>
      <w:r>
        <w:rPr>
          <w:rFonts w:hint="eastAsia" w:cs="宋体" w:asciiTheme="majorEastAsia" w:hAnsiTheme="majorEastAsia" w:eastAsiaTheme="majorEastAsia"/>
          <w:b/>
          <w:szCs w:val="21"/>
        </w:rPr>
        <w:t>：物品采购安全协议书</w:t>
      </w:r>
    </w:p>
    <w:p>
      <w:pPr>
        <w:pStyle w:val="12"/>
      </w:pPr>
    </w:p>
    <w:p>
      <w:pPr>
        <w:spacing w:line="560" w:lineRule="exact"/>
        <w:jc w:val="center"/>
        <w:rPr>
          <w:rFonts w:ascii="黑体" w:hAnsi="宋体" w:eastAsia="黑体" w:cs="宋体"/>
          <w:bCs/>
          <w:kern w:val="0"/>
          <w:sz w:val="44"/>
          <w:szCs w:val="44"/>
        </w:rPr>
      </w:pPr>
      <w:r>
        <w:rPr>
          <w:rFonts w:hint="eastAsia" w:ascii="黑体" w:hAnsi="宋体" w:eastAsia="黑体" w:cs="宋体"/>
          <w:bCs/>
          <w:kern w:val="0"/>
          <w:sz w:val="44"/>
          <w:szCs w:val="44"/>
        </w:rPr>
        <w:t>物品采购</w:t>
      </w:r>
      <w:r>
        <w:rPr>
          <w:rFonts w:hint="eastAsia" w:ascii="黑体" w:hAnsi="Batang" w:eastAsia="黑体" w:cs="Batang"/>
          <w:bCs/>
          <w:kern w:val="0"/>
          <w:sz w:val="44"/>
          <w:szCs w:val="44"/>
        </w:rPr>
        <w:t>安全协议</w:t>
      </w:r>
      <w:r>
        <w:rPr>
          <w:rFonts w:hint="eastAsia" w:ascii="黑体" w:hAnsi="宋体" w:eastAsia="黑体" w:cs="宋体"/>
          <w:bCs/>
          <w:kern w:val="0"/>
          <w:sz w:val="44"/>
          <w:szCs w:val="44"/>
        </w:rPr>
        <w:t>书</w:t>
      </w:r>
    </w:p>
    <w:p>
      <w:pPr>
        <w:spacing w:line="560" w:lineRule="exact"/>
        <w:rPr>
          <w:rFonts w:ascii="宋体" w:hAnsi="宋体" w:cs="Arial"/>
          <w:kern w:val="0"/>
          <w:sz w:val="24"/>
        </w:rPr>
      </w:pPr>
      <w:r>
        <w:rPr>
          <w:rFonts w:hint="eastAsia" w:ascii="宋体" w:hAnsi="宋体" w:cs="Arial"/>
          <w:kern w:val="0"/>
          <w:sz w:val="24"/>
        </w:rPr>
        <w:t>甲方：</w:t>
      </w:r>
      <w:r>
        <w:rPr>
          <w:rFonts w:hint="eastAsia"/>
          <w:sz w:val="24"/>
        </w:rPr>
        <w:t>广州市净水有限公司</w:t>
      </w:r>
    </w:p>
    <w:p>
      <w:pPr>
        <w:spacing w:line="560" w:lineRule="exact"/>
        <w:rPr>
          <w:rFonts w:ascii="宋体" w:hAnsi="宋体" w:cs="Arial"/>
          <w:kern w:val="0"/>
          <w:sz w:val="24"/>
        </w:rPr>
      </w:pPr>
      <w:r>
        <w:rPr>
          <w:rFonts w:hint="eastAsia" w:ascii="宋体" w:hAnsi="宋体" w:cs="Arial"/>
          <w:kern w:val="0"/>
          <w:sz w:val="24"/>
        </w:rPr>
        <w:t xml:space="preserve">乙方： </w:t>
      </w:r>
    </w:p>
    <w:p>
      <w:pPr>
        <w:spacing w:line="560" w:lineRule="exact"/>
        <w:ind w:firstLine="480" w:firstLineChars="200"/>
        <w:rPr>
          <w:rFonts w:ascii="宋体" w:hAnsi="宋体" w:cs="Arial"/>
          <w:kern w:val="0"/>
          <w:sz w:val="24"/>
        </w:rPr>
      </w:pPr>
      <w:r>
        <w:rPr>
          <w:rFonts w:hint="eastAsia" w:ascii="宋体" w:hAnsi="宋体" w:cs="Arial"/>
          <w:kern w:val="0"/>
          <w:sz w:val="24"/>
        </w:rPr>
        <w:t>为加强物品采购过程安全管理，根据《中华人民共和国安全生产法》、《生产安全事故报告和调查处理条例》等国家及地方有关安全生产法律法规</w:t>
      </w:r>
      <w:r>
        <w:rPr>
          <w:rFonts w:ascii="宋体" w:hAnsi="宋体" w:cs="Arial"/>
          <w:kern w:val="0"/>
          <w:sz w:val="24"/>
        </w:rPr>
        <w:t>，甲乙双方就</w:t>
      </w:r>
      <w:r>
        <w:rPr>
          <w:rFonts w:hint="eastAsia" w:ascii="宋体" w:hAnsi="宋体" w:cs="Arial"/>
          <w:kern w:val="0"/>
          <w:sz w:val="24"/>
        </w:rPr>
        <w:t>物品采购的安全</w:t>
      </w:r>
      <w:r>
        <w:rPr>
          <w:rFonts w:ascii="宋体" w:hAnsi="宋体" w:cs="Arial"/>
          <w:kern w:val="0"/>
          <w:sz w:val="24"/>
        </w:rPr>
        <w:t>事宜，</w:t>
      </w:r>
      <w:r>
        <w:rPr>
          <w:rFonts w:ascii="宋体" w:hAnsi="宋体" w:cs="Arial"/>
          <w:sz w:val="24"/>
        </w:rPr>
        <w:t>经双方友好协商，达成如下协议</w:t>
      </w:r>
      <w:r>
        <w:rPr>
          <w:rFonts w:ascii="宋体" w:hAnsi="宋体" w:cs="Arial"/>
          <w:kern w:val="0"/>
          <w:sz w:val="24"/>
        </w:rPr>
        <w:t>。</w:t>
      </w:r>
    </w:p>
    <w:p>
      <w:pPr>
        <w:pStyle w:val="12"/>
      </w:pP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一、本协议与主合同的关系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本协议作为</w:t>
      </w:r>
      <w:r>
        <w:rPr>
          <w:rFonts w:hint="eastAsia" w:asciiTheme="minorEastAsia" w:hAnsiTheme="minorEastAsia" w:eastAsiaTheme="minorEastAsia"/>
          <w:sz w:val="24"/>
          <w:u w:val="single"/>
        </w:rPr>
        <w:t xml:space="preserve"> 污水处理过程精细化控制研究项目仪表采购项目 </w:t>
      </w:r>
      <w:r>
        <w:rPr>
          <w:rFonts w:hint="eastAsia" w:asciiTheme="minorEastAsia" w:hAnsiTheme="minorEastAsia" w:eastAsiaTheme="minorEastAsia"/>
          <w:sz w:val="24"/>
        </w:rPr>
        <w:t>的组成部分，与主合同具有同等法律效力。</w:t>
      </w:r>
    </w:p>
    <w:p>
      <w:pPr>
        <w:pStyle w:val="12"/>
      </w:pPr>
    </w:p>
    <w:p>
      <w:pPr>
        <w:spacing w:line="560" w:lineRule="exact"/>
        <w:ind w:firstLine="482" w:firstLineChars="200"/>
        <w:rPr>
          <w:rFonts w:ascii="宋体" w:hAnsi="宋体" w:cs="Arial"/>
          <w:b/>
          <w:kern w:val="0"/>
          <w:sz w:val="24"/>
        </w:rPr>
      </w:pPr>
      <w:r>
        <w:rPr>
          <w:rFonts w:hint="eastAsia" w:ascii="宋体" w:hAnsi="宋体" w:cs="Arial"/>
          <w:b/>
          <w:kern w:val="0"/>
          <w:sz w:val="24"/>
        </w:rPr>
        <w:t>二、甲方权责</w:t>
      </w:r>
    </w:p>
    <w:p>
      <w:pPr>
        <w:spacing w:line="560" w:lineRule="exact"/>
        <w:ind w:firstLine="480" w:firstLineChars="200"/>
        <w:rPr>
          <w:rFonts w:ascii="宋体" w:hAnsi="宋体" w:cs="Arial"/>
          <w:kern w:val="0"/>
          <w:sz w:val="24"/>
        </w:rPr>
      </w:pPr>
      <w:r>
        <w:rPr>
          <w:rFonts w:hint="eastAsia" w:ascii="宋体" w:hAnsi="宋体" w:cs="Arial"/>
          <w:kern w:val="0"/>
          <w:sz w:val="24"/>
        </w:rPr>
        <w:t>（一）甲方进行物品采购时，应贯彻落实国家、地方有关安全管理的法律法规和规章制度。</w:t>
      </w:r>
    </w:p>
    <w:p>
      <w:pPr>
        <w:spacing w:line="560" w:lineRule="exact"/>
        <w:ind w:firstLine="480" w:firstLineChars="200"/>
        <w:rPr>
          <w:rFonts w:ascii="宋体" w:hAnsi="宋体" w:cs="Arial"/>
          <w:kern w:val="0"/>
          <w:sz w:val="24"/>
        </w:rPr>
      </w:pPr>
      <w:r>
        <w:rPr>
          <w:rFonts w:hint="eastAsia" w:ascii="宋体" w:hAnsi="宋体" w:cs="Arial"/>
          <w:kern w:val="0"/>
          <w:sz w:val="24"/>
        </w:rPr>
        <w:t>（二）甲方应审查乙方物品有关的经营、运输的合法证照和资质条件，及相关运输车辆和人员的证件资料；有权对承运车辆驾驶员的健康状况，持有的相关证件是否与其所驾车型相匹配、是否达到所驾车型的驾驶年限进行检查。</w:t>
      </w:r>
    </w:p>
    <w:p>
      <w:pPr>
        <w:spacing w:line="560" w:lineRule="exact"/>
        <w:ind w:firstLine="480" w:firstLineChars="200"/>
        <w:rPr>
          <w:rFonts w:ascii="宋体" w:hAnsi="宋体" w:cs="Arial"/>
          <w:kern w:val="0"/>
          <w:sz w:val="24"/>
        </w:rPr>
      </w:pPr>
      <w:r>
        <w:rPr>
          <w:rFonts w:hint="eastAsia" w:ascii="宋体" w:hAnsi="宋体" w:cs="Arial"/>
          <w:kern w:val="0"/>
          <w:sz w:val="24"/>
        </w:rPr>
        <w:t>（三）甲方应在其管辖区域对乙方的物品运输、装卸、安装和调试等过程的安全生产实行监督，及时纠正乙方人员违章指挥、违章驾驶、违反禁令等行为，并按照甲方的安全管理制度规定对乙方进行处理；发现安全隐患，甲方应开具隐患整改通知单，责令乙方限期整改，及时督促乙方消除事故隐患。</w:t>
      </w:r>
    </w:p>
    <w:p>
      <w:pPr>
        <w:spacing w:line="560" w:lineRule="exact"/>
        <w:ind w:firstLine="480" w:firstLineChars="200"/>
        <w:rPr>
          <w:rFonts w:ascii="宋体" w:hAnsi="宋体" w:cs="Arial"/>
          <w:kern w:val="0"/>
          <w:sz w:val="24"/>
        </w:rPr>
      </w:pPr>
      <w:r>
        <w:rPr>
          <w:rFonts w:hint="eastAsia" w:ascii="宋体" w:hAnsi="宋体" w:cs="Arial"/>
          <w:kern w:val="0"/>
          <w:sz w:val="24"/>
        </w:rPr>
        <w:t>（四）乙方对存在问题拒不整改的，视为违约，甲方有权对乙方按主合同相关条款进行违约金扣罚。如乙方拒不缴纳违约金的，甲方有权在履约保证金中扣除。</w:t>
      </w:r>
    </w:p>
    <w:p>
      <w:pPr>
        <w:spacing w:line="560" w:lineRule="exact"/>
        <w:ind w:firstLine="480" w:firstLineChars="200"/>
        <w:rPr>
          <w:rFonts w:ascii="宋体" w:hAnsi="宋体" w:cs="Arial"/>
          <w:kern w:val="0"/>
          <w:sz w:val="24"/>
        </w:rPr>
      </w:pPr>
      <w:r>
        <w:rPr>
          <w:rFonts w:hint="eastAsia" w:ascii="宋体" w:hAnsi="宋体" w:cs="Arial"/>
          <w:kern w:val="0"/>
          <w:sz w:val="24"/>
        </w:rPr>
        <w:t>（五）告知乙方在甲方应当遵守的安全管理要求。</w:t>
      </w:r>
    </w:p>
    <w:p>
      <w:pPr>
        <w:spacing w:line="560" w:lineRule="exact"/>
        <w:ind w:firstLine="482" w:firstLineChars="200"/>
        <w:rPr>
          <w:rFonts w:ascii="宋体" w:hAnsi="宋体" w:cs="Arial"/>
          <w:b/>
          <w:kern w:val="0"/>
          <w:sz w:val="24"/>
        </w:rPr>
      </w:pPr>
      <w:r>
        <w:rPr>
          <w:rFonts w:hint="eastAsia" w:ascii="宋体" w:hAnsi="宋体" w:cs="Arial"/>
          <w:b/>
          <w:kern w:val="0"/>
          <w:sz w:val="24"/>
        </w:rPr>
        <w:t>三、乙方权责</w:t>
      </w:r>
    </w:p>
    <w:p>
      <w:pPr>
        <w:spacing w:line="560" w:lineRule="exact"/>
        <w:ind w:firstLine="480" w:firstLineChars="200"/>
        <w:rPr>
          <w:rFonts w:ascii="宋体" w:hAnsi="宋体" w:cs="Arial"/>
          <w:kern w:val="0"/>
          <w:sz w:val="24"/>
        </w:rPr>
      </w:pPr>
      <w:r>
        <w:rPr>
          <w:rFonts w:hint="eastAsia" w:ascii="宋体" w:hAnsi="宋体" w:cs="Arial"/>
          <w:kern w:val="0"/>
          <w:sz w:val="24"/>
        </w:rPr>
        <w:t>（一）乙方应承诺具备所售物品的许可资质，并提供相关证明材料。若乙方非所售物品的直销厂家，应提供物品的完整供应链，物品的销售、运输、装卸全过程须严格遵守国家及地方的法律的有关规定。</w:t>
      </w:r>
    </w:p>
    <w:p>
      <w:pPr>
        <w:spacing w:line="560" w:lineRule="exact"/>
        <w:ind w:firstLine="480" w:firstLineChars="200"/>
        <w:rPr>
          <w:rFonts w:ascii="宋体" w:hAnsi="宋体" w:cs="Arial"/>
          <w:kern w:val="0"/>
          <w:sz w:val="24"/>
        </w:rPr>
      </w:pPr>
      <w:r>
        <w:rPr>
          <w:rFonts w:hint="eastAsia" w:ascii="宋体" w:hAnsi="宋体" w:cs="Arial"/>
          <w:kern w:val="0"/>
          <w:sz w:val="24"/>
        </w:rPr>
        <w:t>（二）</w:t>
      </w:r>
      <w:r>
        <w:rPr>
          <w:rFonts w:hint="eastAsia" w:ascii="宋体" w:hAnsi="宋体" w:cs="宋体"/>
          <w:kern w:val="0"/>
          <w:sz w:val="24"/>
        </w:rPr>
        <w:t>乙方负责明确自身岗位安全职责，将安全责任落实到人；加强教育工作，督促员工遵守安全生产规章制度；鼓励员工积极参与安全生产工作，及时发现和消除隐患。运输物品时，应指定</w:t>
      </w:r>
      <w:r>
        <w:rPr>
          <w:rFonts w:hint="eastAsia" w:ascii="宋体" w:hAnsi="宋体" w:cs="Arial"/>
          <w:kern w:val="0"/>
          <w:sz w:val="24"/>
        </w:rPr>
        <w:t>物品</w:t>
      </w:r>
      <w:r>
        <w:rPr>
          <w:rFonts w:hint="eastAsia" w:ascii="宋体" w:hAnsi="宋体" w:cs="宋体"/>
          <w:kern w:val="0"/>
          <w:sz w:val="24"/>
        </w:rPr>
        <w:t>安全运输责任人，负责安全运输和装卸及安全教育工作，同时督促检查，确保</w:t>
      </w:r>
      <w:r>
        <w:rPr>
          <w:rFonts w:hint="eastAsia" w:ascii="宋体" w:hAnsi="宋体" w:cs="Arial"/>
          <w:kern w:val="0"/>
          <w:sz w:val="24"/>
        </w:rPr>
        <w:t>物品</w:t>
      </w:r>
      <w:r>
        <w:rPr>
          <w:rFonts w:hint="eastAsia" w:ascii="宋体" w:hAnsi="宋体" w:cs="宋体"/>
          <w:kern w:val="0"/>
          <w:sz w:val="24"/>
        </w:rPr>
        <w:t>的安全送运。</w:t>
      </w:r>
    </w:p>
    <w:p>
      <w:pPr>
        <w:spacing w:line="560" w:lineRule="exact"/>
        <w:ind w:firstLine="480" w:firstLineChars="200"/>
        <w:rPr>
          <w:rFonts w:ascii="宋体" w:hAnsi="宋体" w:cs="宋体"/>
          <w:kern w:val="0"/>
          <w:sz w:val="24"/>
        </w:rPr>
      </w:pPr>
      <w:r>
        <w:rPr>
          <w:rFonts w:hint="eastAsia" w:ascii="宋体" w:hAnsi="宋体" w:cs="宋体"/>
          <w:kern w:val="0"/>
          <w:sz w:val="24"/>
        </w:rPr>
        <w:t>（三）乙方应承诺所售</w:t>
      </w:r>
      <w:r>
        <w:rPr>
          <w:rFonts w:hint="eastAsia" w:ascii="宋体" w:hAnsi="宋体" w:cs="Arial"/>
          <w:kern w:val="0"/>
          <w:sz w:val="24"/>
        </w:rPr>
        <w:t>物品</w:t>
      </w:r>
      <w:r>
        <w:rPr>
          <w:rFonts w:hint="eastAsia" w:ascii="宋体" w:hAnsi="宋体" w:cs="宋体"/>
          <w:kern w:val="0"/>
          <w:sz w:val="24"/>
        </w:rPr>
        <w:t>质量符合现行国家规范要求，保证</w:t>
      </w:r>
      <w:r>
        <w:rPr>
          <w:rFonts w:hint="eastAsia" w:ascii="宋体" w:hAnsi="宋体" w:cs="Arial"/>
          <w:kern w:val="0"/>
          <w:sz w:val="24"/>
        </w:rPr>
        <w:t>所售物品为正品。设备类物品应提供与设备型号一致的使用说明书（进口设备应有中文说明书），如物品有保质期要求的应在保质期范围内，</w:t>
      </w:r>
      <w:r>
        <w:rPr>
          <w:rFonts w:hint="eastAsia" w:ascii="宋体" w:hAnsi="宋体" w:cs="宋体"/>
          <w:kern w:val="0"/>
          <w:sz w:val="24"/>
        </w:rPr>
        <w:t>特殊设备应在运输前做好定检工作，包装要完整完好。</w:t>
      </w:r>
    </w:p>
    <w:p>
      <w:pPr>
        <w:spacing w:line="560" w:lineRule="exact"/>
        <w:ind w:firstLine="480" w:firstLineChars="200"/>
        <w:rPr>
          <w:rFonts w:ascii="宋体" w:hAnsi="宋体" w:cs="宋体"/>
          <w:kern w:val="0"/>
          <w:sz w:val="24"/>
        </w:rPr>
      </w:pPr>
      <w:r>
        <w:rPr>
          <w:rFonts w:hint="eastAsia" w:ascii="宋体" w:hAnsi="宋体" w:cs="宋体"/>
          <w:kern w:val="0"/>
          <w:sz w:val="24"/>
        </w:rPr>
        <w:t>（四）乙方对</w:t>
      </w:r>
      <w:r>
        <w:rPr>
          <w:rFonts w:hint="eastAsia" w:ascii="宋体" w:hAnsi="宋体" w:cs="Arial"/>
          <w:kern w:val="0"/>
          <w:sz w:val="24"/>
        </w:rPr>
        <w:t>物品</w:t>
      </w:r>
      <w:r>
        <w:rPr>
          <w:rFonts w:hint="eastAsia" w:ascii="宋体" w:hAnsi="宋体" w:cs="宋体"/>
          <w:kern w:val="0"/>
          <w:sz w:val="24"/>
        </w:rPr>
        <w:t>的运输、装卸、设备的安装和调试过程的安全工作负责。对乙方内部的运输车队，乙方用于运输物品的车辆应取得合法证照资质。对乙方聘请的运输车队，乙方应严格审核其运输车队、驾驶员资质证照及车队运输相关的管理制度。</w:t>
      </w:r>
    </w:p>
    <w:p>
      <w:pPr>
        <w:spacing w:line="560" w:lineRule="exact"/>
        <w:ind w:firstLine="480" w:firstLineChars="200"/>
        <w:rPr>
          <w:rFonts w:ascii="宋体" w:hAnsi="宋体" w:cs="宋体"/>
          <w:kern w:val="0"/>
          <w:sz w:val="24"/>
        </w:rPr>
      </w:pPr>
      <w:r>
        <w:rPr>
          <w:rFonts w:hint="eastAsia" w:ascii="宋体" w:hAnsi="宋体" w:cs="宋体"/>
          <w:kern w:val="0"/>
          <w:sz w:val="24"/>
        </w:rPr>
        <w:t>（五）乙方须加强物品运输车辆的安全管理，用于运输</w:t>
      </w:r>
      <w:r>
        <w:rPr>
          <w:rFonts w:hint="eastAsia" w:ascii="宋体" w:hAnsi="宋体" w:cs="Arial"/>
          <w:kern w:val="0"/>
          <w:sz w:val="24"/>
        </w:rPr>
        <w:t>物品</w:t>
      </w:r>
      <w:r>
        <w:rPr>
          <w:rFonts w:hint="eastAsia" w:ascii="宋体" w:hAnsi="宋体" w:cs="宋体"/>
          <w:kern w:val="0"/>
          <w:sz w:val="24"/>
        </w:rPr>
        <w:t>的车辆必须车况良好、外观整洁、证照齐全，严格执行车辆安全检验制度，确保车辆性能符合安全技术标准。</w:t>
      </w:r>
    </w:p>
    <w:p>
      <w:pPr>
        <w:spacing w:line="560" w:lineRule="exact"/>
        <w:ind w:firstLine="480" w:firstLineChars="200"/>
        <w:rPr>
          <w:rFonts w:ascii="宋体" w:hAnsi="宋体" w:cs="宋体"/>
          <w:kern w:val="0"/>
          <w:sz w:val="24"/>
        </w:rPr>
      </w:pPr>
      <w:r>
        <w:rPr>
          <w:rFonts w:hint="eastAsia" w:ascii="宋体" w:hAnsi="宋体" w:cs="宋体"/>
          <w:kern w:val="0"/>
          <w:sz w:val="24"/>
        </w:rPr>
        <w:t>（六）人员管理</w:t>
      </w:r>
    </w:p>
    <w:p>
      <w:pPr>
        <w:spacing w:line="560" w:lineRule="exact"/>
        <w:ind w:firstLine="480" w:firstLineChars="200"/>
        <w:rPr>
          <w:rFonts w:ascii="宋体" w:hAnsi="宋体" w:cs="宋体"/>
          <w:kern w:val="0"/>
          <w:sz w:val="24"/>
        </w:rPr>
      </w:pPr>
      <w:r>
        <w:rPr>
          <w:rFonts w:hint="eastAsia" w:ascii="宋体" w:hAnsi="宋体" w:cs="宋体"/>
          <w:kern w:val="0"/>
          <w:sz w:val="24"/>
        </w:rPr>
        <w:t>1.乙方必须严格按照国家相关规定雇佣人员，加强承运车辆驾驶员的道路安全交通法、相关安全管理制度、操作技能等的培训教育，确保安全运输。禁止病车上路、超速行驶、超限超载行驶，严禁酒后驾车和疲劳驾车等。</w:t>
      </w:r>
    </w:p>
    <w:p>
      <w:pPr>
        <w:spacing w:line="560" w:lineRule="exact"/>
        <w:ind w:firstLine="480" w:firstLineChars="200"/>
        <w:rPr>
          <w:rFonts w:ascii="宋体" w:hAnsi="宋体" w:cs="宋体"/>
          <w:kern w:val="0"/>
          <w:sz w:val="24"/>
        </w:rPr>
      </w:pPr>
      <w:r>
        <w:rPr>
          <w:rFonts w:hint="eastAsia" w:ascii="宋体" w:hAnsi="宋体" w:cs="宋体"/>
          <w:kern w:val="0"/>
          <w:sz w:val="24"/>
        </w:rPr>
        <w:t>乙方聘请其他单位运输的，乙方应对运输单位的安全管理负责。</w:t>
      </w:r>
    </w:p>
    <w:p>
      <w:pPr>
        <w:widowControl/>
        <w:spacing w:line="560" w:lineRule="exact"/>
        <w:ind w:firstLine="480" w:firstLineChars="200"/>
        <w:jc w:val="left"/>
        <w:rPr>
          <w:rFonts w:ascii="宋体" w:hAnsi="宋体" w:cs="宋体"/>
          <w:kern w:val="0"/>
          <w:sz w:val="24"/>
        </w:rPr>
      </w:pPr>
      <w:r>
        <w:rPr>
          <w:rFonts w:hint="eastAsia" w:ascii="宋体" w:hAnsi="宋体" w:cs="宋体"/>
          <w:kern w:val="0"/>
          <w:sz w:val="24"/>
        </w:rPr>
        <w:t>2.乙方应采取措施，加强人员管理，对需进入甲方管辖区域的人员要做好三级安全教育工作、安全技术交底和培训，严防驾驶人员在运输过程中超速、超载、疲劳驾驶、违章操作等违法违章行为。一经发现应严格按制度规定落实教育处理并向甲方支付违约金</w:t>
      </w:r>
      <w:r>
        <w:rPr>
          <w:rFonts w:ascii="宋体" w:hAnsi="宋体" w:cs="宋体"/>
          <w:kern w:val="0"/>
          <w:sz w:val="24"/>
          <w:u w:val="single"/>
        </w:rPr>
        <w:t xml:space="preserve">      </w:t>
      </w:r>
      <w:r>
        <w:rPr>
          <w:rFonts w:hint="eastAsia" w:ascii="宋体" w:hAnsi="宋体" w:cs="宋体"/>
          <w:kern w:val="0"/>
          <w:sz w:val="24"/>
        </w:rPr>
        <w:t>元/次。</w:t>
      </w:r>
    </w:p>
    <w:p>
      <w:pPr>
        <w:widowControl/>
        <w:spacing w:line="560" w:lineRule="exact"/>
        <w:ind w:firstLine="480" w:firstLineChars="200"/>
        <w:jc w:val="left"/>
        <w:rPr>
          <w:rFonts w:ascii="宋体" w:hAnsi="宋体" w:cs="宋体"/>
          <w:kern w:val="0"/>
          <w:sz w:val="24"/>
        </w:rPr>
      </w:pPr>
      <w:r>
        <w:rPr>
          <w:rFonts w:hint="eastAsia" w:ascii="宋体" w:hAnsi="宋体" w:cs="宋体"/>
          <w:kern w:val="0"/>
          <w:sz w:val="24"/>
        </w:rPr>
        <w:t>3.乙方人员及车辆进入甲方管辖区内应自觉遵守甲方的规章制度和有关安全规定，按照现场人员指定线路行车，指定的区域停车、装卸。乙方人员不得擅自进入甲方其他生产作业区域。如有违反，将按甲方规定进行处理。</w:t>
      </w:r>
    </w:p>
    <w:p>
      <w:pPr>
        <w:widowControl/>
        <w:spacing w:line="560" w:lineRule="exact"/>
        <w:ind w:firstLine="480" w:firstLineChars="200"/>
        <w:jc w:val="left"/>
        <w:rPr>
          <w:rFonts w:ascii="宋体" w:hAnsi="宋体" w:cs="宋体"/>
          <w:kern w:val="0"/>
          <w:sz w:val="24"/>
        </w:rPr>
      </w:pPr>
      <w:r>
        <w:rPr>
          <w:rFonts w:hint="eastAsia" w:ascii="宋体" w:hAnsi="宋体" w:cs="宋体"/>
          <w:kern w:val="0"/>
          <w:sz w:val="24"/>
        </w:rPr>
        <w:t>4.如设备类物品需进行安装、调试，乙方应安排熟悉设备或有设备操作相关资质的专业人员与甲方进行设备验收及培训等工作，确保操作设备过程安全。</w:t>
      </w:r>
    </w:p>
    <w:p>
      <w:pPr>
        <w:spacing w:line="560" w:lineRule="exact"/>
        <w:ind w:firstLine="480" w:firstLineChars="200"/>
        <w:rPr>
          <w:rFonts w:ascii="宋体" w:hAnsi="宋体" w:cs="宋体"/>
          <w:kern w:val="0"/>
          <w:sz w:val="24"/>
        </w:rPr>
      </w:pPr>
      <w:r>
        <w:rPr>
          <w:rFonts w:hint="eastAsia" w:ascii="宋体" w:hAnsi="宋体" w:cs="宋体"/>
          <w:kern w:val="0"/>
          <w:sz w:val="24"/>
        </w:rPr>
        <w:t>（七）发生事故时，乙方须立即报警处理，乙方在力所能及范围内采取补救措施，并在30分钟内将情况报告甲方。</w:t>
      </w:r>
    </w:p>
    <w:p>
      <w:pPr>
        <w:spacing w:line="560" w:lineRule="exact"/>
        <w:ind w:firstLine="480" w:firstLineChars="200"/>
        <w:rPr>
          <w:rFonts w:ascii="宋体" w:hAnsi="宋体" w:cs="宋体"/>
          <w:kern w:val="0"/>
          <w:sz w:val="24"/>
        </w:rPr>
      </w:pPr>
      <w:r>
        <w:rPr>
          <w:rFonts w:hint="eastAsia" w:ascii="宋体" w:hAnsi="宋体" w:cs="宋体"/>
          <w:kern w:val="0"/>
          <w:sz w:val="24"/>
        </w:rPr>
        <w:t>（八）乙方必须严格履行本协议，遵守甲方各项安全管理规定，服从管理。乙方对存在问题拒不整改的，视为违约，甲方有权对乙方按主合同相关条款进行违约金扣罚。如乙方拒不缴纳违约金的，甲方有权在履约保证金中扣除。</w:t>
      </w:r>
    </w:p>
    <w:p>
      <w:pPr>
        <w:spacing w:line="560" w:lineRule="exact"/>
        <w:ind w:firstLine="480" w:firstLineChars="200"/>
        <w:rPr>
          <w:rFonts w:ascii="宋体" w:hAnsi="宋体" w:cs="宋体"/>
          <w:kern w:val="0"/>
          <w:sz w:val="24"/>
        </w:rPr>
      </w:pPr>
      <w:r>
        <w:rPr>
          <w:rFonts w:hint="eastAsia" w:ascii="宋体" w:hAnsi="宋体" w:cs="宋体"/>
          <w:kern w:val="0"/>
          <w:sz w:val="24"/>
        </w:rPr>
        <w:t>（九）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spacing w:line="560" w:lineRule="exact"/>
        <w:ind w:firstLine="480" w:firstLineChars="200"/>
        <w:rPr>
          <w:rFonts w:ascii="宋体" w:hAnsi="宋体" w:cs="宋体"/>
          <w:kern w:val="0"/>
          <w:sz w:val="24"/>
        </w:rPr>
      </w:pPr>
      <w:r>
        <w:rPr>
          <w:rFonts w:hint="eastAsia" w:ascii="宋体" w:hAnsi="宋体" w:cs="宋体"/>
          <w:kern w:val="0"/>
          <w:sz w:val="24"/>
        </w:rPr>
        <w:t>（十）乙方委托的第三方运输单位或个人，违反本协议的，全部责任均由乙方承担。</w:t>
      </w:r>
    </w:p>
    <w:p>
      <w:pPr>
        <w:pStyle w:val="12"/>
      </w:pPr>
      <w:bookmarkStart w:id="42" w:name="_GoBack"/>
      <w:bookmarkEnd w:id="42"/>
    </w:p>
    <w:p>
      <w:pPr>
        <w:pStyle w:val="36"/>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四、补充条款：</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w:t>
      </w:r>
    </w:p>
    <w:p>
      <w:pPr>
        <w:pStyle w:val="36"/>
        <w:spacing w:line="560" w:lineRule="exact"/>
        <w:ind w:firstLine="480" w:firstLineChars="200"/>
        <w:rPr>
          <w:rFonts w:asciiTheme="minorEastAsia" w:hAnsiTheme="minorEastAsia" w:eastAsiaTheme="minorEastAsia"/>
          <w:sz w:val="24"/>
        </w:rPr>
      </w:pP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五、附则</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（一）本协议未尽事宜，依据有关法律、法规、规章处理。法律、法规、规章没有明确规定的，经双方协商处理解决。</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（二）本协议与主合同同时签订、同时终止、同时生效，具有相同的法律效力，自甲方、乙方双方签字、盖章生效，甲方、乙方双方执持数量与主合同一致。</w:t>
      </w:r>
    </w:p>
    <w:p>
      <w:pPr>
        <w:adjustRightInd w:val="0"/>
        <w:snapToGrid w:val="0"/>
        <w:spacing w:line="560" w:lineRule="exact"/>
        <w:ind w:firstLine="480" w:firstLineChars="200"/>
        <w:jc w:val="left"/>
        <w:rPr>
          <w:rFonts w:asciiTheme="minorEastAsia" w:hAnsiTheme="minorEastAsia" w:eastAsiaTheme="minorEastAsia"/>
          <w:sz w:val="24"/>
        </w:rPr>
      </w:pPr>
    </w:p>
    <w:tbl>
      <w:tblPr>
        <w:tblStyle w:val="2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73"/>
        <w:gridCol w:w="4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73" w:type="dxa"/>
          </w:tcPr>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甲方：</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签约代表：</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联系电话：</w:t>
            </w:r>
          </w:p>
          <w:p>
            <w:pPr>
              <w:adjustRightInd w:val="0"/>
              <w:snapToGrid w:val="0"/>
              <w:spacing w:line="560" w:lineRule="exact"/>
              <w:ind w:right="662" w:firstLine="720" w:firstLineChars="300"/>
              <w:rPr>
                <w:rFonts w:asciiTheme="minorEastAsia" w:hAnsiTheme="minorEastAsia" w:eastAsiaTheme="minorEastAsia"/>
                <w:sz w:val="24"/>
              </w:rPr>
            </w:pPr>
            <w:r>
              <w:rPr>
                <w:rFonts w:hint="eastAsia" w:asciiTheme="minorEastAsia" w:hAnsiTheme="minorEastAsia" w:eastAsiaTheme="minorEastAsia"/>
                <w:sz w:val="24"/>
              </w:rPr>
              <w:t>年</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tc>
        <w:tc>
          <w:tcPr>
            <w:tcW w:w="4474" w:type="dxa"/>
          </w:tcPr>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乙方：</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签约代表：</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联系电话：</w:t>
            </w:r>
          </w:p>
          <w:p>
            <w:pPr>
              <w:adjustRightInd w:val="0"/>
              <w:snapToGrid w:val="0"/>
              <w:spacing w:line="560" w:lineRule="exact"/>
              <w:ind w:right="662"/>
              <w:jc w:val="center"/>
              <w:rPr>
                <w:rFonts w:asciiTheme="minorEastAsia" w:hAnsiTheme="minorEastAsia" w:eastAsiaTheme="minorEastAsia"/>
                <w:sz w:val="24"/>
              </w:rPr>
            </w:pPr>
            <w:r>
              <w:rPr>
                <w:rFonts w:hint="eastAsia" w:asciiTheme="minorEastAsia" w:hAnsiTheme="minorEastAsia" w:eastAsiaTheme="minorEastAsia"/>
                <w:sz w:val="24"/>
              </w:rPr>
              <w:t>年</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tc>
      </w:tr>
    </w:tbl>
    <w:p>
      <w:pPr>
        <w:widowControl/>
        <w:jc w:val="left"/>
        <w:rPr>
          <w:rFonts w:cs="宋体" w:asciiTheme="majorEastAsia" w:hAnsiTheme="majorEastAsia" w:eastAsiaTheme="majorEastAsia"/>
          <w:sz w:val="24"/>
        </w:rPr>
      </w:pPr>
    </w:p>
    <w:p>
      <w:pPr>
        <w:pStyle w:val="12"/>
      </w:pPr>
      <w:r>
        <w:br w:type="page"/>
      </w:r>
    </w:p>
    <w:p>
      <w:pPr>
        <w:widowControl/>
        <w:spacing w:after="160" w:line="360" w:lineRule="auto"/>
        <w:jc w:val="left"/>
        <w:rPr>
          <w:rFonts w:ascii="宋体" w:hAnsi="宋体" w:cs="宋体"/>
          <w:b/>
          <w:bCs/>
          <w:szCs w:val="21"/>
        </w:rPr>
      </w:pPr>
      <w:r>
        <w:rPr>
          <w:rFonts w:hint="eastAsia" w:ascii="宋体" w:hAnsi="宋体" w:cs="宋体"/>
          <w:b/>
          <w:bCs/>
          <w:szCs w:val="21"/>
        </w:rPr>
        <w:t>附件4：采购需求</w:t>
      </w:r>
    </w:p>
    <w:p>
      <w:pPr>
        <w:widowControl/>
        <w:spacing w:after="160" w:line="360" w:lineRule="auto"/>
        <w:jc w:val="center"/>
        <w:rPr>
          <w:rFonts w:ascii="方正小标宋简体" w:hAnsi="宋体" w:eastAsia="方正小标宋简体" w:cs="Calibri"/>
          <w:b/>
          <w:spacing w:val="20"/>
          <w:sz w:val="32"/>
          <w:szCs w:val="32"/>
        </w:rPr>
      </w:pPr>
      <w:r>
        <w:rPr>
          <w:rFonts w:hint="eastAsia" w:ascii="方正小标宋简体" w:hAnsi="宋体" w:eastAsia="方正小标宋简体" w:cs="Calibri"/>
          <w:b/>
          <w:spacing w:val="20"/>
          <w:sz w:val="32"/>
          <w:szCs w:val="32"/>
        </w:rPr>
        <w:t>采购需求</w:t>
      </w:r>
    </w:p>
    <w:tbl>
      <w:tblPr>
        <w:tblStyle w:val="27"/>
        <w:tblW w:w="9354" w:type="dxa"/>
        <w:tblInd w:w="0" w:type="dxa"/>
        <w:tblLayout w:type="autofit"/>
        <w:tblCellMar>
          <w:top w:w="0" w:type="dxa"/>
          <w:left w:w="108" w:type="dxa"/>
          <w:bottom w:w="0" w:type="dxa"/>
          <w:right w:w="108" w:type="dxa"/>
        </w:tblCellMar>
      </w:tblPr>
      <w:tblGrid>
        <w:gridCol w:w="2494"/>
        <w:gridCol w:w="794"/>
        <w:gridCol w:w="794"/>
        <w:gridCol w:w="5272"/>
      </w:tblGrid>
      <w:tr>
        <w:tblPrEx>
          <w:tblCellMar>
            <w:top w:w="0" w:type="dxa"/>
            <w:left w:w="108" w:type="dxa"/>
            <w:bottom w:w="0" w:type="dxa"/>
            <w:right w:w="108" w:type="dxa"/>
          </w:tblCellMar>
        </w:tblPrEx>
        <w:trPr>
          <w:trHeight w:val="390" w:hRule="atLeast"/>
        </w:trPr>
        <w:tc>
          <w:tcPr>
            <w:tcW w:w="249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新增配置名称</w:t>
            </w:r>
          </w:p>
        </w:tc>
        <w:tc>
          <w:tcPr>
            <w:tcW w:w="79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单位</w:t>
            </w:r>
          </w:p>
        </w:tc>
        <w:tc>
          <w:tcPr>
            <w:tcW w:w="79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数量</w:t>
            </w:r>
          </w:p>
        </w:tc>
        <w:tc>
          <w:tcPr>
            <w:tcW w:w="5272" w:type="dxa"/>
            <w:tcBorders>
              <w:top w:val="single" w:color="auto" w:sz="8" w:space="0"/>
              <w:left w:val="nil"/>
              <w:bottom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备注</w:t>
            </w:r>
          </w:p>
        </w:tc>
      </w:tr>
      <w:tr>
        <w:tblPrEx>
          <w:tblCellMar>
            <w:top w:w="0" w:type="dxa"/>
            <w:left w:w="108" w:type="dxa"/>
            <w:bottom w:w="0" w:type="dxa"/>
            <w:right w:w="108" w:type="dxa"/>
          </w:tblCellMar>
        </w:tblPrEx>
        <w:trPr>
          <w:trHeight w:val="390" w:hRule="atLeast"/>
        </w:trPr>
        <w:tc>
          <w:tcPr>
            <w:tcW w:w="249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氨氮在线分析仪</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台</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7</w:t>
            </w:r>
          </w:p>
        </w:tc>
        <w:tc>
          <w:tcPr>
            <w:tcW w:w="5272" w:type="dxa"/>
            <w:tcBorders>
              <w:top w:val="nil"/>
              <w:left w:val="nil"/>
              <w:bottom w:val="single" w:color="auto" w:sz="8" w:space="0"/>
            </w:tcBorders>
            <w:shd w:val="clear" w:color="auto" w:fill="auto"/>
            <w:vAlign w:val="center"/>
          </w:tcPr>
          <w:p>
            <w:pPr>
              <w:widowControl/>
              <w:jc w:val="left"/>
              <w:rPr>
                <w:rFonts w:ascii="仿宋_GB2312" w:hAnsi="仿宋" w:eastAsia="仿宋_GB2312" w:cs="宋体"/>
                <w:kern w:val="0"/>
                <w:sz w:val="28"/>
              </w:rPr>
            </w:pPr>
            <w:r>
              <w:rPr>
                <w:rFonts w:hint="eastAsia" w:ascii="仿宋_GB2312" w:hAnsi="仿宋" w:eastAsia="仿宋_GB2312" w:cs="宋体"/>
                <w:kern w:val="0"/>
                <w:sz w:val="28"/>
              </w:rPr>
              <w:t>水杨酸分光光度法/纳氏试剂比色法</w:t>
            </w:r>
          </w:p>
        </w:tc>
      </w:tr>
      <w:tr>
        <w:tblPrEx>
          <w:tblCellMar>
            <w:top w:w="0" w:type="dxa"/>
            <w:left w:w="108" w:type="dxa"/>
            <w:bottom w:w="0" w:type="dxa"/>
            <w:right w:w="108" w:type="dxa"/>
          </w:tblCellMar>
        </w:tblPrEx>
        <w:trPr>
          <w:trHeight w:val="390" w:hRule="atLeast"/>
        </w:trPr>
        <w:tc>
          <w:tcPr>
            <w:tcW w:w="249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硝酸盐氮分析仪</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台</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7</w:t>
            </w:r>
          </w:p>
        </w:tc>
        <w:tc>
          <w:tcPr>
            <w:tcW w:w="5272" w:type="dxa"/>
            <w:tcBorders>
              <w:top w:val="nil"/>
              <w:left w:val="nil"/>
              <w:bottom w:val="single" w:color="auto" w:sz="8" w:space="0"/>
            </w:tcBorders>
            <w:shd w:val="clear" w:color="auto" w:fill="auto"/>
            <w:vAlign w:val="center"/>
          </w:tcPr>
          <w:p>
            <w:pPr>
              <w:widowControl/>
              <w:jc w:val="left"/>
              <w:rPr>
                <w:rFonts w:ascii="仿宋_GB2312" w:hAnsi="仿宋" w:eastAsia="仿宋_GB2312" w:cs="宋体"/>
                <w:kern w:val="0"/>
                <w:sz w:val="28"/>
              </w:rPr>
            </w:pPr>
            <w:r>
              <w:rPr>
                <w:rFonts w:hint="eastAsia" w:ascii="仿宋_GB2312" w:hAnsi="仿宋" w:eastAsia="仿宋_GB2312" w:cs="宋体"/>
                <w:kern w:val="0"/>
                <w:sz w:val="28"/>
              </w:rPr>
              <w:t>紫外分光光度法</w:t>
            </w:r>
          </w:p>
        </w:tc>
      </w:tr>
      <w:tr>
        <w:tblPrEx>
          <w:tblCellMar>
            <w:top w:w="0" w:type="dxa"/>
            <w:left w:w="108" w:type="dxa"/>
            <w:bottom w:w="0" w:type="dxa"/>
            <w:right w:w="108" w:type="dxa"/>
          </w:tblCellMar>
        </w:tblPrEx>
        <w:trPr>
          <w:trHeight w:val="390" w:hRule="atLeast"/>
        </w:trPr>
        <w:tc>
          <w:tcPr>
            <w:tcW w:w="249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磷酸盐分析仪</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台</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7</w:t>
            </w:r>
          </w:p>
        </w:tc>
        <w:tc>
          <w:tcPr>
            <w:tcW w:w="5272" w:type="dxa"/>
            <w:tcBorders>
              <w:top w:val="nil"/>
              <w:left w:val="nil"/>
              <w:bottom w:val="single" w:color="auto" w:sz="8" w:space="0"/>
            </w:tcBorders>
            <w:shd w:val="clear" w:color="auto" w:fill="auto"/>
            <w:vAlign w:val="center"/>
          </w:tcPr>
          <w:p>
            <w:pPr>
              <w:widowControl/>
              <w:jc w:val="left"/>
              <w:rPr>
                <w:rFonts w:ascii="仿宋_GB2312" w:hAnsi="仿宋" w:eastAsia="仿宋_GB2312" w:cs="宋体"/>
                <w:kern w:val="0"/>
                <w:sz w:val="28"/>
              </w:rPr>
            </w:pPr>
            <w:r>
              <w:rPr>
                <w:rFonts w:hint="eastAsia" w:ascii="仿宋_GB2312" w:hAnsi="仿宋" w:eastAsia="仿宋_GB2312" w:cs="宋体"/>
                <w:kern w:val="0"/>
                <w:sz w:val="28"/>
              </w:rPr>
              <w:t>钼酸铵分光光度法</w:t>
            </w:r>
          </w:p>
        </w:tc>
      </w:tr>
      <w:tr>
        <w:tblPrEx>
          <w:tblCellMar>
            <w:top w:w="0" w:type="dxa"/>
            <w:left w:w="108" w:type="dxa"/>
            <w:bottom w:w="0" w:type="dxa"/>
            <w:right w:w="108" w:type="dxa"/>
          </w:tblCellMar>
        </w:tblPrEx>
        <w:trPr>
          <w:trHeight w:val="390" w:hRule="atLeast"/>
        </w:trPr>
        <w:tc>
          <w:tcPr>
            <w:tcW w:w="249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采水单元</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套</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28</w:t>
            </w:r>
          </w:p>
        </w:tc>
        <w:tc>
          <w:tcPr>
            <w:tcW w:w="5272" w:type="dxa"/>
            <w:tcBorders>
              <w:top w:val="nil"/>
              <w:left w:val="nil"/>
              <w:bottom w:val="single" w:color="auto" w:sz="8" w:space="0"/>
            </w:tcBorders>
            <w:shd w:val="clear" w:color="auto" w:fill="auto"/>
            <w:vAlign w:val="center"/>
          </w:tcPr>
          <w:p>
            <w:pPr>
              <w:widowControl/>
              <w:jc w:val="left"/>
              <w:rPr>
                <w:rFonts w:ascii="仿宋_GB2312" w:hAnsi="仿宋" w:eastAsia="仿宋_GB2312" w:cs="宋体"/>
                <w:kern w:val="0"/>
                <w:sz w:val="28"/>
              </w:rPr>
            </w:pPr>
            <w:r>
              <w:rPr>
                <w:rFonts w:hint="eastAsia" w:ascii="仿宋_GB2312" w:hAnsi="仿宋" w:eastAsia="仿宋_GB2312" w:cs="宋体"/>
                <w:kern w:val="0"/>
                <w:sz w:val="28"/>
              </w:rPr>
              <w:t>浮动取样，双管双泵等</w:t>
            </w:r>
          </w:p>
        </w:tc>
      </w:tr>
      <w:tr>
        <w:tblPrEx>
          <w:tblCellMar>
            <w:top w:w="0" w:type="dxa"/>
            <w:left w:w="108" w:type="dxa"/>
            <w:bottom w:w="0" w:type="dxa"/>
            <w:right w:w="108" w:type="dxa"/>
          </w:tblCellMar>
        </w:tblPrEx>
        <w:trPr>
          <w:trHeight w:val="765" w:hRule="atLeast"/>
        </w:trPr>
        <w:tc>
          <w:tcPr>
            <w:tcW w:w="249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预处理及配水单元</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套</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7</w:t>
            </w:r>
          </w:p>
        </w:tc>
        <w:tc>
          <w:tcPr>
            <w:tcW w:w="5272" w:type="dxa"/>
            <w:tcBorders>
              <w:top w:val="nil"/>
              <w:left w:val="nil"/>
              <w:bottom w:val="single" w:color="auto" w:sz="8" w:space="0"/>
            </w:tcBorders>
            <w:shd w:val="clear" w:color="auto" w:fill="auto"/>
            <w:vAlign w:val="center"/>
          </w:tcPr>
          <w:p>
            <w:pPr>
              <w:widowControl/>
              <w:jc w:val="left"/>
              <w:rPr>
                <w:rFonts w:ascii="仿宋_GB2312" w:hAnsi="仿宋" w:eastAsia="仿宋_GB2312" w:cs="宋体"/>
                <w:kern w:val="0"/>
                <w:sz w:val="28"/>
              </w:rPr>
            </w:pPr>
            <w:r>
              <w:rPr>
                <w:rFonts w:hint="eastAsia" w:ascii="仿宋_GB2312" w:hAnsi="仿宋" w:eastAsia="仿宋_GB2312" w:cs="宋体"/>
                <w:kern w:val="0"/>
                <w:sz w:val="28"/>
              </w:rPr>
              <w:t>对水样进行预处理、为仪表提供样水（含超声波均化及清洗装置、气洗装置、沉砂静置装置、样水杯、管路、水阀等）</w:t>
            </w:r>
          </w:p>
        </w:tc>
      </w:tr>
      <w:tr>
        <w:tblPrEx>
          <w:tblCellMar>
            <w:top w:w="0" w:type="dxa"/>
            <w:left w:w="108" w:type="dxa"/>
            <w:bottom w:w="0" w:type="dxa"/>
            <w:right w:w="108" w:type="dxa"/>
          </w:tblCellMar>
        </w:tblPrEx>
        <w:trPr>
          <w:trHeight w:val="765" w:hRule="atLeast"/>
        </w:trPr>
        <w:tc>
          <w:tcPr>
            <w:tcW w:w="249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数据采集与传输、系统控制单元</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套</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7</w:t>
            </w:r>
          </w:p>
        </w:tc>
        <w:tc>
          <w:tcPr>
            <w:tcW w:w="5272" w:type="dxa"/>
            <w:tcBorders>
              <w:top w:val="nil"/>
              <w:left w:val="nil"/>
              <w:bottom w:val="single" w:color="auto" w:sz="8" w:space="0"/>
            </w:tcBorders>
            <w:shd w:val="clear" w:color="auto" w:fill="auto"/>
            <w:vAlign w:val="center"/>
          </w:tcPr>
          <w:p>
            <w:pPr>
              <w:widowControl/>
              <w:jc w:val="left"/>
              <w:rPr>
                <w:rFonts w:ascii="仿宋_GB2312" w:hAnsi="仿宋" w:eastAsia="仿宋_GB2312" w:cs="宋体"/>
                <w:kern w:val="0"/>
                <w:sz w:val="28"/>
              </w:rPr>
            </w:pPr>
            <w:r>
              <w:rPr>
                <w:rFonts w:hint="eastAsia" w:ascii="仿宋_GB2312" w:hAnsi="仿宋" w:eastAsia="仿宋_GB2312" w:cs="宋体"/>
                <w:kern w:val="0"/>
                <w:sz w:val="28"/>
              </w:rPr>
              <w:t>数据采集、传输和系统采配水控制等</w:t>
            </w:r>
          </w:p>
        </w:tc>
      </w:tr>
      <w:tr>
        <w:tblPrEx>
          <w:tblCellMar>
            <w:top w:w="0" w:type="dxa"/>
            <w:left w:w="108" w:type="dxa"/>
            <w:bottom w:w="0" w:type="dxa"/>
            <w:right w:w="108" w:type="dxa"/>
          </w:tblCellMar>
        </w:tblPrEx>
        <w:trPr>
          <w:trHeight w:val="390" w:hRule="atLeast"/>
        </w:trPr>
        <w:tc>
          <w:tcPr>
            <w:tcW w:w="249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一体化柜</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台</w:t>
            </w:r>
          </w:p>
        </w:tc>
        <w:tc>
          <w:tcPr>
            <w:tcW w:w="79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7</w:t>
            </w:r>
          </w:p>
        </w:tc>
        <w:tc>
          <w:tcPr>
            <w:tcW w:w="5272" w:type="dxa"/>
            <w:tcBorders>
              <w:top w:val="nil"/>
              <w:left w:val="nil"/>
              <w:bottom w:val="single" w:color="auto" w:sz="8" w:space="0"/>
            </w:tcBorders>
            <w:shd w:val="clear" w:color="auto" w:fill="auto"/>
            <w:vAlign w:val="center"/>
          </w:tcPr>
          <w:p>
            <w:pPr>
              <w:widowControl/>
              <w:jc w:val="left"/>
              <w:rPr>
                <w:rFonts w:ascii="仿宋_GB2312" w:hAnsi="仿宋" w:eastAsia="仿宋_GB2312" w:cs="宋体"/>
                <w:kern w:val="0"/>
                <w:sz w:val="28"/>
              </w:rPr>
            </w:pPr>
            <w:r>
              <w:rPr>
                <w:rFonts w:hint="eastAsia" w:ascii="仿宋_GB2312" w:hAnsi="仿宋" w:eastAsia="仿宋_GB2312" w:cs="宋体"/>
                <w:kern w:val="0"/>
                <w:sz w:val="28"/>
              </w:rPr>
              <w:t>占地不大于2平方</w:t>
            </w:r>
          </w:p>
        </w:tc>
      </w:tr>
    </w:tbl>
    <w:p>
      <w:pPr>
        <w:rPr>
          <w:rFonts w:ascii="仿宋_GB2312" w:eastAsia="仿宋_GB2312"/>
          <w:sz w:val="28"/>
        </w:rPr>
      </w:pPr>
      <w:r>
        <w:rPr>
          <w:rFonts w:hint="eastAsia" w:ascii="仿宋_GB2312" w:eastAsia="仿宋_GB2312"/>
          <w:sz w:val="28"/>
        </w:rPr>
        <w:t>备注：</w:t>
      </w:r>
    </w:p>
    <w:p>
      <w:pPr>
        <w:adjustRightInd w:val="0"/>
        <w:snapToGrid w:val="0"/>
        <w:ind w:firstLine="560" w:firstLineChars="200"/>
        <w:rPr>
          <w:rFonts w:ascii="仿宋_GB2312" w:eastAsia="仿宋_GB2312"/>
          <w:sz w:val="28"/>
        </w:rPr>
      </w:pPr>
      <w:r>
        <w:rPr>
          <w:rFonts w:hint="eastAsia" w:ascii="仿宋_GB2312" w:eastAsia="仿宋_GB2312"/>
          <w:sz w:val="28"/>
        </w:rPr>
        <w:t>1.报价人所提供的数据采集传输仪，须与已有监测仪器能匹配使用，并提供原厂商质量保证承诺书和售后服务承诺书及设备易损件的明细、价格、供应渠道和售后服务年限。</w:t>
      </w:r>
    </w:p>
    <w:p>
      <w:pPr>
        <w:adjustRightInd w:val="0"/>
        <w:snapToGrid w:val="0"/>
        <w:ind w:firstLine="560" w:firstLineChars="200"/>
        <w:rPr>
          <w:rFonts w:ascii="仿宋_GB2312" w:eastAsia="仿宋_GB2312"/>
          <w:sz w:val="28"/>
        </w:rPr>
      </w:pPr>
      <w:r>
        <w:rPr>
          <w:rFonts w:hint="eastAsia" w:ascii="仿宋_GB2312" w:eastAsia="仿宋_GB2312"/>
          <w:sz w:val="28"/>
        </w:rPr>
        <w:t>2.报价人需提供数据采集、处理、分析系统，根据HJ212-2017传输标准，收集监测数值，并进行处理及分析，同时应提供标准数据接口，将仪表数据共享至广州市净水有限公司平台。</w:t>
      </w:r>
    </w:p>
    <w:p>
      <w:pPr>
        <w:adjustRightInd w:val="0"/>
        <w:snapToGrid w:val="0"/>
        <w:ind w:firstLine="560" w:firstLineChars="200"/>
        <w:rPr>
          <w:rFonts w:ascii="仿宋_GB2312" w:eastAsia="仿宋_GB2312"/>
          <w:sz w:val="28"/>
        </w:rPr>
      </w:pPr>
      <w:bookmarkStart w:id="40" w:name="OLE_LINK4"/>
      <w:bookmarkStart w:id="41" w:name="OLE_LINK3"/>
      <w:r>
        <w:rPr>
          <w:rFonts w:hint="eastAsia" w:ascii="仿宋_GB2312" w:eastAsia="仿宋_GB2312"/>
          <w:sz w:val="28"/>
        </w:rPr>
        <w:t>▲3.中选人需按照询价人的要求就预处理等系统在使用期间免费进行联合开发、调整，成果共享，为方便调试、调整，中选人须根据询价人要求长期派驻驻厂工程师至少一名。</w:t>
      </w:r>
    </w:p>
    <w:bookmarkEnd w:id="40"/>
    <w:bookmarkEnd w:id="41"/>
    <w:p>
      <w:pPr>
        <w:adjustRightInd w:val="0"/>
        <w:snapToGrid w:val="0"/>
        <w:ind w:firstLine="560" w:firstLineChars="200"/>
        <w:rPr>
          <w:rFonts w:ascii="仿宋_GB2312" w:eastAsia="仿宋_GB2312"/>
          <w:sz w:val="28"/>
        </w:rPr>
      </w:pPr>
      <w:r>
        <w:rPr>
          <w:rFonts w:hint="eastAsia" w:ascii="仿宋_GB2312" w:eastAsia="仿宋_GB2312"/>
          <w:sz w:val="28"/>
        </w:rPr>
        <w:t>4．中选人需与甲方签订保密协议，对项目实施过程中获取的广州市净水有限公司及所属净水厂所有运行数据、参数、经营信息保密。</w:t>
      </w:r>
    </w:p>
    <w:p>
      <w:pPr>
        <w:pStyle w:val="12"/>
      </w:pPr>
    </w:p>
    <w:p>
      <w:pPr>
        <w:widowControl/>
        <w:jc w:val="left"/>
        <w:rPr>
          <w:rFonts w:cs="宋体" w:asciiTheme="majorEastAsia" w:hAnsiTheme="majorEastAsia" w:eastAsiaTheme="majorEastAsia"/>
          <w:sz w:val="24"/>
        </w:rPr>
      </w:pPr>
      <w:r>
        <w:rPr>
          <w:rFonts w:cs="宋体" w:asciiTheme="majorEastAsia" w:hAnsiTheme="majorEastAsia" w:eastAsiaTheme="majorEastAsia"/>
          <w:sz w:val="24"/>
        </w:rPr>
        <w:br w:type="page"/>
      </w:r>
    </w:p>
    <w:p>
      <w:pPr>
        <w:widowControl/>
        <w:spacing w:after="160" w:line="360" w:lineRule="auto"/>
        <w:jc w:val="left"/>
        <w:rPr>
          <w:rFonts w:ascii="宋体" w:hAnsi="宋体" w:cs="宋体"/>
          <w:b/>
          <w:bCs/>
          <w:szCs w:val="21"/>
        </w:rPr>
      </w:pPr>
      <w:r>
        <w:rPr>
          <w:rFonts w:hint="eastAsia" w:ascii="宋体" w:hAnsi="宋体" w:cs="宋体"/>
          <w:b/>
          <w:bCs/>
          <w:szCs w:val="21"/>
        </w:rPr>
        <w:t>附件</w:t>
      </w:r>
      <w:r>
        <w:rPr>
          <w:rFonts w:ascii="宋体" w:hAnsi="宋体" w:cs="宋体"/>
          <w:b/>
          <w:bCs/>
          <w:szCs w:val="21"/>
        </w:rPr>
        <w:t>5</w:t>
      </w:r>
      <w:r>
        <w:rPr>
          <w:rFonts w:hint="eastAsia" w:ascii="宋体" w:hAnsi="宋体" w:cs="宋体"/>
          <w:b/>
          <w:bCs/>
          <w:szCs w:val="21"/>
        </w:rPr>
        <w:t>：保密协议</w:t>
      </w:r>
    </w:p>
    <w:p>
      <w:pPr>
        <w:jc w:val="center"/>
        <w:rPr>
          <w:rFonts w:ascii="方正小标宋简体" w:hAnsi="仿宋" w:eastAsia="方正小标宋简体" w:cs="仿宋"/>
          <w:b/>
          <w:bCs/>
          <w:sz w:val="30"/>
          <w:szCs w:val="30"/>
        </w:rPr>
      </w:pPr>
      <w:r>
        <w:rPr>
          <w:rFonts w:hint="eastAsia" w:ascii="方正小标宋简体" w:hAnsi="仿宋" w:eastAsia="方正小标宋简体" w:cs="仿宋"/>
          <w:b/>
          <w:bCs/>
          <w:sz w:val="30"/>
          <w:szCs w:val="30"/>
        </w:rPr>
        <w:t>保密协议</w:t>
      </w:r>
    </w:p>
    <w:p>
      <w:pPr>
        <w:rPr>
          <w:rFonts w:ascii="仿宋" w:hAnsi="仿宋" w:eastAsia="仿宋" w:cs="仿宋"/>
          <w:sz w:val="30"/>
          <w:szCs w:val="30"/>
        </w:rPr>
      </w:pPr>
      <w:r>
        <w:rPr>
          <w:rFonts w:hint="eastAsia" w:ascii="仿宋" w:hAnsi="仿宋" w:eastAsia="仿宋" w:cs="仿宋"/>
          <w:sz w:val="30"/>
          <w:szCs w:val="30"/>
        </w:rPr>
        <w:t>甲方:广州市净水有限公司</w:t>
      </w:r>
    </w:p>
    <w:p>
      <w:pPr>
        <w:jc w:val="left"/>
        <w:rPr>
          <w:rFonts w:ascii="仿宋" w:hAnsi="仿宋" w:eastAsia="仿宋" w:cs="仿宋"/>
          <w:sz w:val="30"/>
          <w:szCs w:val="30"/>
        </w:rPr>
      </w:pPr>
      <w:r>
        <w:rPr>
          <w:rFonts w:hint="eastAsia" w:ascii="仿宋" w:hAnsi="仿宋" w:eastAsia="仿宋" w:cs="仿宋"/>
          <w:sz w:val="30"/>
          <w:szCs w:val="30"/>
        </w:rPr>
        <w:t>乙方:</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乙方现正参与</w:t>
      </w:r>
      <w:r>
        <w:rPr>
          <w:rFonts w:hint="eastAsia" w:ascii="仿宋" w:hAnsi="仿宋" w:eastAsia="仿宋" w:cs="仿宋"/>
          <w:sz w:val="30"/>
          <w:szCs w:val="30"/>
          <w:u w:val="single"/>
        </w:rPr>
        <w:t>污水处理过程精细化控制研究项目仪表采购</w:t>
      </w:r>
      <w:r>
        <w:rPr>
          <w:rFonts w:hint="eastAsia" w:ascii="仿宋" w:hAnsi="仿宋" w:eastAsia="仿宋" w:cs="仿宋"/>
          <w:sz w:val="30"/>
          <w:szCs w:val="30"/>
        </w:rPr>
        <w:t>项目，已经(或将要)知悉甲方的设备、运行等保密信息，为明确双方的保密义务，有效保护双方的利益，防止甲方保密信息被公开披露或以任何形式泄漏，甲、乙双方本着平等、自愿、公平和诚实信用的原则签订本保密协议。</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 xml:space="preserve">第一条 </w:t>
      </w:r>
      <w:r>
        <w:rPr>
          <w:rFonts w:ascii="仿宋" w:hAnsi="仿宋" w:eastAsia="仿宋" w:cs="仿宋"/>
          <w:sz w:val="30"/>
          <w:szCs w:val="30"/>
        </w:rPr>
        <w:t xml:space="preserve"> </w:t>
      </w:r>
      <w:r>
        <w:rPr>
          <w:rFonts w:hint="eastAsia" w:ascii="仿宋" w:hAnsi="仿宋" w:eastAsia="仿宋" w:cs="仿宋"/>
          <w:sz w:val="30"/>
          <w:szCs w:val="30"/>
        </w:rPr>
        <w:t>保密信息</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本协议所指的保密信息:</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(一)系指乙方在合同履行过程中所获悉的甲方的所有材料及信息，包括但不限于:</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1.污水处理系统设备设施参数、工况参数。</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2.污水处理系统所有运行数据、参数。</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3.广州市净水有限公司及所属净水厂所有运行数据、参数、经营信息。</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4.甲方声明的设施设备操作、维修维护注意事项。</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（二）系指乙方在合同履行过程中乙方所使用的:</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1.设备需保密的信息</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第二条  保密义务人</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甲、乙双方均为本协议所称的保密义务人，双方对前述对方实际移交的信息承担保密义务。未经一方同意，另一方不得向第三方提供或披露上述保密信息(因行政管理部门或者司法部门要求提供或披露的信息除外，但应及时知会对方。)</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第三条  保密义务人的保密义务</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1.乙方保证用于履行合同的技术信息、专有信息、经营信息等文件和资料均享有合法的所有权、著作权、专利权等权利，或已依法取得相关授权许可。如因乙方侵犯第三方的知识产权造成的法律责任，均由乙方承担并赔偿甲方的损失。</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2.乙方承诺，未经甲方同意，乙方不得公开甲方的项目信息，否则由此造成的损失由乙方承担。</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3.甲方在合同履行过程中获悉的乙方所有涉密资料，为该合同和今后甲方及下属污水处理厂使用。除此目的外，未经乙方同意，甲方不得以任何方式揭露或提供给第三人。</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第四条  本协议书之效力、权利归属</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本协议中甲方享有的全部权利均及于广州市净水有限公司与乙方进行项目合作的子公司、分公司或其他分支机构。双方承担的义务均及于双方所属母公司、下属子公司、分公司、其他分支机构及其下属员工。</w:t>
      </w:r>
    </w:p>
    <w:p>
      <w:pPr>
        <w:ind w:firstLine="900" w:firstLineChars="300"/>
        <w:jc w:val="left"/>
        <w:rPr>
          <w:rFonts w:ascii="仿宋" w:hAnsi="仿宋" w:eastAsia="仿宋" w:cs="仿宋"/>
          <w:sz w:val="30"/>
          <w:szCs w:val="30"/>
        </w:rPr>
      </w:pPr>
      <w:r>
        <w:rPr>
          <w:rFonts w:hint="eastAsia" w:ascii="仿宋" w:hAnsi="仿宋" w:eastAsia="仿宋" w:cs="仿宋"/>
          <w:sz w:val="30"/>
          <w:szCs w:val="30"/>
        </w:rPr>
        <w:t>第五条  违约责任</w:t>
      </w:r>
    </w:p>
    <w:p>
      <w:pPr>
        <w:ind w:firstLine="900" w:firstLineChars="300"/>
        <w:jc w:val="left"/>
        <w:rPr>
          <w:rFonts w:ascii="仿宋" w:hAnsi="仿宋" w:eastAsia="仿宋" w:cs="仿宋"/>
          <w:sz w:val="30"/>
          <w:szCs w:val="30"/>
        </w:rPr>
      </w:pPr>
      <w:r>
        <w:rPr>
          <w:rFonts w:hint="eastAsia" w:ascii="仿宋" w:hAnsi="仿宋" w:eastAsia="仿宋" w:cs="仿宋"/>
          <w:sz w:val="30"/>
          <w:szCs w:val="30"/>
        </w:rPr>
        <w:t>1.甲乙双方如故意、过失将保密信息泄露给第三方导致对方损失的，应对此进行赔偿。</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2.因调查对方的违约或授权行为而支付的合理费用，如律师费、公证费、取证费等，应当包含在损失赔偿额之内。</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3.任何一方恶意泄露商业秘密的，对方有权通过法律手段追究其法律责任。</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第六条  争议的解决方法</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因执行本协议而发生纠纷的，可以由双方协商解决，协商不成，或者一方不愿意协商、调解的，争议将提交甲方所在地人民法院管辖解决。</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第七条  双方确认</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在签署本协议前，双方已经详细审阅了协议的内容，并完全了解协议各条款的法律含义。</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第八条 协议的效力和变更</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本协议与主合同同时签订、同时终止、同时生效，具有相同的法律效力，自甲方、乙方双方签字、盖章生效，甲方、乙方双方执持数量与主合同一致。</w:t>
      </w:r>
    </w:p>
    <w:p>
      <w:pPr>
        <w:ind w:firstLine="600" w:firstLineChars="200"/>
        <w:jc w:val="left"/>
        <w:rPr>
          <w:rFonts w:ascii="仿宋" w:hAnsi="仿宋" w:eastAsia="仿宋" w:cs="仿宋"/>
          <w:sz w:val="30"/>
          <w:szCs w:val="30"/>
        </w:rPr>
      </w:pPr>
    </w:p>
    <w:tbl>
      <w:tblPr>
        <w:tblStyle w:val="2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73"/>
        <w:gridCol w:w="4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73" w:type="dxa"/>
          </w:tcPr>
          <w:p>
            <w:pPr>
              <w:jc w:val="left"/>
              <w:rPr>
                <w:rFonts w:ascii="仿宋" w:hAnsi="仿宋" w:eastAsia="仿宋" w:cs="仿宋"/>
                <w:sz w:val="30"/>
                <w:szCs w:val="30"/>
              </w:rPr>
            </w:pPr>
            <w:r>
              <w:rPr>
                <w:rFonts w:hint="eastAsia" w:ascii="仿宋" w:hAnsi="仿宋" w:eastAsia="仿宋" w:cs="仿宋"/>
                <w:sz w:val="30"/>
                <w:szCs w:val="30"/>
              </w:rPr>
              <w:t>甲方：</w:t>
            </w:r>
          </w:p>
          <w:p>
            <w:pPr>
              <w:jc w:val="left"/>
              <w:rPr>
                <w:rFonts w:ascii="仿宋" w:hAnsi="仿宋" w:eastAsia="仿宋" w:cs="仿宋"/>
                <w:sz w:val="30"/>
                <w:szCs w:val="30"/>
              </w:rPr>
            </w:pPr>
            <w:r>
              <w:rPr>
                <w:rFonts w:hint="eastAsia" w:ascii="仿宋" w:hAnsi="仿宋" w:eastAsia="仿宋" w:cs="仿宋"/>
                <w:sz w:val="30"/>
                <w:szCs w:val="30"/>
              </w:rPr>
              <w:t>签约代表：</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年</w:t>
            </w:r>
            <w:r>
              <w:rPr>
                <w:rFonts w:ascii="仿宋" w:hAnsi="仿宋" w:eastAsia="仿宋" w:cs="仿宋"/>
                <w:sz w:val="30"/>
                <w:szCs w:val="30"/>
              </w:rPr>
              <w:t xml:space="preserve">    </w:t>
            </w:r>
            <w:r>
              <w:rPr>
                <w:rFonts w:hint="eastAsia" w:ascii="仿宋" w:hAnsi="仿宋" w:eastAsia="仿宋" w:cs="仿宋"/>
                <w:sz w:val="30"/>
                <w:szCs w:val="30"/>
              </w:rPr>
              <w:t>月</w:t>
            </w:r>
            <w:r>
              <w:rPr>
                <w:rFonts w:ascii="仿宋" w:hAnsi="仿宋" w:eastAsia="仿宋" w:cs="仿宋"/>
                <w:sz w:val="30"/>
                <w:szCs w:val="30"/>
              </w:rPr>
              <w:t xml:space="preserve">    </w:t>
            </w:r>
            <w:r>
              <w:rPr>
                <w:rFonts w:hint="eastAsia" w:ascii="仿宋" w:hAnsi="仿宋" w:eastAsia="仿宋" w:cs="仿宋"/>
                <w:sz w:val="30"/>
                <w:szCs w:val="30"/>
              </w:rPr>
              <w:t>日</w:t>
            </w:r>
          </w:p>
        </w:tc>
        <w:tc>
          <w:tcPr>
            <w:tcW w:w="4474" w:type="dxa"/>
          </w:tcPr>
          <w:p>
            <w:pPr>
              <w:jc w:val="left"/>
              <w:rPr>
                <w:rFonts w:ascii="仿宋" w:hAnsi="仿宋" w:eastAsia="仿宋" w:cs="仿宋"/>
                <w:sz w:val="30"/>
                <w:szCs w:val="30"/>
              </w:rPr>
            </w:pPr>
            <w:r>
              <w:rPr>
                <w:rFonts w:hint="eastAsia" w:ascii="仿宋" w:hAnsi="仿宋" w:eastAsia="仿宋" w:cs="仿宋"/>
                <w:sz w:val="30"/>
                <w:szCs w:val="30"/>
              </w:rPr>
              <w:t>乙方：</w:t>
            </w:r>
          </w:p>
          <w:p>
            <w:pPr>
              <w:jc w:val="left"/>
              <w:rPr>
                <w:rFonts w:ascii="仿宋" w:hAnsi="仿宋" w:eastAsia="仿宋" w:cs="仿宋"/>
                <w:sz w:val="30"/>
                <w:szCs w:val="30"/>
              </w:rPr>
            </w:pPr>
            <w:r>
              <w:rPr>
                <w:rFonts w:hint="eastAsia" w:ascii="仿宋" w:hAnsi="仿宋" w:eastAsia="仿宋" w:cs="仿宋"/>
                <w:sz w:val="30"/>
                <w:szCs w:val="30"/>
              </w:rPr>
              <w:t>签约代表：</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年</w:t>
            </w:r>
            <w:r>
              <w:rPr>
                <w:rFonts w:ascii="仿宋" w:hAnsi="仿宋" w:eastAsia="仿宋" w:cs="仿宋"/>
                <w:sz w:val="30"/>
                <w:szCs w:val="30"/>
              </w:rPr>
              <w:t xml:space="preserve">    </w:t>
            </w:r>
            <w:r>
              <w:rPr>
                <w:rFonts w:hint="eastAsia" w:ascii="仿宋" w:hAnsi="仿宋" w:eastAsia="仿宋" w:cs="仿宋"/>
                <w:sz w:val="30"/>
                <w:szCs w:val="30"/>
              </w:rPr>
              <w:t>月</w:t>
            </w:r>
            <w:r>
              <w:rPr>
                <w:rFonts w:ascii="仿宋" w:hAnsi="仿宋" w:eastAsia="仿宋" w:cs="仿宋"/>
                <w:sz w:val="30"/>
                <w:szCs w:val="30"/>
              </w:rPr>
              <w:t xml:space="preserve">    </w:t>
            </w:r>
            <w:r>
              <w:rPr>
                <w:rFonts w:hint="eastAsia" w:ascii="仿宋" w:hAnsi="仿宋" w:eastAsia="仿宋" w:cs="仿宋"/>
                <w:sz w:val="30"/>
                <w:szCs w:val="30"/>
              </w:rPr>
              <w:t>日</w:t>
            </w:r>
          </w:p>
        </w:tc>
      </w:tr>
    </w:tbl>
    <w:p>
      <w:pPr>
        <w:jc w:val="left"/>
        <w:rPr>
          <w:rFonts w:ascii="仿宋" w:hAnsi="仿宋" w:eastAsia="仿宋" w:cs="仿宋"/>
          <w:sz w:val="30"/>
          <w:szCs w:val="30"/>
        </w:rPr>
      </w:pPr>
    </w:p>
    <w:p>
      <w:pPr>
        <w:widowControl/>
        <w:jc w:val="left"/>
        <w:rPr>
          <w:rFonts w:cs="宋体" w:asciiTheme="majorEastAsia" w:hAnsiTheme="majorEastAsia" w:eastAsiaTheme="majorEastAsia"/>
          <w:sz w:val="24"/>
        </w:rPr>
      </w:pPr>
    </w:p>
    <w:p>
      <w:pPr>
        <w:widowControl/>
        <w:jc w:val="left"/>
        <w:rPr>
          <w:rFonts w:cs="宋体" w:asciiTheme="majorEastAsia" w:hAnsiTheme="majorEastAsia" w:eastAsiaTheme="majorEastAsia"/>
          <w:sz w:val="24"/>
        </w:rPr>
      </w:pPr>
      <w:r>
        <w:rPr>
          <w:rFonts w:cs="宋体" w:asciiTheme="majorEastAsia" w:hAnsiTheme="majorEastAsia" w:eastAsiaTheme="majorEastAsia"/>
          <w:sz w:val="24"/>
        </w:rPr>
        <w:br w:type="page"/>
      </w:r>
    </w:p>
    <w:p>
      <w:pPr>
        <w:pStyle w:val="5"/>
        <w:spacing w:line="360" w:lineRule="auto"/>
        <w:jc w:val="center"/>
        <w:rPr>
          <w:rFonts w:cs="仿宋_GB2312" w:asciiTheme="majorEastAsia" w:hAnsiTheme="majorEastAsia" w:eastAsiaTheme="majorEastAsia"/>
          <w:sz w:val="28"/>
          <w:szCs w:val="28"/>
        </w:rPr>
      </w:pPr>
      <w:r>
        <w:rPr>
          <w:rFonts w:hint="eastAsia" w:cs="仿宋_GB2312" w:asciiTheme="majorEastAsia" w:hAnsiTheme="majorEastAsia" w:eastAsiaTheme="majorEastAsia"/>
          <w:sz w:val="28"/>
          <w:szCs w:val="28"/>
        </w:rPr>
        <w:t>第五部分　响应文件格式</w:t>
      </w:r>
    </w:p>
    <w:p>
      <w:pPr>
        <w:pStyle w:val="14"/>
        <w:spacing w:line="360" w:lineRule="auto"/>
        <w:rPr>
          <w:rFonts w:cs="仿宋_GB2312" w:asciiTheme="majorEastAsia" w:hAnsiTheme="majorEastAsia" w:eastAsiaTheme="majorEastAsia"/>
          <w:b/>
          <w:sz w:val="28"/>
          <w:szCs w:val="28"/>
        </w:rPr>
      </w:pPr>
    </w:p>
    <w:p>
      <w:pPr>
        <w:spacing w:line="360" w:lineRule="auto"/>
        <w:jc w:val="center"/>
        <w:rPr>
          <w:rFonts w:cs="仿宋_GB2312" w:asciiTheme="majorEastAsia" w:hAnsiTheme="majorEastAsia" w:eastAsiaTheme="majorEastAsia"/>
          <w:b/>
          <w:sz w:val="28"/>
          <w:szCs w:val="28"/>
        </w:rPr>
      </w:pPr>
    </w:p>
    <w:p>
      <w:pPr>
        <w:rPr>
          <w:rFonts w:cs="仿宋_GB2312" w:asciiTheme="majorEastAsia" w:hAnsiTheme="majorEastAsia" w:eastAsiaTheme="majorEastAsia"/>
          <w:b/>
          <w:sz w:val="28"/>
          <w:szCs w:val="28"/>
        </w:rPr>
      </w:pPr>
    </w:p>
    <w:p>
      <w:pPr>
        <w:pStyle w:val="14"/>
        <w:tabs>
          <w:tab w:val="left" w:pos="1260"/>
        </w:tabs>
        <w:rPr>
          <w:rFonts w:cs="仿宋_GB2312" w:asciiTheme="majorEastAsia" w:hAnsiTheme="majorEastAsia" w:eastAsiaTheme="majorEastAsia"/>
          <w:b/>
          <w:spacing w:val="100"/>
          <w:w w:val="110"/>
          <w:kern w:val="0"/>
          <w:sz w:val="28"/>
          <w:szCs w:val="28"/>
        </w:rPr>
      </w:pPr>
    </w:p>
    <w:p>
      <w:pPr>
        <w:pStyle w:val="14"/>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sz w:val="28"/>
          <w:szCs w:val="28"/>
          <w:u w:val="single"/>
        </w:rPr>
        <w:t>广州市净水有限公司污水处理过程精细化控制研究项目仪表采购项目</w:t>
      </w:r>
    </w:p>
    <w:p>
      <w:pPr>
        <w:pStyle w:val="14"/>
        <w:tabs>
          <w:tab w:val="left" w:pos="1260"/>
        </w:tabs>
        <w:jc w:val="center"/>
        <w:rPr>
          <w:rFonts w:cs="仿宋_GB2312" w:asciiTheme="majorEastAsia" w:hAnsiTheme="majorEastAsia" w:eastAsiaTheme="majorEastAsia"/>
          <w:b/>
          <w:spacing w:val="100"/>
          <w:w w:val="110"/>
          <w:sz w:val="28"/>
          <w:szCs w:val="28"/>
        </w:rPr>
      </w:pPr>
      <w:r>
        <w:rPr>
          <w:rFonts w:hint="eastAsia" w:cs="仿宋_GB2312" w:asciiTheme="majorEastAsia" w:hAnsiTheme="majorEastAsia" w:eastAsiaTheme="majorEastAsia"/>
          <w:b/>
          <w:spacing w:val="100"/>
          <w:w w:val="110"/>
          <w:kern w:val="0"/>
          <w:sz w:val="28"/>
          <w:szCs w:val="28"/>
        </w:rPr>
        <w:t>询价响应文件</w:t>
      </w:r>
    </w:p>
    <w:p>
      <w:pPr>
        <w:pStyle w:val="14"/>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（正本</w:t>
      </w:r>
      <w:r>
        <w:rPr>
          <w:rFonts w:cs="仿宋_GB2312" w:asciiTheme="majorEastAsia" w:hAnsiTheme="majorEastAsia" w:eastAsiaTheme="majorEastAsia"/>
          <w:b/>
          <w:sz w:val="28"/>
          <w:szCs w:val="28"/>
        </w:rPr>
        <w:t>/副本）</w:t>
      </w:r>
    </w:p>
    <w:p>
      <w:pPr>
        <w:pStyle w:val="14"/>
        <w:jc w:val="center"/>
        <w:rPr>
          <w:rFonts w:cs="仿宋_GB2312" w:asciiTheme="majorEastAsia" w:hAnsiTheme="majorEastAsia" w:eastAsiaTheme="majorEastAsia"/>
          <w:b/>
          <w:sz w:val="28"/>
          <w:szCs w:val="28"/>
        </w:rPr>
      </w:pPr>
    </w:p>
    <w:p>
      <w:pPr>
        <w:pStyle w:val="14"/>
        <w:jc w:val="center"/>
        <w:rPr>
          <w:rFonts w:cs="仿宋_GB2312" w:asciiTheme="majorEastAsia" w:hAnsiTheme="majorEastAsia" w:eastAsiaTheme="majorEastAsia"/>
          <w:b/>
          <w:sz w:val="28"/>
          <w:szCs w:val="28"/>
        </w:rPr>
      </w:pPr>
    </w:p>
    <w:p>
      <w:pPr>
        <w:pStyle w:val="14"/>
        <w:spacing w:line="360" w:lineRule="auto"/>
        <w:rPr>
          <w:rFonts w:cs="仿宋_GB2312" w:asciiTheme="majorEastAsia" w:hAnsiTheme="majorEastAsia" w:eastAsiaTheme="majorEastAsia"/>
          <w:sz w:val="28"/>
          <w:szCs w:val="28"/>
          <w:u w:val="single"/>
        </w:rPr>
      </w:pPr>
      <w:r>
        <w:rPr>
          <w:rFonts w:cs="仿宋_GB2312" w:asciiTheme="majorEastAsia" w:hAnsiTheme="majorEastAsia" w:eastAsiaTheme="majorEastAsia"/>
          <w:sz w:val="28"/>
          <w:szCs w:val="28"/>
        </w:rPr>
        <w:t xml:space="preserve">               项目编号（包、组号）：</w:t>
      </w:r>
      <w:r>
        <w:rPr>
          <w:rFonts w:cs="仿宋_GB2312" w:asciiTheme="majorEastAsia" w:hAnsiTheme="majorEastAsia" w:eastAsiaTheme="majorEastAsia"/>
          <w:b/>
          <w:sz w:val="28"/>
          <w:szCs w:val="28"/>
          <w:u w:val="single"/>
        </w:rPr>
        <w:t xml:space="preserve">                       </w:t>
      </w:r>
    </w:p>
    <w:p>
      <w:pPr>
        <w:pStyle w:val="13"/>
        <w:spacing w:line="360" w:lineRule="auto"/>
        <w:ind w:firstLine="0" w:firstLineChars="0"/>
        <w:rPr>
          <w:rFonts w:cs="仿宋_GB2312" w:asciiTheme="majorEastAsia" w:hAnsiTheme="majorEastAsia" w:eastAsiaTheme="majorEastAsia"/>
          <w:sz w:val="28"/>
          <w:szCs w:val="28"/>
        </w:rPr>
      </w:pPr>
      <w:r>
        <w:rPr>
          <w:rFonts w:cs="仿宋_GB2312" w:asciiTheme="majorEastAsia" w:hAnsiTheme="majorEastAsia" w:eastAsiaTheme="majorEastAsia"/>
          <w:sz w:val="28"/>
          <w:szCs w:val="28"/>
        </w:rPr>
        <w:t xml:space="preserve">               项目名称：</w:t>
      </w:r>
      <w:r>
        <w:rPr>
          <w:rFonts w:cs="仿宋_GB2312" w:asciiTheme="majorEastAsia" w:hAnsiTheme="majorEastAsia" w:eastAsiaTheme="majorEastAsia"/>
          <w:b/>
          <w:sz w:val="28"/>
          <w:szCs w:val="28"/>
        </w:rPr>
        <w:t xml:space="preserve"> </w:t>
      </w:r>
      <w:r>
        <w:rPr>
          <w:rFonts w:cs="仿宋_GB2312" w:asciiTheme="majorEastAsia" w:hAnsiTheme="majorEastAsia" w:eastAsiaTheme="majorEastAsia"/>
          <w:b/>
          <w:sz w:val="28"/>
          <w:szCs w:val="28"/>
          <w:u w:val="single"/>
        </w:rPr>
        <w:t xml:space="preserve">                       </w:t>
      </w:r>
      <w:r>
        <w:rPr>
          <w:rFonts w:cs="仿宋_GB2312" w:asciiTheme="majorEastAsia" w:hAnsiTheme="majorEastAsia" w:eastAsiaTheme="majorEastAsia"/>
          <w:b/>
          <w:sz w:val="28"/>
          <w:szCs w:val="28"/>
        </w:rPr>
        <w:t xml:space="preserve"> </w:t>
      </w:r>
    </w:p>
    <w:p>
      <w:pPr>
        <w:pStyle w:val="14"/>
        <w:ind w:firstLine="843" w:firstLineChars="300"/>
        <w:rPr>
          <w:rFonts w:cs="仿宋_GB2312" w:asciiTheme="majorEastAsia" w:hAnsiTheme="majorEastAsia" w:eastAsiaTheme="majorEastAsia"/>
          <w:b/>
          <w:sz w:val="28"/>
          <w:szCs w:val="28"/>
        </w:rPr>
      </w:pPr>
    </w:p>
    <w:p>
      <w:pPr>
        <w:pStyle w:val="14"/>
        <w:ind w:firstLine="843" w:firstLineChars="300"/>
        <w:rPr>
          <w:rFonts w:cs="仿宋_GB2312" w:asciiTheme="majorEastAsia" w:hAnsiTheme="majorEastAsia" w:eastAsiaTheme="majorEastAsia"/>
          <w:b/>
          <w:sz w:val="28"/>
          <w:szCs w:val="28"/>
        </w:rPr>
      </w:pPr>
    </w:p>
    <w:p>
      <w:pPr>
        <w:pStyle w:val="14"/>
        <w:ind w:firstLine="843" w:firstLineChars="300"/>
        <w:rPr>
          <w:rFonts w:cs="仿宋_GB2312" w:asciiTheme="majorEastAsia" w:hAnsiTheme="majorEastAsia" w:eastAsiaTheme="majorEastAsia"/>
          <w:b/>
          <w:sz w:val="28"/>
          <w:szCs w:val="28"/>
        </w:rPr>
      </w:pPr>
    </w:p>
    <w:p>
      <w:pPr>
        <w:pStyle w:val="14"/>
        <w:ind w:firstLine="843" w:firstLineChars="300"/>
        <w:rPr>
          <w:rFonts w:cs="仿宋_GB2312" w:asciiTheme="majorEastAsia" w:hAnsiTheme="majorEastAsia" w:eastAsiaTheme="majorEastAsia"/>
          <w:b/>
          <w:sz w:val="28"/>
          <w:szCs w:val="28"/>
        </w:rPr>
      </w:pPr>
    </w:p>
    <w:p>
      <w:pPr>
        <w:pStyle w:val="14"/>
        <w:ind w:firstLine="843" w:firstLineChars="300"/>
        <w:rPr>
          <w:rFonts w:cs="仿宋_GB2312" w:asciiTheme="majorEastAsia" w:hAnsiTheme="majorEastAsia" w:eastAsiaTheme="majorEastAsia"/>
          <w:b/>
          <w:sz w:val="28"/>
          <w:szCs w:val="28"/>
        </w:rPr>
      </w:pPr>
    </w:p>
    <w:p>
      <w:pPr>
        <w:pStyle w:val="14"/>
        <w:spacing w:line="360" w:lineRule="auto"/>
        <w:ind w:firstLine="1431" w:firstLineChars="509"/>
        <w:jc w:val="left"/>
        <w:rPr>
          <w:rFonts w:cs="仿宋_GB2312" w:asciiTheme="majorEastAsia" w:hAnsiTheme="majorEastAsia" w:eastAsiaTheme="majorEastAsia"/>
          <w:b/>
          <w:sz w:val="28"/>
          <w:szCs w:val="28"/>
          <w:u w:val="single"/>
        </w:rPr>
      </w:pPr>
      <w:r>
        <w:rPr>
          <w:rFonts w:hint="eastAsia" w:cs="仿宋_GB2312" w:asciiTheme="majorEastAsia" w:hAnsiTheme="majorEastAsia" w:eastAsiaTheme="majorEastAsia"/>
          <w:b/>
          <w:sz w:val="28"/>
          <w:szCs w:val="28"/>
        </w:rPr>
        <w:t>报价单位名称：</w:t>
      </w:r>
    </w:p>
    <w:p>
      <w:pPr>
        <w:autoSpaceDE w:val="0"/>
        <w:autoSpaceDN w:val="0"/>
        <w:spacing w:line="240" w:lineRule="atLeast"/>
        <w:ind w:firstLine="1431" w:firstLineChars="509"/>
        <w:jc w:val="left"/>
        <w:rPr>
          <w:rFonts w:cs="仿宋_GB2312" w:asciiTheme="majorEastAsia" w:hAnsiTheme="majorEastAsia" w:eastAsiaTheme="majorEastAsia"/>
          <w:b/>
          <w:sz w:val="28"/>
          <w:szCs w:val="28"/>
          <w:u w:val="single"/>
        </w:rPr>
      </w:pPr>
      <w:r>
        <w:rPr>
          <w:rFonts w:hint="eastAsia" w:cs="仿宋_GB2312" w:asciiTheme="majorEastAsia" w:hAnsiTheme="majorEastAsia" w:eastAsiaTheme="majorEastAsia"/>
          <w:b/>
          <w:sz w:val="28"/>
          <w:szCs w:val="28"/>
        </w:rPr>
        <w:t>日期：</w:t>
      </w:r>
      <w:r>
        <w:rPr>
          <w:rFonts w:cs="仿宋_GB2312" w:asciiTheme="majorEastAsia" w:hAnsiTheme="majorEastAsia" w:eastAsiaTheme="majorEastAsia"/>
          <w:b/>
          <w:sz w:val="28"/>
          <w:szCs w:val="28"/>
          <w:u w:val="single"/>
        </w:rPr>
        <w:t xml:space="preserve">             </w:t>
      </w:r>
      <w:r>
        <w:rPr>
          <w:rFonts w:hint="eastAsia" w:cs="仿宋_GB2312" w:asciiTheme="majorEastAsia" w:hAnsiTheme="majorEastAsia" w:eastAsiaTheme="majorEastAsia"/>
          <w:b/>
          <w:sz w:val="28"/>
          <w:szCs w:val="28"/>
        </w:rPr>
        <w:t>年</w:t>
      </w:r>
      <w:r>
        <w:rPr>
          <w:rFonts w:cs="仿宋_GB2312" w:asciiTheme="majorEastAsia" w:hAnsiTheme="majorEastAsia" w:eastAsiaTheme="majorEastAsia"/>
          <w:b/>
          <w:sz w:val="28"/>
          <w:szCs w:val="28"/>
          <w:u w:val="single"/>
        </w:rPr>
        <w:t xml:space="preserve">      </w:t>
      </w:r>
      <w:r>
        <w:rPr>
          <w:rFonts w:hint="eastAsia" w:cs="仿宋_GB2312" w:asciiTheme="majorEastAsia" w:hAnsiTheme="majorEastAsia" w:eastAsiaTheme="majorEastAsia"/>
          <w:b/>
          <w:sz w:val="28"/>
          <w:szCs w:val="28"/>
        </w:rPr>
        <w:t>月</w:t>
      </w:r>
      <w:r>
        <w:rPr>
          <w:rFonts w:cs="仿宋_GB2312" w:asciiTheme="majorEastAsia" w:hAnsiTheme="majorEastAsia" w:eastAsiaTheme="majorEastAsia"/>
          <w:b/>
          <w:sz w:val="28"/>
          <w:szCs w:val="28"/>
          <w:u w:val="single"/>
        </w:rPr>
        <w:t xml:space="preserve">      </w:t>
      </w:r>
      <w:r>
        <w:rPr>
          <w:rFonts w:hint="eastAsia" w:cs="仿宋_GB2312" w:asciiTheme="majorEastAsia" w:hAnsiTheme="majorEastAsia" w:eastAsiaTheme="majorEastAsia"/>
          <w:b/>
          <w:sz w:val="28"/>
          <w:szCs w:val="28"/>
        </w:rPr>
        <w:t>日</w:t>
      </w:r>
    </w:p>
    <w:p>
      <w:pPr>
        <w:autoSpaceDE w:val="0"/>
        <w:autoSpaceDN w:val="0"/>
        <w:adjustRightInd w:val="0"/>
        <w:jc w:val="center"/>
        <w:rPr>
          <w:rFonts w:cs="仿宋_GB2312" w:asciiTheme="majorEastAsia" w:hAnsiTheme="majorEastAsia" w:eastAsiaTheme="majorEastAsia"/>
          <w:szCs w:val="21"/>
        </w:rPr>
        <w:sectPr>
          <w:footerReference r:id="rId11" w:type="default"/>
          <w:pgSz w:w="11906" w:h="16838"/>
          <w:pgMar w:top="1089" w:right="1466" w:bottom="1089" w:left="1560" w:header="851" w:footer="992" w:gutter="0"/>
          <w:cols w:space="720" w:num="1"/>
          <w:docGrid w:type="lines" w:linePitch="312" w:charSpace="0"/>
        </w:sectPr>
      </w:pPr>
    </w:p>
    <w:p>
      <w:pPr>
        <w:pStyle w:val="6"/>
        <w:rPr>
          <w:rFonts w:cs="仿宋_GB2312" w:asciiTheme="majorEastAsia" w:hAnsiTheme="majorEastAsia" w:eastAsiaTheme="majorEastAsia"/>
        </w:rPr>
      </w:pPr>
      <w:r>
        <w:rPr>
          <w:rFonts w:cs="仿宋_GB2312" w:asciiTheme="majorEastAsia" w:hAnsiTheme="majorEastAsia" w:eastAsiaTheme="majorEastAsia"/>
        </w:rPr>
        <w:t>1、法定代表人/负责人资格证明书及授权委托书</w:t>
      </w:r>
    </w:p>
    <w:p>
      <w:pPr>
        <w:spacing w:line="480" w:lineRule="exact"/>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w:t>
      </w:r>
      <w:r>
        <w:rPr>
          <w:rFonts w:cs="仿宋_GB2312" w:asciiTheme="majorEastAsia" w:hAnsiTheme="majorEastAsia" w:eastAsiaTheme="majorEastAsia"/>
          <w:b/>
          <w:sz w:val="28"/>
          <w:szCs w:val="28"/>
        </w:rPr>
        <w:t>1）法定代表人/负责人资格证明书</w:t>
      </w:r>
    </w:p>
    <w:p>
      <w:pPr>
        <w:spacing w:line="480" w:lineRule="exact"/>
        <w:rPr>
          <w:rFonts w:cs="仿宋_GB2312" w:asciiTheme="majorEastAsia" w:hAnsiTheme="majorEastAsia" w:eastAsiaTheme="majorEastAsia"/>
          <w:sz w:val="28"/>
          <w:szCs w:val="28"/>
        </w:rPr>
      </w:pPr>
    </w:p>
    <w:p>
      <w:pPr>
        <w:spacing w:line="480" w:lineRule="exact"/>
        <w:rPr>
          <w:rFonts w:cs="仿宋_GB2312" w:asciiTheme="majorEastAsia" w:hAnsiTheme="majorEastAsia" w:eastAsiaTheme="majorEastAsia"/>
          <w:sz w:val="28"/>
          <w:szCs w:val="28"/>
        </w:rPr>
      </w:pPr>
      <w:r>
        <w:rPr>
          <w:rFonts w:hint="eastAsia" w:cs="仿宋_GB2312" w:asciiTheme="majorEastAsia" w:hAnsiTheme="majorEastAsia" w:eastAsiaTheme="majorEastAsia"/>
          <w:sz w:val="28"/>
          <w:szCs w:val="28"/>
        </w:rPr>
        <w:t>致：（项目实施单位）</w:t>
      </w:r>
    </w:p>
    <w:p>
      <w:pPr>
        <w:rPr>
          <w:rFonts w:cs="仿宋_GB2312" w:asciiTheme="majorEastAsia" w:hAnsiTheme="majorEastAsia" w:eastAsiaTheme="majorEastAsia"/>
          <w:sz w:val="28"/>
          <w:szCs w:val="28"/>
        </w:rPr>
      </w:pPr>
    </w:p>
    <w:p>
      <w:pPr>
        <w:spacing w:line="440" w:lineRule="exact"/>
        <w:rPr>
          <w:rFonts w:cs="仿宋_GB2312" w:asciiTheme="majorEastAsia" w:hAnsiTheme="majorEastAsia" w:eastAsiaTheme="majorEastAsia"/>
          <w:sz w:val="28"/>
          <w:szCs w:val="28"/>
        </w:rPr>
      </w:pPr>
      <w:r>
        <w:rPr>
          <w:rFonts w:cs="仿宋_GB2312" w:asciiTheme="majorEastAsia" w:hAnsiTheme="majorEastAsia" w:eastAsiaTheme="majorEastAsia"/>
          <w:sz w:val="28"/>
          <w:szCs w:val="28"/>
        </w:rPr>
        <w:t xml:space="preserve">     </w:t>
      </w:r>
      <w:r>
        <w:rPr>
          <w:rFonts w:cs="仿宋_GB2312" w:asciiTheme="majorEastAsia" w:hAnsiTheme="majorEastAsia" w:eastAsiaTheme="majorEastAsia"/>
          <w:sz w:val="28"/>
          <w:szCs w:val="28"/>
          <w:u w:val="single"/>
        </w:rPr>
        <w:t xml:space="preserve">          </w:t>
      </w:r>
      <w:r>
        <w:rPr>
          <w:rFonts w:hint="eastAsia" w:cs="仿宋_GB2312" w:asciiTheme="majorEastAsia" w:hAnsiTheme="majorEastAsia" w:eastAsiaTheme="majorEastAsia"/>
          <w:sz w:val="28"/>
          <w:szCs w:val="28"/>
        </w:rPr>
        <w:t>同志为本单位法定代表人，特此证明。</w:t>
      </w:r>
    </w:p>
    <w:p>
      <w:pPr>
        <w:spacing w:line="440" w:lineRule="exact"/>
        <w:ind w:firstLine="280" w:firstLineChars="100"/>
        <w:rPr>
          <w:rFonts w:cs="仿宋_GB2312" w:asciiTheme="majorEastAsia" w:hAnsiTheme="majorEastAsia" w:eastAsiaTheme="majorEastAsia"/>
          <w:sz w:val="28"/>
          <w:szCs w:val="28"/>
        </w:rPr>
      </w:pPr>
      <w:r>
        <w:rPr>
          <w:rFonts w:hint="eastAsia" w:cs="仿宋_GB2312" w:asciiTheme="majorEastAsia" w:hAnsiTheme="majorEastAsia" w:eastAsiaTheme="majorEastAsia"/>
          <w:sz w:val="28"/>
          <w:szCs w:val="28"/>
        </w:rPr>
        <w:t>签发日期：</w:t>
      </w:r>
      <w:r>
        <w:rPr>
          <w:rFonts w:cs="仿宋_GB2312" w:asciiTheme="majorEastAsia" w:hAnsiTheme="majorEastAsia" w:eastAsiaTheme="majorEastAsia"/>
          <w:sz w:val="28"/>
          <w:szCs w:val="28"/>
        </w:rPr>
        <w:t xml:space="preserve">           </w:t>
      </w:r>
      <w:r>
        <w:rPr>
          <w:rFonts w:hint="eastAsia" w:cs="仿宋_GB2312" w:asciiTheme="majorEastAsia" w:hAnsiTheme="majorEastAsia" w:eastAsiaTheme="majorEastAsia"/>
          <w:sz w:val="28"/>
          <w:szCs w:val="28"/>
        </w:rPr>
        <w:t>单位：</w:t>
      </w:r>
      <w:r>
        <w:rPr>
          <w:rFonts w:cs="仿宋_GB2312" w:asciiTheme="majorEastAsia" w:hAnsiTheme="majorEastAsia" w:eastAsiaTheme="majorEastAsia"/>
          <w:sz w:val="28"/>
          <w:szCs w:val="28"/>
        </w:rPr>
        <w:t xml:space="preserve">           </w:t>
      </w:r>
      <w:r>
        <w:rPr>
          <w:rFonts w:hint="eastAsia" w:cs="仿宋_GB2312" w:asciiTheme="majorEastAsia" w:hAnsiTheme="majorEastAsia" w:eastAsiaTheme="majorEastAsia"/>
          <w:sz w:val="28"/>
          <w:szCs w:val="28"/>
        </w:rPr>
        <w:t>（盖单位公章）</w:t>
      </w:r>
    </w:p>
    <w:p>
      <w:pPr>
        <w:spacing w:line="440" w:lineRule="exact"/>
        <w:ind w:firstLine="280" w:firstLineChars="100"/>
        <w:rPr>
          <w:rFonts w:cs="仿宋_GB2312" w:asciiTheme="majorEastAsia" w:hAnsiTheme="majorEastAsia" w:eastAsiaTheme="majorEastAsia"/>
          <w:sz w:val="28"/>
          <w:szCs w:val="28"/>
        </w:rPr>
      </w:pPr>
      <w:r>
        <w:rPr>
          <w:rFonts w:hint="eastAsia" w:cs="仿宋_GB2312" w:asciiTheme="majorEastAsia" w:hAnsiTheme="majorEastAsia" w:eastAsiaTheme="majorEastAsia"/>
          <w:sz w:val="28"/>
          <w:szCs w:val="28"/>
        </w:rPr>
        <w:t>附：代表人性别：</w:t>
      </w:r>
      <w:r>
        <w:rPr>
          <w:rFonts w:cs="仿宋_GB2312" w:asciiTheme="majorEastAsia" w:hAnsiTheme="majorEastAsia" w:eastAsiaTheme="majorEastAsia"/>
          <w:sz w:val="28"/>
          <w:szCs w:val="28"/>
        </w:rPr>
        <w:t xml:space="preserve">            </w:t>
      </w:r>
      <w:r>
        <w:rPr>
          <w:rFonts w:hint="eastAsia" w:cs="仿宋_GB2312" w:asciiTheme="majorEastAsia" w:hAnsiTheme="majorEastAsia" w:eastAsiaTheme="majorEastAsia"/>
          <w:sz w:val="28"/>
          <w:szCs w:val="28"/>
        </w:rPr>
        <w:t>年龄：</w:t>
      </w:r>
      <w:r>
        <w:rPr>
          <w:rFonts w:cs="仿宋_GB2312" w:asciiTheme="majorEastAsia" w:hAnsiTheme="majorEastAsia" w:eastAsiaTheme="majorEastAsia"/>
          <w:sz w:val="28"/>
          <w:szCs w:val="28"/>
        </w:rPr>
        <w:t xml:space="preserve">           </w:t>
      </w:r>
      <w:r>
        <w:rPr>
          <w:rFonts w:hint="eastAsia" w:cs="仿宋_GB2312" w:asciiTheme="majorEastAsia" w:hAnsiTheme="majorEastAsia" w:eastAsiaTheme="majorEastAsia"/>
          <w:sz w:val="28"/>
          <w:szCs w:val="28"/>
        </w:rPr>
        <w:t>身份证号码：</w:t>
      </w:r>
    </w:p>
    <w:p>
      <w:pPr>
        <w:spacing w:line="440" w:lineRule="exact"/>
        <w:ind w:firstLine="280" w:firstLineChars="100"/>
        <w:rPr>
          <w:rFonts w:cs="仿宋_GB2312" w:asciiTheme="majorEastAsia" w:hAnsiTheme="majorEastAsia" w:eastAsiaTheme="majorEastAsia"/>
          <w:sz w:val="28"/>
          <w:szCs w:val="28"/>
        </w:rPr>
      </w:pPr>
      <w:r>
        <w:rPr>
          <w:rFonts w:hint="eastAsia" w:cs="仿宋_GB2312" w:asciiTheme="majorEastAsia" w:hAnsiTheme="majorEastAsia" w:eastAsiaTheme="majorEastAsia"/>
          <w:sz w:val="28"/>
          <w:szCs w:val="28"/>
        </w:rPr>
        <w:t>联系电话：</w:t>
      </w:r>
    </w:p>
    <w:p>
      <w:pPr>
        <w:spacing w:line="440" w:lineRule="exact"/>
        <w:ind w:firstLine="280" w:firstLineChars="100"/>
        <w:rPr>
          <w:rFonts w:cs="仿宋_GB2312" w:asciiTheme="majorEastAsia" w:hAnsiTheme="majorEastAsia" w:eastAsiaTheme="majorEastAsia"/>
          <w:sz w:val="28"/>
          <w:szCs w:val="28"/>
        </w:rPr>
      </w:pPr>
      <w:r>
        <w:rPr>
          <w:rFonts w:hint="eastAsia" w:cs="仿宋_GB2312" w:asciiTheme="majorEastAsia" w:hAnsiTheme="majorEastAsia" w:eastAsiaTheme="majorEastAsia"/>
          <w:sz w:val="28"/>
          <w:szCs w:val="28"/>
        </w:rPr>
        <w:t>营业执照号码：</w:t>
      </w:r>
      <w:r>
        <w:rPr>
          <w:rFonts w:cs="仿宋_GB2312" w:asciiTheme="majorEastAsia" w:hAnsiTheme="majorEastAsia" w:eastAsiaTheme="majorEastAsia"/>
          <w:sz w:val="28"/>
          <w:szCs w:val="28"/>
        </w:rPr>
        <w:t xml:space="preserve">                       </w:t>
      </w:r>
      <w:r>
        <w:rPr>
          <w:rFonts w:hint="eastAsia" w:cs="仿宋_GB2312" w:asciiTheme="majorEastAsia" w:hAnsiTheme="majorEastAsia" w:eastAsiaTheme="majorEastAsia"/>
          <w:sz w:val="28"/>
          <w:szCs w:val="28"/>
        </w:rPr>
        <w:t>经济性质：</w:t>
      </w:r>
    </w:p>
    <w:p>
      <w:pPr>
        <w:spacing w:line="440" w:lineRule="exact"/>
        <w:ind w:firstLine="280" w:firstLineChars="100"/>
        <w:rPr>
          <w:rFonts w:cs="仿宋_GB2312" w:asciiTheme="majorEastAsia" w:hAnsiTheme="majorEastAsia" w:eastAsiaTheme="majorEastAsia"/>
          <w:sz w:val="28"/>
          <w:szCs w:val="28"/>
        </w:rPr>
      </w:pPr>
      <w:r>
        <w:rPr>
          <w:rFonts w:hint="eastAsia" w:cs="仿宋_GB2312" w:asciiTheme="majorEastAsia" w:hAnsiTheme="majorEastAsia" w:eastAsiaTheme="majorEastAsia"/>
          <w:sz w:val="28"/>
          <w:szCs w:val="28"/>
        </w:rPr>
        <w:t>机构代码：</w:t>
      </w:r>
      <w:r>
        <w:rPr>
          <w:rFonts w:cs="仿宋_GB2312" w:asciiTheme="majorEastAsia" w:hAnsiTheme="majorEastAsia" w:eastAsiaTheme="majorEastAsia"/>
          <w:sz w:val="28"/>
          <w:szCs w:val="28"/>
        </w:rPr>
        <w:t xml:space="preserve">                           </w:t>
      </w:r>
      <w:r>
        <w:rPr>
          <w:rFonts w:hint="eastAsia" w:cs="仿宋_GB2312" w:asciiTheme="majorEastAsia" w:hAnsiTheme="majorEastAsia" w:eastAsiaTheme="majorEastAsia"/>
          <w:sz w:val="28"/>
          <w:szCs w:val="28"/>
        </w:rPr>
        <w:t>机构性质：</w:t>
      </w:r>
    </w:p>
    <w:p>
      <w:pPr>
        <w:spacing w:line="440" w:lineRule="exact"/>
        <w:ind w:firstLine="280" w:firstLineChars="100"/>
        <w:rPr>
          <w:rFonts w:cs="仿宋_GB2312" w:asciiTheme="majorEastAsia" w:hAnsiTheme="majorEastAsia" w:eastAsiaTheme="majorEastAsia"/>
          <w:sz w:val="28"/>
          <w:szCs w:val="28"/>
        </w:rPr>
      </w:pPr>
      <w:r>
        <w:rPr>
          <w:rFonts w:hint="eastAsia" w:cs="仿宋_GB2312" w:asciiTheme="majorEastAsia" w:hAnsiTheme="majorEastAsia" w:eastAsiaTheme="majorEastAsia"/>
          <w:sz w:val="28"/>
          <w:szCs w:val="28"/>
        </w:rPr>
        <w:t>主营：</w:t>
      </w:r>
    </w:p>
    <w:p>
      <w:pPr>
        <w:spacing w:line="440" w:lineRule="exact"/>
        <w:ind w:firstLine="280" w:firstLineChars="100"/>
        <w:rPr>
          <w:rFonts w:cs="仿宋_GB2312" w:asciiTheme="majorEastAsia" w:hAnsiTheme="majorEastAsia" w:eastAsiaTheme="majorEastAsia"/>
          <w:sz w:val="28"/>
          <w:szCs w:val="28"/>
        </w:rPr>
      </w:pPr>
      <w:r>
        <w:rPr>
          <w:rFonts w:hint="eastAsia" w:cs="仿宋_GB2312" w:asciiTheme="majorEastAsia" w:hAnsiTheme="majorEastAsia" w:eastAsiaTheme="majorEastAsia"/>
          <w:sz w:val="28"/>
          <w:szCs w:val="28"/>
        </w:rPr>
        <w:t>兼营：</w:t>
      </w:r>
    </w:p>
    <w:p>
      <w:pPr>
        <w:spacing w:line="440" w:lineRule="exact"/>
        <w:ind w:firstLine="280" w:firstLineChars="100"/>
        <w:rPr>
          <w:rFonts w:cs="仿宋_GB2312" w:asciiTheme="majorEastAsia" w:hAnsiTheme="majorEastAsia" w:eastAsiaTheme="majorEastAsia"/>
          <w:sz w:val="28"/>
          <w:szCs w:val="28"/>
        </w:rPr>
      </w:pPr>
    </w:p>
    <w:p>
      <w:pPr>
        <w:spacing w:line="440" w:lineRule="exact"/>
        <w:rPr>
          <w:rFonts w:cs="仿宋_GB2312" w:asciiTheme="majorEastAsia" w:hAnsiTheme="majorEastAsia" w:eastAsiaTheme="majorEastAsia"/>
          <w:sz w:val="28"/>
          <w:szCs w:val="28"/>
        </w:rPr>
      </w:pPr>
      <w:r>
        <w:rPr>
          <w:rFonts w:hint="eastAsia" w:cs="仿宋_GB2312" w:asciiTheme="majorEastAsia" w:hAnsiTheme="majorEastAsia" w:eastAsiaTheme="majorEastAsia"/>
          <w:sz w:val="28"/>
          <w:szCs w:val="28"/>
        </w:rPr>
        <w:t>说明：</w:t>
      </w:r>
      <w:r>
        <w:rPr>
          <w:rFonts w:cs="仿宋_GB2312" w:asciiTheme="majorEastAsia" w:hAnsiTheme="majorEastAsia" w:eastAsiaTheme="majorEastAsia"/>
          <w:sz w:val="28"/>
          <w:szCs w:val="28"/>
        </w:rPr>
        <w:t>1.内容必须填写真实、清楚、涂改无效，不得转让、买卖。</w:t>
      </w:r>
    </w:p>
    <w:p>
      <w:pPr>
        <w:spacing w:line="440" w:lineRule="exact"/>
        <w:rPr>
          <w:rFonts w:cs="仿宋_GB2312" w:asciiTheme="majorEastAsia" w:hAnsiTheme="majorEastAsia" w:eastAsiaTheme="majorEastAsia"/>
          <w:sz w:val="28"/>
          <w:szCs w:val="28"/>
        </w:rPr>
      </w:pPr>
      <w:r>
        <w:rPr>
          <w:rFonts w:cs="仿宋_GB2312" w:asciiTheme="majorEastAsia" w:hAnsiTheme="majorEastAsia" w:eastAsiaTheme="majorEastAsia"/>
          <w:sz w:val="28"/>
          <w:szCs w:val="28"/>
        </w:rPr>
        <w:t xml:space="preserve">      2.将此证明书提交对方作为合同附件</w:t>
      </w:r>
      <w:r>
        <w:rPr>
          <w:rFonts w:hint="eastAsia" w:cs="仿宋_GB2312" w:asciiTheme="majorEastAsia" w:hAnsiTheme="majorEastAsia" w:eastAsiaTheme="majorEastAsia"/>
          <w:b/>
          <w:sz w:val="28"/>
          <w:szCs w:val="28"/>
        </w:rPr>
        <w:t>。</w:t>
      </w:r>
    </w:p>
    <w:p>
      <w:pPr>
        <w:rPr>
          <w:rFonts w:cs="仿宋_GB2312" w:asciiTheme="majorEastAsia" w:hAnsiTheme="majorEastAsia" w:eastAsiaTheme="majorEastAsia"/>
          <w:sz w:val="28"/>
          <w:szCs w:val="28"/>
        </w:rPr>
      </w:pPr>
    </w:p>
    <w:p>
      <w:pPr>
        <w:rPr>
          <w:rFonts w:cs="仿宋_GB2312" w:asciiTheme="majorEastAsia" w:hAnsiTheme="majorEastAsia" w:eastAsiaTheme="majorEastAsia"/>
          <w:sz w:val="28"/>
          <w:szCs w:val="28"/>
        </w:rPr>
      </w:pPr>
    </w:p>
    <w:p>
      <w:pPr>
        <w:rPr>
          <w:rFonts w:cs="仿宋_GB2312" w:asciiTheme="majorEastAsia" w:hAnsiTheme="majorEastAsia" w:eastAsiaTheme="majorEastAsia"/>
          <w:sz w:val="28"/>
          <w:szCs w:val="28"/>
        </w:rPr>
      </w:pPr>
    </w:p>
    <w:p>
      <w:pPr>
        <w:rPr>
          <w:rFonts w:cs="仿宋_GB2312" w:asciiTheme="majorEastAsia" w:hAnsiTheme="majorEastAsia" w:eastAsiaTheme="majorEastAsia"/>
          <w:b/>
          <w:sz w:val="28"/>
          <w:szCs w:val="28"/>
        </w:rPr>
      </w:pPr>
    </w:p>
    <w:p>
      <w:pPr>
        <w:rPr>
          <w:rFonts w:cs="仿宋_GB2312" w:asciiTheme="majorEastAsia" w:hAnsiTheme="majorEastAsia" w:eastAsiaTheme="majorEastAsia"/>
          <w:b/>
          <w:sz w:val="28"/>
          <w:szCs w:val="28"/>
        </w:rPr>
      </w:pPr>
      <w:r>
        <w:rPr>
          <w:rFonts w:cs="仿宋_GB2312" w:asciiTheme="majorEastAsia" w:hAnsiTheme="majorEastAsia" w:eastAsiaTheme="majorEastAsia"/>
          <w:b/>
          <w:sz w:val="28"/>
          <w:szCs w:val="28"/>
        </w:rPr>
        <mc:AlternateContent>
          <mc:Choice Requires="wps">
            <w:drawing>
              <wp:anchor distT="0" distB="0" distL="114300" distR="114300" simplePos="0" relativeHeight="251659264" behindDoc="0" locked="0" layoutInCell="1" allowOverlap="1">
                <wp:simplePos x="0" y="0"/>
                <wp:positionH relativeFrom="column">
                  <wp:posOffset>1619250</wp:posOffset>
                </wp:positionH>
                <wp:positionV relativeFrom="paragraph">
                  <wp:posOffset>20320</wp:posOffset>
                </wp:positionV>
                <wp:extent cx="2333625" cy="1584325"/>
                <wp:effectExtent l="4445" t="4445" r="5080" b="11430"/>
                <wp:wrapNone/>
                <wp:docPr id="3" name="AutoShape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wps:txbx>
                      <wps:bodyPr wrap="square" upright="1"/>
                    </wps:wsp>
                  </a:graphicData>
                </a:graphic>
              </wp:anchor>
            </w:drawing>
          </mc:Choice>
          <mc:Fallback>
            <w:pict>
              <v:shape id="AutoShape 2" o:spid="_x0000_s1026" o:spt="176" type="#_x0000_t176" style="position:absolute;left:0pt;margin-left:127.5pt;margin-top:1.6pt;height:124.75pt;width:183.75pt;z-index:251659264;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Zyv2tcAAAAJAQAADwAAAAAAAAABACAAAAAiAAAAZHJzL2Rvd25yZXYueG1sUEsBAhQA&#10;FAAAAAgAh07iQCAIusXzAQAAAgQAAA4AAAAAAAAAAQAgAAAAJgEAAGRycy9lMm9Eb2MueG1sUEsF&#10;BgAAAAAGAAYAWQEAAIs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v:textbox>
              </v:shape>
            </w:pict>
          </mc:Fallback>
        </mc:AlternateContent>
      </w:r>
    </w:p>
    <w:p>
      <w:pPr>
        <w:rPr>
          <w:rFonts w:cs="仿宋_GB2312" w:asciiTheme="majorEastAsia" w:hAnsiTheme="majorEastAsia" w:eastAsiaTheme="majorEastAsia"/>
          <w:b/>
          <w:sz w:val="28"/>
          <w:szCs w:val="28"/>
        </w:rPr>
      </w:pPr>
    </w:p>
    <w:p>
      <w:pPr>
        <w:rPr>
          <w:rFonts w:cs="仿宋_GB2312" w:asciiTheme="majorEastAsia" w:hAnsiTheme="majorEastAsia" w:eastAsiaTheme="majorEastAsia"/>
          <w:b/>
          <w:sz w:val="28"/>
          <w:szCs w:val="28"/>
        </w:rPr>
      </w:pPr>
    </w:p>
    <w:p>
      <w:pPr>
        <w:rPr>
          <w:rFonts w:cs="仿宋_GB2312" w:asciiTheme="majorEastAsia" w:hAnsiTheme="majorEastAsia" w:eastAsiaTheme="majorEastAsia"/>
          <w:b/>
          <w:sz w:val="28"/>
          <w:szCs w:val="28"/>
        </w:rPr>
      </w:pPr>
    </w:p>
    <w:p>
      <w:pPr>
        <w:tabs>
          <w:tab w:val="left" w:pos="654"/>
          <w:tab w:val="left" w:pos="1734"/>
          <w:tab w:val="left" w:pos="2814"/>
          <w:tab w:val="left" w:pos="3894"/>
          <w:tab w:val="left" w:pos="5334"/>
          <w:tab w:val="left" w:pos="6414"/>
          <w:tab w:val="left" w:pos="7254"/>
          <w:tab w:val="left" w:pos="8574"/>
          <w:tab w:val="left" w:pos="9654"/>
        </w:tabs>
        <w:rPr>
          <w:rFonts w:cs="仿宋_GB2312" w:asciiTheme="majorEastAsia" w:hAnsiTheme="majorEastAsia" w:eastAsiaTheme="majorEastAsia"/>
          <w:sz w:val="28"/>
          <w:szCs w:val="28"/>
        </w:rPr>
      </w:pPr>
    </w:p>
    <w:p>
      <w:pPr>
        <w:tabs>
          <w:tab w:val="left" w:pos="654"/>
          <w:tab w:val="left" w:pos="1734"/>
          <w:tab w:val="left" w:pos="2814"/>
          <w:tab w:val="left" w:pos="3894"/>
          <w:tab w:val="left" w:pos="5334"/>
          <w:tab w:val="left" w:pos="6414"/>
          <w:tab w:val="left" w:pos="7254"/>
          <w:tab w:val="left" w:pos="8574"/>
          <w:tab w:val="left" w:pos="9654"/>
        </w:tabs>
        <w:rPr>
          <w:rFonts w:cs="仿宋_GB2312" w:asciiTheme="majorEastAsia" w:hAnsiTheme="majorEastAsia" w:eastAsiaTheme="majorEastAsia"/>
          <w:sz w:val="28"/>
          <w:szCs w:val="28"/>
        </w:rPr>
      </w:pPr>
    </w:p>
    <w:p>
      <w:pPr>
        <w:spacing w:line="480" w:lineRule="exact"/>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w:t>
      </w:r>
      <w:r>
        <w:rPr>
          <w:rFonts w:cs="仿宋_GB2312" w:asciiTheme="majorEastAsia" w:hAnsiTheme="majorEastAsia" w:eastAsiaTheme="majorEastAsia"/>
          <w:b/>
          <w:sz w:val="28"/>
          <w:szCs w:val="28"/>
        </w:rPr>
        <w:t>2）法定代表人/负责人授权委托书</w:t>
      </w:r>
    </w:p>
    <w:p>
      <w:pPr>
        <w:spacing w:line="360" w:lineRule="auto"/>
        <w:rPr>
          <w:rFonts w:cs="仿宋_GB2312" w:asciiTheme="majorEastAsia" w:hAnsiTheme="majorEastAsia" w:eastAsiaTheme="majorEastAsia"/>
          <w:sz w:val="28"/>
          <w:szCs w:val="28"/>
        </w:rPr>
      </w:pPr>
    </w:p>
    <w:p>
      <w:pPr>
        <w:spacing w:line="360" w:lineRule="auto"/>
        <w:rPr>
          <w:rFonts w:cs="仿宋_GB2312" w:asciiTheme="majorEastAsia" w:hAnsiTheme="majorEastAsia" w:eastAsiaTheme="majorEastAsia"/>
          <w:sz w:val="28"/>
          <w:szCs w:val="28"/>
        </w:rPr>
      </w:pPr>
      <w:r>
        <w:rPr>
          <w:rFonts w:hint="eastAsia" w:cs="仿宋_GB2312" w:asciiTheme="majorEastAsia" w:hAnsiTheme="majorEastAsia" w:eastAsiaTheme="majorEastAsia"/>
          <w:sz w:val="28"/>
          <w:szCs w:val="28"/>
        </w:rPr>
        <w:t>致：（项目实施单位）</w:t>
      </w:r>
    </w:p>
    <w:p>
      <w:pPr>
        <w:spacing w:line="480" w:lineRule="exact"/>
        <w:ind w:firstLine="562" w:firstLineChars="200"/>
        <w:rPr>
          <w:rFonts w:cs="仿宋_GB2312" w:asciiTheme="majorEastAsia" w:hAnsiTheme="majorEastAsia" w:eastAsiaTheme="majorEastAsia"/>
          <w:b/>
          <w:sz w:val="28"/>
          <w:szCs w:val="28"/>
        </w:rPr>
      </w:pPr>
    </w:p>
    <w:p>
      <w:pPr>
        <w:spacing w:line="480" w:lineRule="exact"/>
        <w:ind w:firstLine="560" w:firstLineChars="200"/>
        <w:rPr>
          <w:rFonts w:cs="仿宋_GB2312" w:asciiTheme="majorEastAsia" w:hAnsiTheme="majorEastAsia" w:eastAsiaTheme="majorEastAsia"/>
          <w:sz w:val="28"/>
          <w:szCs w:val="28"/>
        </w:rPr>
      </w:pPr>
      <w:r>
        <w:rPr>
          <w:rFonts w:hint="eastAsia" w:cs="仿宋_GB2312" w:asciiTheme="majorEastAsia" w:hAnsiTheme="majorEastAsia" w:eastAsiaTheme="majorEastAsia"/>
          <w:sz w:val="28"/>
          <w:szCs w:val="28"/>
        </w:rPr>
        <w:t>兹授权</w:t>
      </w:r>
      <w:r>
        <w:rPr>
          <w:rFonts w:cs="仿宋_GB2312" w:asciiTheme="majorEastAsia" w:hAnsiTheme="majorEastAsia" w:eastAsiaTheme="majorEastAsia"/>
          <w:sz w:val="28"/>
          <w:szCs w:val="28"/>
          <w:u w:val="single"/>
        </w:rPr>
        <w:t xml:space="preserve">             </w:t>
      </w:r>
      <w:r>
        <w:rPr>
          <w:rFonts w:hint="eastAsia" w:cs="仿宋_GB2312" w:asciiTheme="majorEastAsia" w:hAnsiTheme="majorEastAsia" w:eastAsiaTheme="majorEastAsia"/>
          <w:sz w:val="28"/>
          <w:szCs w:val="28"/>
        </w:rPr>
        <w:t>同志，为我方签订经济合同及办理其他事务代理人，其权限是：</w:t>
      </w:r>
      <w:r>
        <w:rPr>
          <w:rFonts w:cs="仿宋_GB2312" w:asciiTheme="majorEastAsia" w:hAnsiTheme="majorEastAsia" w:eastAsiaTheme="majorEastAsia"/>
          <w:sz w:val="28"/>
          <w:szCs w:val="28"/>
          <w:u w:val="single"/>
        </w:rPr>
        <w:t xml:space="preserve">                                                   </w:t>
      </w:r>
      <w:r>
        <w:rPr>
          <w:rFonts w:hint="eastAsia" w:cs="仿宋_GB2312" w:asciiTheme="majorEastAsia" w:hAnsiTheme="majorEastAsia" w:eastAsiaTheme="majorEastAsia"/>
          <w:sz w:val="28"/>
          <w:szCs w:val="28"/>
        </w:rPr>
        <w:t>。</w:t>
      </w:r>
    </w:p>
    <w:p>
      <w:pPr>
        <w:spacing w:line="480" w:lineRule="exact"/>
        <w:rPr>
          <w:rFonts w:cs="仿宋_GB2312" w:asciiTheme="majorEastAsia" w:hAnsiTheme="majorEastAsia" w:eastAsiaTheme="majorEastAsia"/>
          <w:sz w:val="28"/>
          <w:szCs w:val="28"/>
        </w:rPr>
      </w:pPr>
      <w:r>
        <w:rPr>
          <w:rFonts w:hint="eastAsia" w:cs="仿宋_GB2312" w:asciiTheme="majorEastAsia" w:hAnsiTheme="majorEastAsia" w:eastAsiaTheme="majorEastAsia"/>
          <w:sz w:val="28"/>
          <w:szCs w:val="28"/>
        </w:rPr>
        <w:t>授权单位：</w:t>
      </w:r>
      <w:r>
        <w:rPr>
          <w:rFonts w:cs="仿宋_GB2312" w:asciiTheme="majorEastAsia" w:hAnsiTheme="majorEastAsia" w:eastAsiaTheme="majorEastAsia"/>
          <w:sz w:val="28"/>
          <w:szCs w:val="28"/>
        </w:rPr>
        <w:t xml:space="preserve">          </w:t>
      </w:r>
      <w:r>
        <w:rPr>
          <w:rFonts w:hint="eastAsia" w:cs="仿宋_GB2312" w:asciiTheme="majorEastAsia" w:hAnsiTheme="majorEastAsia" w:eastAsiaTheme="majorEastAsia"/>
          <w:sz w:val="28"/>
          <w:szCs w:val="28"/>
        </w:rPr>
        <w:t>（盖章）</w:t>
      </w:r>
      <w:r>
        <w:rPr>
          <w:rFonts w:cs="仿宋_GB2312" w:asciiTheme="majorEastAsia" w:hAnsiTheme="majorEastAsia" w:eastAsiaTheme="majorEastAsia"/>
          <w:sz w:val="28"/>
          <w:szCs w:val="28"/>
        </w:rPr>
        <w:t xml:space="preserve">     </w:t>
      </w:r>
      <w:r>
        <w:rPr>
          <w:rFonts w:hint="eastAsia" w:cs="仿宋_GB2312" w:asciiTheme="majorEastAsia" w:hAnsiTheme="majorEastAsia" w:eastAsiaTheme="majorEastAsia"/>
          <w:sz w:val="28"/>
          <w:szCs w:val="28"/>
        </w:rPr>
        <w:t>法定代表人</w:t>
      </w:r>
      <w:r>
        <w:rPr>
          <w:rFonts w:cs="仿宋_GB2312" w:asciiTheme="majorEastAsia" w:hAnsiTheme="majorEastAsia" w:eastAsiaTheme="majorEastAsia"/>
          <w:sz w:val="28"/>
          <w:szCs w:val="28"/>
        </w:rPr>
        <w:t xml:space="preserve">              </w:t>
      </w:r>
      <w:r>
        <w:rPr>
          <w:rFonts w:hint="eastAsia" w:cs="仿宋_GB2312" w:asciiTheme="majorEastAsia" w:hAnsiTheme="majorEastAsia" w:eastAsiaTheme="majorEastAsia"/>
          <w:sz w:val="28"/>
          <w:szCs w:val="28"/>
        </w:rPr>
        <w:t>（签名或盖私章）</w:t>
      </w:r>
    </w:p>
    <w:p>
      <w:pPr>
        <w:spacing w:line="480" w:lineRule="exact"/>
        <w:rPr>
          <w:rFonts w:cs="仿宋_GB2312" w:asciiTheme="majorEastAsia" w:hAnsiTheme="majorEastAsia" w:eastAsiaTheme="majorEastAsia"/>
          <w:sz w:val="28"/>
          <w:szCs w:val="28"/>
        </w:rPr>
      </w:pPr>
      <w:r>
        <w:rPr>
          <w:rFonts w:hint="eastAsia" w:cs="仿宋_GB2312" w:asciiTheme="majorEastAsia" w:hAnsiTheme="majorEastAsia" w:eastAsiaTheme="majorEastAsia"/>
          <w:sz w:val="28"/>
          <w:szCs w:val="28"/>
        </w:rPr>
        <w:t>有效期限：至</w:t>
      </w:r>
      <w:r>
        <w:rPr>
          <w:rFonts w:cs="仿宋_GB2312" w:asciiTheme="majorEastAsia" w:hAnsiTheme="majorEastAsia" w:eastAsiaTheme="majorEastAsia"/>
          <w:sz w:val="28"/>
          <w:szCs w:val="28"/>
        </w:rPr>
        <w:t xml:space="preserve">        </w:t>
      </w:r>
      <w:r>
        <w:rPr>
          <w:rFonts w:hint="eastAsia" w:cs="仿宋_GB2312" w:asciiTheme="majorEastAsia" w:hAnsiTheme="majorEastAsia" w:eastAsiaTheme="majorEastAsia"/>
          <w:sz w:val="28"/>
          <w:szCs w:val="28"/>
        </w:rPr>
        <w:t>年</w:t>
      </w:r>
      <w:r>
        <w:rPr>
          <w:rFonts w:cs="仿宋_GB2312" w:asciiTheme="majorEastAsia" w:hAnsiTheme="majorEastAsia" w:eastAsiaTheme="majorEastAsia"/>
          <w:sz w:val="28"/>
          <w:szCs w:val="28"/>
        </w:rPr>
        <w:t xml:space="preserve">       </w:t>
      </w:r>
      <w:r>
        <w:rPr>
          <w:rFonts w:hint="eastAsia" w:cs="仿宋_GB2312" w:asciiTheme="majorEastAsia" w:hAnsiTheme="majorEastAsia" w:eastAsiaTheme="majorEastAsia"/>
          <w:sz w:val="28"/>
          <w:szCs w:val="28"/>
        </w:rPr>
        <w:t>月</w:t>
      </w:r>
      <w:r>
        <w:rPr>
          <w:rFonts w:cs="仿宋_GB2312" w:asciiTheme="majorEastAsia" w:hAnsiTheme="majorEastAsia" w:eastAsiaTheme="majorEastAsia"/>
          <w:sz w:val="28"/>
          <w:szCs w:val="28"/>
        </w:rPr>
        <w:t xml:space="preserve">      </w:t>
      </w:r>
      <w:r>
        <w:rPr>
          <w:rFonts w:hint="eastAsia" w:cs="仿宋_GB2312" w:asciiTheme="majorEastAsia" w:hAnsiTheme="majorEastAsia" w:eastAsiaTheme="majorEastAsia"/>
          <w:sz w:val="28"/>
          <w:szCs w:val="28"/>
        </w:rPr>
        <w:t>日</w:t>
      </w:r>
      <w:r>
        <w:rPr>
          <w:rFonts w:cs="仿宋_GB2312" w:asciiTheme="majorEastAsia" w:hAnsiTheme="majorEastAsia" w:eastAsiaTheme="majorEastAsia"/>
          <w:sz w:val="28"/>
          <w:szCs w:val="28"/>
        </w:rPr>
        <w:t xml:space="preserve">       </w:t>
      </w:r>
      <w:r>
        <w:rPr>
          <w:rFonts w:hint="eastAsia" w:cs="仿宋_GB2312" w:asciiTheme="majorEastAsia" w:hAnsiTheme="majorEastAsia" w:eastAsiaTheme="majorEastAsia"/>
          <w:sz w:val="28"/>
          <w:szCs w:val="28"/>
        </w:rPr>
        <w:t>签发日期：</w:t>
      </w:r>
    </w:p>
    <w:p>
      <w:pPr>
        <w:spacing w:line="480" w:lineRule="exact"/>
        <w:rPr>
          <w:rFonts w:cs="仿宋_GB2312" w:asciiTheme="majorEastAsia" w:hAnsiTheme="majorEastAsia" w:eastAsiaTheme="majorEastAsia"/>
          <w:sz w:val="28"/>
          <w:szCs w:val="28"/>
        </w:rPr>
      </w:pPr>
      <w:r>
        <w:rPr>
          <w:rFonts w:hint="eastAsia" w:cs="仿宋_GB2312" w:asciiTheme="majorEastAsia" w:hAnsiTheme="majorEastAsia" w:eastAsiaTheme="majorEastAsia"/>
          <w:sz w:val="28"/>
          <w:szCs w:val="28"/>
        </w:rPr>
        <w:t>附：代理人性别：</w:t>
      </w:r>
      <w:r>
        <w:rPr>
          <w:rFonts w:cs="仿宋_GB2312" w:asciiTheme="majorEastAsia" w:hAnsiTheme="majorEastAsia" w:eastAsiaTheme="majorEastAsia"/>
          <w:sz w:val="28"/>
          <w:szCs w:val="28"/>
        </w:rPr>
        <w:t xml:space="preserve">        </w:t>
      </w:r>
      <w:r>
        <w:rPr>
          <w:rFonts w:hint="eastAsia" w:cs="仿宋_GB2312" w:asciiTheme="majorEastAsia" w:hAnsiTheme="majorEastAsia" w:eastAsiaTheme="majorEastAsia"/>
          <w:sz w:val="28"/>
          <w:szCs w:val="28"/>
        </w:rPr>
        <w:t>年龄：</w:t>
      </w:r>
      <w:r>
        <w:rPr>
          <w:rFonts w:cs="仿宋_GB2312" w:asciiTheme="majorEastAsia" w:hAnsiTheme="majorEastAsia" w:eastAsiaTheme="majorEastAsia"/>
          <w:sz w:val="28"/>
          <w:szCs w:val="28"/>
        </w:rPr>
        <w:t xml:space="preserve">       </w:t>
      </w:r>
      <w:r>
        <w:rPr>
          <w:rFonts w:hint="eastAsia" w:cs="仿宋_GB2312" w:asciiTheme="majorEastAsia" w:hAnsiTheme="majorEastAsia" w:eastAsiaTheme="majorEastAsia"/>
          <w:sz w:val="28"/>
          <w:szCs w:val="28"/>
        </w:rPr>
        <w:t>职务：</w:t>
      </w:r>
      <w:r>
        <w:rPr>
          <w:rFonts w:cs="仿宋_GB2312" w:asciiTheme="majorEastAsia" w:hAnsiTheme="majorEastAsia" w:eastAsiaTheme="majorEastAsia"/>
          <w:sz w:val="28"/>
          <w:szCs w:val="28"/>
        </w:rPr>
        <w:t xml:space="preserve">         </w:t>
      </w:r>
      <w:r>
        <w:rPr>
          <w:rFonts w:hint="eastAsia" w:cs="仿宋_GB2312" w:asciiTheme="majorEastAsia" w:hAnsiTheme="majorEastAsia" w:eastAsiaTheme="majorEastAsia"/>
          <w:sz w:val="28"/>
          <w:szCs w:val="28"/>
        </w:rPr>
        <w:t>身份证号码：</w:t>
      </w:r>
    </w:p>
    <w:p>
      <w:pPr>
        <w:spacing w:line="480" w:lineRule="exact"/>
        <w:rPr>
          <w:rFonts w:cs="仿宋_GB2312" w:asciiTheme="majorEastAsia" w:hAnsiTheme="majorEastAsia" w:eastAsiaTheme="majorEastAsia"/>
          <w:sz w:val="28"/>
          <w:szCs w:val="28"/>
        </w:rPr>
      </w:pPr>
      <w:r>
        <w:rPr>
          <w:rFonts w:cs="仿宋_GB2312" w:asciiTheme="majorEastAsia" w:hAnsiTheme="majorEastAsia" w:eastAsiaTheme="majorEastAsia"/>
          <w:sz w:val="28"/>
          <w:szCs w:val="28"/>
        </w:rPr>
        <w:t xml:space="preserve">  联系电话：</w:t>
      </w:r>
    </w:p>
    <w:p>
      <w:pPr>
        <w:spacing w:line="480" w:lineRule="exact"/>
        <w:ind w:firstLine="280" w:firstLineChars="100"/>
        <w:rPr>
          <w:rFonts w:cs="仿宋_GB2312" w:asciiTheme="majorEastAsia" w:hAnsiTheme="majorEastAsia" w:eastAsiaTheme="majorEastAsia"/>
          <w:sz w:val="28"/>
          <w:szCs w:val="28"/>
        </w:rPr>
      </w:pPr>
      <w:r>
        <w:rPr>
          <w:rFonts w:hint="eastAsia" w:cs="仿宋_GB2312" w:asciiTheme="majorEastAsia" w:hAnsiTheme="majorEastAsia" w:eastAsiaTheme="majorEastAsia"/>
          <w:sz w:val="28"/>
          <w:szCs w:val="28"/>
        </w:rPr>
        <w:t>营业执照号码：</w:t>
      </w:r>
      <w:r>
        <w:rPr>
          <w:rFonts w:cs="仿宋_GB2312" w:asciiTheme="majorEastAsia" w:hAnsiTheme="majorEastAsia" w:eastAsiaTheme="majorEastAsia"/>
          <w:sz w:val="28"/>
          <w:szCs w:val="28"/>
        </w:rPr>
        <w:t xml:space="preserve">                         </w:t>
      </w:r>
      <w:r>
        <w:rPr>
          <w:rFonts w:hint="eastAsia" w:cs="仿宋_GB2312" w:asciiTheme="majorEastAsia" w:hAnsiTheme="majorEastAsia" w:eastAsiaTheme="majorEastAsia"/>
          <w:sz w:val="28"/>
          <w:szCs w:val="28"/>
        </w:rPr>
        <w:t>经济性质：</w:t>
      </w:r>
    </w:p>
    <w:p>
      <w:pPr>
        <w:spacing w:line="480" w:lineRule="exact"/>
        <w:ind w:firstLine="280" w:firstLineChars="100"/>
        <w:rPr>
          <w:rFonts w:cs="仿宋_GB2312" w:asciiTheme="majorEastAsia" w:hAnsiTheme="majorEastAsia" w:eastAsiaTheme="majorEastAsia"/>
          <w:sz w:val="28"/>
          <w:szCs w:val="28"/>
        </w:rPr>
      </w:pPr>
      <w:r>
        <w:rPr>
          <w:rFonts w:hint="eastAsia" w:cs="仿宋_GB2312" w:asciiTheme="majorEastAsia" w:hAnsiTheme="majorEastAsia" w:eastAsiaTheme="majorEastAsia"/>
          <w:sz w:val="28"/>
          <w:szCs w:val="28"/>
        </w:rPr>
        <w:t>主营（产）：</w:t>
      </w:r>
    </w:p>
    <w:p>
      <w:pPr>
        <w:spacing w:line="480" w:lineRule="exact"/>
        <w:ind w:firstLine="280" w:firstLineChars="100"/>
        <w:rPr>
          <w:rFonts w:cs="仿宋_GB2312" w:asciiTheme="majorEastAsia" w:hAnsiTheme="majorEastAsia" w:eastAsiaTheme="majorEastAsia"/>
          <w:sz w:val="28"/>
          <w:szCs w:val="28"/>
        </w:rPr>
      </w:pPr>
      <w:r>
        <w:rPr>
          <w:rFonts w:hint="eastAsia" w:cs="仿宋_GB2312" w:asciiTheme="majorEastAsia" w:hAnsiTheme="majorEastAsia" w:eastAsiaTheme="majorEastAsia"/>
          <w:sz w:val="28"/>
          <w:szCs w:val="28"/>
        </w:rPr>
        <w:t>兼营（产）：</w:t>
      </w:r>
    </w:p>
    <w:p>
      <w:pPr>
        <w:spacing w:line="480" w:lineRule="exact"/>
        <w:ind w:firstLine="280" w:firstLineChars="100"/>
        <w:rPr>
          <w:rFonts w:cs="仿宋_GB2312" w:asciiTheme="majorEastAsia" w:hAnsiTheme="majorEastAsia" w:eastAsiaTheme="majorEastAsia"/>
          <w:sz w:val="28"/>
          <w:szCs w:val="28"/>
        </w:rPr>
      </w:pPr>
    </w:p>
    <w:p>
      <w:pPr>
        <w:spacing w:line="480" w:lineRule="exact"/>
        <w:rPr>
          <w:rFonts w:cs="仿宋_GB2312" w:asciiTheme="majorEastAsia" w:hAnsiTheme="majorEastAsia" w:eastAsiaTheme="majorEastAsia"/>
          <w:szCs w:val="21"/>
        </w:rPr>
      </w:pPr>
      <w:r>
        <w:rPr>
          <w:rFonts w:hint="eastAsia" w:cs="仿宋_GB2312" w:asciiTheme="majorEastAsia" w:hAnsiTheme="majorEastAsia" w:eastAsiaTheme="majorEastAsia"/>
          <w:szCs w:val="21"/>
        </w:rPr>
        <w:t>说明：</w:t>
      </w:r>
      <w:r>
        <w:rPr>
          <w:rFonts w:cs="仿宋_GB2312" w:asciiTheme="majorEastAsia" w:hAnsiTheme="majorEastAsia" w:eastAsiaTheme="majorEastAsia"/>
          <w:szCs w:val="21"/>
        </w:rPr>
        <w:t>1.法定代表人为企业事业单位、国家机关、社会团体的主要行政负责人。</w:t>
      </w:r>
    </w:p>
    <w:p>
      <w:pPr>
        <w:spacing w:line="480" w:lineRule="exact"/>
        <w:rPr>
          <w:rFonts w:cs="仿宋_GB2312" w:asciiTheme="majorEastAsia" w:hAnsiTheme="majorEastAsia" w:eastAsiaTheme="majorEastAsia"/>
          <w:szCs w:val="21"/>
        </w:rPr>
      </w:pPr>
      <w:r>
        <w:rPr>
          <w:rFonts w:cs="仿宋_GB2312" w:asciiTheme="majorEastAsia" w:hAnsiTheme="majorEastAsia" w:eastAsiaTheme="majorEastAsia"/>
          <w:szCs w:val="21"/>
        </w:rPr>
        <w:t xml:space="preserve">      2.内容必须填写真实、清楚、涂改无效，不得转让、买卖。</w:t>
      </w:r>
    </w:p>
    <w:p>
      <w:pPr>
        <w:spacing w:line="480" w:lineRule="exact"/>
        <w:ind w:firstLine="630" w:firstLineChars="300"/>
        <w:rPr>
          <w:rFonts w:cs="仿宋_GB2312" w:asciiTheme="majorEastAsia" w:hAnsiTheme="majorEastAsia" w:eastAsiaTheme="majorEastAsia"/>
          <w:b/>
          <w:szCs w:val="21"/>
        </w:rPr>
      </w:pPr>
      <w:r>
        <w:rPr>
          <w:rFonts w:cs="仿宋_GB2312" w:asciiTheme="majorEastAsia" w:hAnsiTheme="majorEastAsia" w:eastAsiaTheme="majorEastAsia"/>
          <w:szCs w:val="21"/>
        </w:rPr>
        <w:t>3.将此证明书提交对方作为合同附件</w:t>
      </w:r>
      <w:r>
        <w:rPr>
          <w:rFonts w:hint="eastAsia" w:cs="仿宋_GB2312" w:asciiTheme="majorEastAsia" w:hAnsiTheme="majorEastAsia" w:eastAsiaTheme="majorEastAsia"/>
          <w:b/>
          <w:szCs w:val="21"/>
        </w:rPr>
        <w:t>。</w:t>
      </w:r>
    </w:p>
    <w:p>
      <w:pPr>
        <w:spacing w:line="480" w:lineRule="exact"/>
        <w:ind w:firstLine="630" w:firstLineChars="300"/>
        <w:rPr>
          <w:rFonts w:cs="仿宋_GB2312" w:asciiTheme="majorEastAsia" w:hAnsiTheme="majorEastAsia" w:eastAsiaTheme="majorEastAsia"/>
          <w:szCs w:val="21"/>
        </w:rPr>
      </w:pPr>
      <w:r>
        <w:rPr>
          <w:rFonts w:cs="仿宋_GB2312" w:asciiTheme="majorEastAsia" w:hAnsiTheme="majorEastAsia" w:eastAsiaTheme="majorEastAsia"/>
          <w:szCs w:val="21"/>
        </w:rPr>
        <w:t>4.授权权限：全权代表本公司参与上述项目的谈判，负责提供与签署确认一切文书资料，以及向贵方递交的任何补充承诺。</w:t>
      </w:r>
    </w:p>
    <w:p>
      <w:pPr>
        <w:spacing w:line="440" w:lineRule="exact"/>
        <w:ind w:firstLine="644" w:firstLineChars="307"/>
        <w:rPr>
          <w:rFonts w:cs="仿宋_GB2312" w:asciiTheme="majorEastAsia" w:hAnsiTheme="majorEastAsia" w:eastAsiaTheme="majorEastAsia"/>
          <w:szCs w:val="21"/>
        </w:rPr>
      </w:pPr>
      <w:r>
        <w:rPr>
          <w:rFonts w:cs="仿宋_GB2312" w:asciiTheme="majorEastAsia" w:hAnsiTheme="majorEastAsia" w:eastAsiaTheme="majorEastAsia"/>
          <w:szCs w:val="21"/>
        </w:rPr>
        <w:t>5.有效期限：与本公司响应文件成交注的谈判有效期相同，自本单位盖公章之日起生效。</w:t>
      </w:r>
    </w:p>
    <w:p>
      <w:pPr>
        <w:spacing w:line="440" w:lineRule="exact"/>
        <w:ind w:firstLine="644" w:firstLineChars="307"/>
        <w:rPr>
          <w:rFonts w:cs="仿宋_GB2312" w:asciiTheme="majorEastAsia" w:hAnsiTheme="majorEastAsia" w:eastAsiaTheme="majorEastAsia"/>
          <w:szCs w:val="21"/>
        </w:rPr>
      </w:pPr>
      <w:r>
        <w:rPr>
          <w:rFonts w:cs="仿宋_GB2312" w:asciiTheme="majorEastAsia" w:hAnsiTheme="majorEastAsia" w:eastAsiaTheme="majorEastAsia"/>
          <w:szCs w:val="21"/>
        </w:rPr>
        <w:t>6.谈判签字代表为法定代表人，则本表不适用。</w:t>
      </w:r>
    </w:p>
    <w:p>
      <w:pPr>
        <w:spacing w:line="440" w:lineRule="exact"/>
        <w:ind w:firstLine="644" w:firstLineChars="307"/>
        <w:rPr>
          <w:rFonts w:cs="仿宋_GB2312" w:asciiTheme="majorEastAsia" w:hAnsiTheme="majorEastAsia" w:eastAsiaTheme="majorEastAsia"/>
          <w:sz w:val="24"/>
        </w:rPr>
      </w:pPr>
      <w:r>
        <w:rPr>
          <w:rFonts w:cs="仿宋_GB2312" w:asciiTheme="majorEastAsia" w:hAnsiTheme="majorEastAsia" w:eastAsiaTheme="majorEastAsia"/>
          <w:szCs w:val="21"/>
        </w:rPr>
        <w:t>7.提供授权委托人在本单位近三个月社保记录（以加盖社会保险基金管理中心印章的《缴费历史明细表》或《社会保险参保人员证明》为准），否则为无效代理人，询价响应文件无效。</w:t>
      </w:r>
    </w:p>
    <w:p>
      <w:pPr>
        <w:spacing w:line="480" w:lineRule="exact"/>
        <w:ind w:firstLine="840" w:firstLineChars="300"/>
        <w:rPr>
          <w:rFonts w:cs="仿宋_GB2312" w:asciiTheme="majorEastAsia" w:hAnsiTheme="majorEastAsia" w:eastAsiaTheme="majorEastAsia"/>
          <w:b/>
          <w:sz w:val="28"/>
          <w:szCs w:val="28"/>
        </w:rPr>
      </w:pPr>
      <w:r>
        <w:rPr>
          <w:rFonts w:cs="仿宋_GB2312" w:asciiTheme="majorEastAsia" w:hAnsiTheme="majorEastAsia" w:eastAsiaTheme="majorEastAsia"/>
          <w:sz w:val="28"/>
          <w:szCs w:val="28"/>
          <w:u w:val="single"/>
        </w:rPr>
        <mc:AlternateContent>
          <mc:Choice Requires="wps">
            <w:drawing>
              <wp:anchor distT="0" distB="0" distL="114300" distR="114300" simplePos="0" relativeHeight="251661312" behindDoc="0" locked="0" layoutInCell="1" allowOverlap="1">
                <wp:simplePos x="0" y="0"/>
                <wp:positionH relativeFrom="column">
                  <wp:posOffset>3352800</wp:posOffset>
                </wp:positionH>
                <wp:positionV relativeFrom="paragraph">
                  <wp:posOffset>162560</wp:posOffset>
                </wp:positionV>
                <wp:extent cx="2333625" cy="1584325"/>
                <wp:effectExtent l="4445" t="4445" r="5080" b="11430"/>
                <wp:wrapNone/>
                <wp:docPr id="2" name="AutoShape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w:t>
                            </w:r>
                            <w:r>
                              <w:rPr>
                                <w:rFonts w:hint="eastAsia" w:hAnsi="宋体"/>
                                <w:szCs w:val="21"/>
                                <w:lang w:val="en-US" w:eastAsia="zh-CN"/>
                              </w:rPr>
                              <w:t>在本单位社保记录</w:t>
                            </w:r>
                          </w:p>
                          <w:p>
                            <w:pPr>
                              <w:jc w:val="center"/>
                              <w:rPr>
                                <w:szCs w:val="21"/>
                              </w:rPr>
                            </w:pPr>
                            <w:r>
                              <w:rPr>
                                <w:rFonts w:hint="eastAsia" w:hAnsi="宋体"/>
                                <w:szCs w:val="21"/>
                              </w:rPr>
                              <w:t>（盖单位公章）</w:t>
                            </w:r>
                          </w:p>
                        </w:txbxContent>
                      </wps:txbx>
                      <wps:bodyPr wrap="square" upright="1"/>
                    </wps:wsp>
                  </a:graphicData>
                </a:graphic>
              </wp:anchor>
            </w:drawing>
          </mc:Choice>
          <mc:Fallback>
            <w:pict>
              <v:shape id="AutoShape 3" o:spid="_x0000_s1026" o:spt="176" type="#_x0000_t176" style="position:absolute;left:0pt;margin-left:264pt;margin-top:12.8pt;height:124.75pt;width:183.75pt;z-index:251661312;mso-width-relative:page;mso-height-relative:page;" fillcolor="#FFFFFF" filled="t" stroked="t" coordsize="21600,21600" o:gfxdata="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Xi6IzYAAAACgEAAA8AAAAAAAAAAQAgAAAAIgAAAGRycy9kb3ducmV2LnhtbFBLAQIU&#10;ABQAAAAIAIdO4kDV4U4i8wEAAAIEAAAOAAAAAAAAAAEAIAAAACcBAABkcnMvZTJvRG9jLnhtbFBL&#10;BQYAAAAABgAGAFkBAACM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w:t>
                      </w:r>
                      <w:r>
                        <w:rPr>
                          <w:rFonts w:hint="eastAsia" w:hAnsi="宋体"/>
                          <w:szCs w:val="21"/>
                          <w:lang w:val="en-US" w:eastAsia="zh-CN"/>
                        </w:rPr>
                        <w:t>在本单位社保记录</w:t>
                      </w:r>
                    </w:p>
                    <w:p>
                      <w:pPr>
                        <w:jc w:val="center"/>
                        <w:rPr>
                          <w:szCs w:val="21"/>
                        </w:rPr>
                      </w:pPr>
                      <w:r>
                        <w:rPr>
                          <w:rFonts w:hint="eastAsia" w:hAnsi="宋体"/>
                          <w:szCs w:val="21"/>
                        </w:rPr>
                        <w:t>（盖单位公章）</w:t>
                      </w:r>
                    </w:p>
                  </w:txbxContent>
                </v:textbox>
              </v:shape>
            </w:pict>
          </mc:Fallback>
        </mc:AlternateContent>
      </w:r>
      <w:r>
        <w:rPr>
          <w:rFonts w:cs="仿宋_GB2312" w:asciiTheme="majorEastAsia" w:hAnsiTheme="majorEastAsia" w:eastAsiaTheme="majorEastAsia"/>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657225</wp:posOffset>
                </wp:positionH>
                <wp:positionV relativeFrom="paragraph">
                  <wp:posOffset>153035</wp:posOffset>
                </wp:positionV>
                <wp:extent cx="2333625" cy="1584325"/>
                <wp:effectExtent l="4445" t="4445" r="5080" b="11430"/>
                <wp:wrapNone/>
                <wp:docPr id="4" name="AutoShape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wps:txbx>
                      <wps:bodyPr wrap="square" upright="1"/>
                    </wps:wsp>
                  </a:graphicData>
                </a:graphic>
              </wp:anchor>
            </w:drawing>
          </mc:Choice>
          <mc:Fallback>
            <w:pict>
              <v:shape id="AutoShape 3" o:spid="_x0000_s1026" o:spt="176" type="#_x0000_t176" style="position:absolute;left:0pt;margin-left:51.75pt;margin-top:12.05pt;height:124.75pt;width:183.75pt;z-index:251660288;mso-width-relative:page;mso-height-relative:page;" fillcolor="#FFFFFF" filled="t" stroked="t" coordsize="21600,21600" o:gfxdata="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eBL+tcAAAAKAQAADwAAAAAAAAABACAAAAAiAAAAZHJzL2Rvd25yZXYueG1sUEsBAhQA&#10;FAAAAAgAh07iQG2Lj2TzAQAAAgQAAA4AAAAAAAAAAQAgAAAAJgEAAGRycy9lMm9Eb2MueG1sUEsF&#10;BgAAAAAGAAYAWQEAAIs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v:textbox>
              </v:shape>
            </w:pict>
          </mc:Fallback>
        </mc:AlternateContent>
      </w:r>
    </w:p>
    <w:p>
      <w:pPr>
        <w:jc w:val="center"/>
        <w:rPr>
          <w:rFonts w:cs="仿宋_GB2312" w:asciiTheme="majorEastAsia" w:hAnsiTheme="majorEastAsia" w:eastAsiaTheme="majorEastAsia"/>
          <w:sz w:val="28"/>
          <w:szCs w:val="28"/>
        </w:rPr>
      </w:pPr>
    </w:p>
    <w:p>
      <w:pPr>
        <w:jc w:val="center"/>
        <w:rPr>
          <w:rFonts w:cs="仿宋_GB2312" w:asciiTheme="majorEastAsia" w:hAnsiTheme="majorEastAsia" w:eastAsiaTheme="majorEastAsia"/>
          <w:sz w:val="28"/>
          <w:szCs w:val="28"/>
        </w:rPr>
      </w:pPr>
    </w:p>
    <w:p>
      <w:pPr>
        <w:pStyle w:val="26"/>
      </w:pPr>
    </w:p>
    <w:p>
      <w:pPr>
        <w:pStyle w:val="26"/>
        <w:rPr>
          <w:rFonts w:hint="eastAsia"/>
        </w:rPr>
      </w:pPr>
    </w:p>
    <w:p>
      <w:pPr>
        <w:spacing w:line="300" w:lineRule="auto"/>
        <w:jc w:val="center"/>
        <w:rPr>
          <w:rFonts w:cs="仿宋_GB2312" w:asciiTheme="majorEastAsia" w:hAnsiTheme="majorEastAsia" w:eastAsiaTheme="majorEastAsia"/>
          <w:b/>
          <w:sz w:val="28"/>
          <w:szCs w:val="28"/>
        </w:rPr>
      </w:pPr>
    </w:p>
    <w:p>
      <w:pPr>
        <w:spacing w:line="300" w:lineRule="auto"/>
        <w:jc w:val="center"/>
        <w:rPr>
          <w:rFonts w:cs="仿宋_GB2312" w:asciiTheme="majorEastAsia" w:hAnsiTheme="majorEastAsia" w:eastAsiaTheme="majorEastAsia"/>
          <w:b/>
          <w:sz w:val="28"/>
          <w:szCs w:val="28"/>
        </w:rPr>
      </w:pPr>
      <w:r>
        <w:rPr>
          <w:rFonts w:cs="仿宋_GB2312" w:asciiTheme="majorEastAsia" w:hAnsiTheme="majorEastAsia" w:eastAsiaTheme="majorEastAsia"/>
          <w:b/>
          <w:sz w:val="28"/>
          <w:szCs w:val="28"/>
        </w:rPr>
        <w:t>2资格证明文件</w:t>
      </w:r>
    </w:p>
    <w:p>
      <w:pPr>
        <w:spacing w:line="300" w:lineRule="auto"/>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关于资格的声明函</w:t>
      </w:r>
    </w:p>
    <w:p>
      <w:pPr>
        <w:spacing w:line="480" w:lineRule="exact"/>
        <w:rPr>
          <w:rFonts w:cs="仿宋_GB2312" w:asciiTheme="majorEastAsia" w:hAnsiTheme="majorEastAsia" w:eastAsiaTheme="majorEastAsia"/>
          <w:sz w:val="28"/>
          <w:szCs w:val="28"/>
        </w:rPr>
      </w:pPr>
      <w:r>
        <w:rPr>
          <w:rFonts w:hint="eastAsia" w:cs="仿宋_GB2312" w:asciiTheme="majorEastAsia" w:hAnsiTheme="majorEastAsia" w:eastAsiaTheme="majorEastAsia"/>
          <w:sz w:val="28"/>
          <w:szCs w:val="28"/>
        </w:rPr>
        <w:t>致：（项目实施单位）</w:t>
      </w:r>
    </w:p>
    <w:p>
      <w:pPr>
        <w:spacing w:line="480" w:lineRule="exact"/>
        <w:rPr>
          <w:rFonts w:cs="仿宋_GB2312" w:asciiTheme="majorEastAsia" w:hAnsiTheme="majorEastAsia" w:eastAsiaTheme="majorEastAsia"/>
          <w:sz w:val="28"/>
          <w:szCs w:val="28"/>
        </w:rPr>
      </w:pPr>
      <w:r>
        <w:rPr>
          <w:rFonts w:cs="仿宋_GB2312" w:asciiTheme="majorEastAsia" w:hAnsiTheme="majorEastAsia" w:eastAsiaTheme="majorEastAsia"/>
          <w:sz w:val="28"/>
          <w:szCs w:val="28"/>
        </w:rPr>
        <w:t xml:space="preserve">    关于贵方项目名称:____________项目编号：   询价项目，本单位愿意提交报价响应文件，并证明所提交的文件、说明、证明材料是准确的和真实的。</w:t>
      </w:r>
    </w:p>
    <w:p>
      <w:pPr>
        <w:spacing w:line="480" w:lineRule="exact"/>
        <w:jc w:val="center"/>
        <w:rPr>
          <w:rFonts w:cs="仿宋_GB2312" w:asciiTheme="majorEastAsia" w:hAnsiTheme="majorEastAsia" w:eastAsiaTheme="majorEastAsia"/>
          <w:b/>
          <w:bCs/>
          <w:sz w:val="28"/>
          <w:szCs w:val="28"/>
        </w:rPr>
      </w:pPr>
      <w:r>
        <w:rPr>
          <w:rFonts w:hint="eastAsia" w:cs="仿宋_GB2312" w:asciiTheme="majorEastAsia" w:hAnsiTheme="majorEastAsia" w:eastAsiaTheme="majorEastAsia"/>
          <w:b/>
          <w:bCs/>
          <w:sz w:val="28"/>
          <w:szCs w:val="28"/>
        </w:rPr>
        <w:t>（相关证明文件附后）</w:t>
      </w:r>
    </w:p>
    <w:p>
      <w:pPr>
        <w:adjustRightInd w:val="0"/>
        <w:snapToGrid w:val="0"/>
        <w:spacing w:line="300" w:lineRule="auto"/>
        <w:ind w:firstLine="560" w:firstLineChars="200"/>
        <w:rPr>
          <w:rFonts w:cs="仿宋_GB2312" w:asciiTheme="majorEastAsia" w:hAnsiTheme="majorEastAsia" w:eastAsiaTheme="majorEastAsia"/>
          <w:sz w:val="28"/>
          <w:szCs w:val="28"/>
        </w:rPr>
      </w:pPr>
      <w:r>
        <w:rPr>
          <w:rFonts w:hint="eastAsia" w:cs="仿宋_GB2312" w:asciiTheme="majorEastAsia" w:hAnsiTheme="majorEastAsia" w:eastAsiaTheme="majorEastAsia"/>
          <w:sz w:val="28"/>
          <w:szCs w:val="28"/>
        </w:rPr>
        <w:t>……</w:t>
      </w:r>
    </w:p>
    <w:p>
      <w:pPr>
        <w:adjustRightInd w:val="0"/>
        <w:snapToGrid w:val="0"/>
        <w:spacing w:line="300" w:lineRule="auto"/>
        <w:ind w:firstLine="560" w:firstLineChars="200"/>
        <w:rPr>
          <w:rFonts w:cs="仿宋_GB2312" w:asciiTheme="majorEastAsia" w:hAnsiTheme="majorEastAsia" w:eastAsiaTheme="majorEastAsia"/>
          <w:sz w:val="28"/>
          <w:szCs w:val="28"/>
        </w:rPr>
      </w:pPr>
    </w:p>
    <w:p>
      <w:pPr>
        <w:adjustRightInd w:val="0"/>
        <w:snapToGrid w:val="0"/>
        <w:spacing w:line="300" w:lineRule="auto"/>
        <w:ind w:firstLine="560" w:firstLineChars="200"/>
        <w:rPr>
          <w:rFonts w:cs="仿宋_GB2312" w:asciiTheme="majorEastAsia" w:hAnsiTheme="majorEastAsia" w:eastAsiaTheme="majorEastAsia"/>
          <w:sz w:val="28"/>
          <w:szCs w:val="28"/>
        </w:rPr>
      </w:pPr>
      <w:r>
        <w:rPr>
          <w:rFonts w:hint="eastAsia" w:cs="仿宋_GB2312" w:asciiTheme="majorEastAsia" w:hAnsiTheme="majorEastAsia" w:eastAsiaTheme="majorEastAsia"/>
          <w:sz w:val="28"/>
          <w:szCs w:val="28"/>
        </w:rPr>
        <w:t>本单位保证全部申请文件和问题的回答是真实和有效的，并对所提供资料的真实性负责。</w:t>
      </w:r>
    </w:p>
    <w:p>
      <w:pPr>
        <w:adjustRightInd w:val="0"/>
        <w:snapToGrid w:val="0"/>
        <w:spacing w:line="300" w:lineRule="auto"/>
        <w:rPr>
          <w:rFonts w:cs="仿宋_GB2312" w:asciiTheme="majorEastAsia" w:hAnsiTheme="majorEastAsia" w:eastAsiaTheme="majorEastAsia"/>
          <w:sz w:val="28"/>
          <w:szCs w:val="28"/>
        </w:rPr>
      </w:pPr>
    </w:p>
    <w:p>
      <w:pPr>
        <w:adjustRightInd w:val="0"/>
        <w:snapToGrid w:val="0"/>
        <w:spacing w:line="300" w:lineRule="auto"/>
        <w:rPr>
          <w:rFonts w:cs="仿宋_GB2312" w:asciiTheme="majorEastAsia" w:hAnsiTheme="majorEastAsia" w:eastAsiaTheme="majorEastAsia"/>
          <w:sz w:val="28"/>
          <w:szCs w:val="28"/>
        </w:rPr>
      </w:pPr>
    </w:p>
    <w:p>
      <w:pPr>
        <w:adjustRightInd w:val="0"/>
        <w:snapToGrid w:val="0"/>
        <w:spacing w:line="300" w:lineRule="auto"/>
        <w:rPr>
          <w:rFonts w:cs="仿宋_GB2312" w:asciiTheme="majorEastAsia" w:hAnsiTheme="majorEastAsia" w:eastAsiaTheme="majorEastAsia"/>
          <w:sz w:val="28"/>
          <w:szCs w:val="28"/>
        </w:rPr>
      </w:pPr>
      <w:r>
        <w:rPr>
          <w:rFonts w:hint="eastAsia" w:cs="仿宋_GB2312" w:asciiTheme="majorEastAsia" w:hAnsiTheme="majorEastAsia" w:eastAsiaTheme="majorEastAsia"/>
          <w:sz w:val="28"/>
          <w:szCs w:val="28"/>
        </w:rPr>
        <w:t>报价单位代表（签名或盖私章）：</w:t>
      </w:r>
      <w:r>
        <w:rPr>
          <w:rFonts w:cs="仿宋_GB2312" w:asciiTheme="majorEastAsia" w:hAnsiTheme="majorEastAsia" w:eastAsiaTheme="majorEastAsia"/>
          <w:sz w:val="28"/>
          <w:szCs w:val="28"/>
          <w:u w:val="single"/>
        </w:rPr>
        <w:t xml:space="preserve">                   </w:t>
      </w:r>
    </w:p>
    <w:p>
      <w:pPr>
        <w:adjustRightInd w:val="0"/>
        <w:snapToGrid w:val="0"/>
        <w:spacing w:line="300" w:lineRule="auto"/>
        <w:rPr>
          <w:rFonts w:cs="仿宋_GB2312" w:asciiTheme="majorEastAsia" w:hAnsiTheme="majorEastAsia" w:eastAsiaTheme="majorEastAsia"/>
          <w:sz w:val="28"/>
          <w:szCs w:val="28"/>
          <w:u w:val="single"/>
        </w:rPr>
      </w:pPr>
      <w:r>
        <w:rPr>
          <w:rFonts w:hint="eastAsia" w:cs="仿宋_GB2312" w:asciiTheme="majorEastAsia" w:hAnsiTheme="majorEastAsia" w:eastAsiaTheme="majorEastAsia"/>
          <w:sz w:val="28"/>
          <w:szCs w:val="28"/>
        </w:rPr>
        <w:t>报价单位名称（盖单位公章）：</w:t>
      </w:r>
      <w:r>
        <w:rPr>
          <w:rFonts w:cs="仿宋_GB2312" w:asciiTheme="majorEastAsia" w:hAnsiTheme="majorEastAsia" w:eastAsiaTheme="majorEastAsia"/>
          <w:sz w:val="28"/>
          <w:szCs w:val="28"/>
          <w:u w:val="single"/>
        </w:rPr>
        <w:t xml:space="preserve">                        </w:t>
      </w:r>
    </w:p>
    <w:p>
      <w:pPr>
        <w:adjustRightInd w:val="0"/>
        <w:snapToGrid w:val="0"/>
        <w:spacing w:line="300" w:lineRule="auto"/>
        <w:rPr>
          <w:rFonts w:cs="仿宋_GB2312" w:asciiTheme="majorEastAsia" w:hAnsiTheme="majorEastAsia" w:eastAsiaTheme="majorEastAsia"/>
          <w:sz w:val="28"/>
          <w:szCs w:val="28"/>
        </w:rPr>
        <w:sectPr>
          <w:pgSz w:w="11906" w:h="16838"/>
          <w:pgMar w:top="1089" w:right="1077" w:bottom="1089" w:left="777" w:header="851" w:footer="992" w:gutter="0"/>
          <w:cols w:space="720" w:num="1"/>
          <w:docGrid w:type="lines" w:linePitch="312" w:charSpace="0"/>
        </w:sectPr>
      </w:pPr>
      <w:r>
        <w:rPr>
          <w:rFonts w:hint="eastAsia" w:cs="仿宋_GB2312" w:asciiTheme="majorEastAsia" w:hAnsiTheme="majorEastAsia" w:eastAsiaTheme="majorEastAsia"/>
          <w:sz w:val="28"/>
          <w:szCs w:val="28"/>
        </w:rPr>
        <w:t>日期：</w:t>
      </w:r>
      <w:r>
        <w:rPr>
          <w:rFonts w:cs="仿宋_GB2312" w:asciiTheme="majorEastAsia" w:hAnsiTheme="majorEastAsia" w:eastAsiaTheme="majorEastAsia"/>
          <w:sz w:val="28"/>
          <w:szCs w:val="28"/>
          <w:u w:val="single"/>
        </w:rPr>
        <w:t xml:space="preserve">          </w:t>
      </w:r>
      <w:r>
        <w:rPr>
          <w:rFonts w:hint="eastAsia" w:cs="仿宋_GB2312" w:asciiTheme="majorEastAsia" w:hAnsiTheme="majorEastAsia" w:eastAsiaTheme="majorEastAsia"/>
          <w:sz w:val="28"/>
          <w:szCs w:val="28"/>
        </w:rPr>
        <w:t>年</w:t>
      </w:r>
      <w:r>
        <w:rPr>
          <w:rFonts w:cs="仿宋_GB2312" w:asciiTheme="majorEastAsia" w:hAnsiTheme="majorEastAsia" w:eastAsiaTheme="majorEastAsia"/>
          <w:sz w:val="28"/>
          <w:szCs w:val="28"/>
          <w:u w:val="single"/>
        </w:rPr>
        <w:t xml:space="preserve">     </w:t>
      </w:r>
      <w:r>
        <w:rPr>
          <w:rFonts w:cs="仿宋_GB2312" w:asciiTheme="majorEastAsia" w:hAnsiTheme="majorEastAsia" w:eastAsiaTheme="majorEastAsia"/>
          <w:sz w:val="28"/>
          <w:szCs w:val="28"/>
        </w:rPr>
        <w:t xml:space="preserve"> 月</w:t>
      </w:r>
      <w:r>
        <w:rPr>
          <w:rFonts w:cs="仿宋_GB2312" w:asciiTheme="majorEastAsia" w:hAnsiTheme="majorEastAsia" w:eastAsiaTheme="majorEastAsia"/>
          <w:sz w:val="28"/>
          <w:szCs w:val="28"/>
          <w:u w:val="single"/>
        </w:rPr>
        <w:t xml:space="preserve">    </w:t>
      </w:r>
      <w:r>
        <w:rPr>
          <w:rFonts w:cs="仿宋_GB2312" w:asciiTheme="majorEastAsia" w:hAnsiTheme="majorEastAsia" w:eastAsiaTheme="majorEastAsia"/>
          <w:sz w:val="28"/>
          <w:szCs w:val="28"/>
        </w:rPr>
        <w:t xml:space="preserve"> 日</w:t>
      </w:r>
    </w:p>
    <w:p>
      <w:pPr>
        <w:jc w:val="center"/>
        <w:rPr>
          <w:rFonts w:cs="仿宋_GB2312" w:asciiTheme="majorEastAsia" w:hAnsiTheme="majorEastAsia" w:eastAsiaTheme="majorEastAsia"/>
          <w:b/>
          <w:sz w:val="28"/>
          <w:szCs w:val="28"/>
        </w:rPr>
      </w:pPr>
      <w:r>
        <w:rPr>
          <w:rFonts w:cs="仿宋_GB2312" w:asciiTheme="majorEastAsia" w:hAnsiTheme="majorEastAsia" w:eastAsiaTheme="majorEastAsia"/>
          <w:b/>
          <w:sz w:val="28"/>
          <w:szCs w:val="28"/>
        </w:rPr>
        <w:t xml:space="preserve">3 </w:t>
      </w:r>
      <w:r>
        <w:rPr>
          <w:rFonts w:hint="eastAsia" w:cs="仿宋_GB2312" w:asciiTheme="majorEastAsia" w:hAnsiTheme="majorEastAsia" w:eastAsiaTheme="majorEastAsia"/>
          <w:b/>
          <w:sz w:val="28"/>
          <w:szCs w:val="28"/>
        </w:rPr>
        <w:t>报价意向承诺及声明函</w:t>
      </w:r>
    </w:p>
    <w:p>
      <w:pPr>
        <w:spacing w:line="360" w:lineRule="auto"/>
        <w:jc w:val="center"/>
        <w:rPr>
          <w:rFonts w:cs="仿宋_GB2312" w:asciiTheme="majorEastAsia" w:hAnsiTheme="majorEastAsia" w:eastAsiaTheme="majorEastAsia"/>
          <w:b/>
          <w:sz w:val="36"/>
          <w:szCs w:val="36"/>
        </w:rPr>
      </w:pPr>
      <w:r>
        <w:rPr>
          <w:rFonts w:hint="eastAsia" w:cs="仿宋_GB2312" w:asciiTheme="majorEastAsia" w:hAnsiTheme="majorEastAsia" w:eastAsiaTheme="majorEastAsia"/>
          <w:b/>
          <w:sz w:val="36"/>
          <w:szCs w:val="36"/>
        </w:rPr>
        <w:t>报</w:t>
      </w:r>
      <w:r>
        <w:rPr>
          <w:rFonts w:cs="仿宋_GB2312" w:asciiTheme="majorEastAsia" w:hAnsiTheme="majorEastAsia" w:eastAsiaTheme="majorEastAsia"/>
          <w:b/>
          <w:sz w:val="36"/>
          <w:szCs w:val="36"/>
        </w:rPr>
        <w:t xml:space="preserve"> </w:t>
      </w:r>
      <w:r>
        <w:rPr>
          <w:rFonts w:hint="eastAsia" w:cs="仿宋_GB2312" w:asciiTheme="majorEastAsia" w:hAnsiTheme="majorEastAsia" w:eastAsiaTheme="majorEastAsia"/>
          <w:b/>
          <w:sz w:val="36"/>
          <w:szCs w:val="36"/>
        </w:rPr>
        <w:t>价</w:t>
      </w:r>
      <w:r>
        <w:rPr>
          <w:rFonts w:cs="仿宋_GB2312" w:asciiTheme="majorEastAsia" w:hAnsiTheme="majorEastAsia" w:eastAsiaTheme="majorEastAsia"/>
          <w:b/>
          <w:sz w:val="36"/>
          <w:szCs w:val="36"/>
        </w:rPr>
        <w:t xml:space="preserve"> </w:t>
      </w:r>
      <w:r>
        <w:rPr>
          <w:rFonts w:hint="eastAsia" w:cs="仿宋_GB2312" w:asciiTheme="majorEastAsia" w:hAnsiTheme="majorEastAsia" w:eastAsiaTheme="majorEastAsia"/>
          <w:b/>
          <w:sz w:val="36"/>
          <w:szCs w:val="36"/>
        </w:rPr>
        <w:t>意</w:t>
      </w:r>
      <w:r>
        <w:rPr>
          <w:rFonts w:cs="仿宋_GB2312" w:asciiTheme="majorEastAsia" w:hAnsiTheme="majorEastAsia" w:eastAsiaTheme="majorEastAsia"/>
          <w:b/>
          <w:sz w:val="36"/>
          <w:szCs w:val="36"/>
        </w:rPr>
        <w:t xml:space="preserve"> </w:t>
      </w:r>
      <w:r>
        <w:rPr>
          <w:rFonts w:hint="eastAsia" w:cs="仿宋_GB2312" w:asciiTheme="majorEastAsia" w:hAnsiTheme="majorEastAsia" w:eastAsiaTheme="majorEastAsia"/>
          <w:b/>
          <w:sz w:val="36"/>
          <w:szCs w:val="36"/>
        </w:rPr>
        <w:t>向</w:t>
      </w:r>
      <w:r>
        <w:rPr>
          <w:rFonts w:cs="仿宋_GB2312" w:asciiTheme="majorEastAsia" w:hAnsiTheme="majorEastAsia" w:eastAsiaTheme="majorEastAsia"/>
          <w:b/>
          <w:sz w:val="36"/>
          <w:szCs w:val="36"/>
        </w:rPr>
        <w:t xml:space="preserve"> </w:t>
      </w:r>
      <w:r>
        <w:rPr>
          <w:rFonts w:hint="eastAsia" w:cs="仿宋_GB2312" w:asciiTheme="majorEastAsia" w:hAnsiTheme="majorEastAsia" w:eastAsiaTheme="majorEastAsia"/>
          <w:b/>
          <w:sz w:val="36"/>
          <w:szCs w:val="36"/>
        </w:rPr>
        <w:t>承</w:t>
      </w:r>
      <w:r>
        <w:rPr>
          <w:rFonts w:cs="仿宋_GB2312" w:asciiTheme="majorEastAsia" w:hAnsiTheme="majorEastAsia" w:eastAsiaTheme="majorEastAsia"/>
          <w:b/>
          <w:sz w:val="36"/>
          <w:szCs w:val="36"/>
        </w:rPr>
        <w:t xml:space="preserve"> </w:t>
      </w:r>
      <w:r>
        <w:rPr>
          <w:rFonts w:hint="eastAsia" w:cs="仿宋_GB2312" w:asciiTheme="majorEastAsia" w:hAnsiTheme="majorEastAsia" w:eastAsiaTheme="majorEastAsia"/>
          <w:b/>
          <w:sz w:val="36"/>
          <w:szCs w:val="36"/>
        </w:rPr>
        <w:t>诺</w:t>
      </w:r>
      <w:r>
        <w:rPr>
          <w:rFonts w:cs="仿宋_GB2312" w:asciiTheme="majorEastAsia" w:hAnsiTheme="majorEastAsia" w:eastAsiaTheme="majorEastAsia"/>
          <w:b/>
          <w:sz w:val="36"/>
          <w:szCs w:val="36"/>
        </w:rPr>
        <w:t xml:space="preserve"> </w:t>
      </w:r>
      <w:r>
        <w:rPr>
          <w:rFonts w:hint="eastAsia" w:cs="仿宋_GB2312" w:asciiTheme="majorEastAsia" w:hAnsiTheme="majorEastAsia" w:eastAsiaTheme="majorEastAsia"/>
          <w:b/>
          <w:sz w:val="36"/>
          <w:szCs w:val="36"/>
        </w:rPr>
        <w:t>及</w:t>
      </w:r>
      <w:r>
        <w:rPr>
          <w:rFonts w:cs="仿宋_GB2312" w:asciiTheme="majorEastAsia" w:hAnsiTheme="majorEastAsia" w:eastAsiaTheme="majorEastAsia"/>
          <w:b/>
          <w:sz w:val="36"/>
          <w:szCs w:val="36"/>
        </w:rPr>
        <w:t xml:space="preserve"> </w:t>
      </w:r>
      <w:r>
        <w:rPr>
          <w:rFonts w:hint="eastAsia" w:cs="仿宋_GB2312" w:asciiTheme="majorEastAsia" w:hAnsiTheme="majorEastAsia" w:eastAsiaTheme="majorEastAsia"/>
          <w:b/>
          <w:sz w:val="36"/>
          <w:szCs w:val="36"/>
        </w:rPr>
        <w:t>声</w:t>
      </w:r>
      <w:r>
        <w:rPr>
          <w:rFonts w:cs="仿宋_GB2312" w:asciiTheme="majorEastAsia" w:hAnsiTheme="majorEastAsia" w:eastAsiaTheme="majorEastAsia"/>
          <w:b/>
          <w:sz w:val="36"/>
          <w:szCs w:val="36"/>
        </w:rPr>
        <w:t xml:space="preserve"> </w:t>
      </w:r>
      <w:r>
        <w:rPr>
          <w:rFonts w:hint="eastAsia" w:cs="仿宋_GB2312" w:asciiTheme="majorEastAsia" w:hAnsiTheme="majorEastAsia" w:eastAsiaTheme="majorEastAsia"/>
          <w:b/>
          <w:sz w:val="36"/>
          <w:szCs w:val="36"/>
        </w:rPr>
        <w:t>明</w:t>
      </w:r>
      <w:r>
        <w:rPr>
          <w:rFonts w:cs="仿宋_GB2312" w:asciiTheme="majorEastAsia" w:hAnsiTheme="majorEastAsia" w:eastAsiaTheme="majorEastAsia"/>
          <w:b/>
          <w:sz w:val="36"/>
          <w:szCs w:val="36"/>
        </w:rPr>
        <w:t xml:space="preserve"> </w:t>
      </w:r>
      <w:r>
        <w:rPr>
          <w:rFonts w:hint="eastAsia" w:cs="仿宋_GB2312" w:asciiTheme="majorEastAsia" w:hAnsiTheme="majorEastAsia" w:eastAsiaTheme="majorEastAsia"/>
          <w:b/>
          <w:sz w:val="36"/>
          <w:szCs w:val="36"/>
        </w:rPr>
        <w:t>函</w:t>
      </w:r>
    </w:p>
    <w:p>
      <w:pPr>
        <w:pStyle w:val="42"/>
        <w:adjustRightInd w:val="0"/>
        <w:ind w:right="-1" w:firstLine="0"/>
        <w:jc w:val="left"/>
        <w:rPr>
          <w:rFonts w:cs="仿宋_GB2312" w:asciiTheme="majorEastAsia" w:hAnsiTheme="majorEastAsia" w:eastAsiaTheme="majorEastAsia"/>
          <w:color w:val="auto"/>
          <w:sz w:val="24"/>
          <w:szCs w:val="24"/>
        </w:rPr>
      </w:pPr>
      <w:r>
        <w:rPr>
          <w:rFonts w:hint="eastAsia" w:cs="仿宋_GB2312" w:asciiTheme="majorEastAsia" w:hAnsiTheme="majorEastAsia" w:eastAsiaTheme="majorEastAsia"/>
          <w:color w:val="auto"/>
          <w:sz w:val="24"/>
          <w:szCs w:val="24"/>
        </w:rPr>
        <w:t>致：</w:t>
      </w:r>
      <w:r>
        <w:rPr>
          <w:rFonts w:hint="eastAsia" w:cs="仿宋_GB2312" w:asciiTheme="majorEastAsia" w:hAnsiTheme="majorEastAsia" w:eastAsiaTheme="majorEastAsia"/>
          <w:color w:val="auto"/>
          <w:sz w:val="24"/>
          <w:szCs w:val="24"/>
          <w:u w:val="single"/>
        </w:rPr>
        <w:t>（项目实施单位）</w:t>
      </w:r>
      <w:r>
        <w:rPr>
          <w:rFonts w:cs="仿宋_GB2312" w:asciiTheme="majorEastAsia" w:hAnsiTheme="majorEastAsia" w:eastAsiaTheme="majorEastAsia"/>
          <w:color w:val="auto"/>
          <w:sz w:val="24"/>
          <w:szCs w:val="24"/>
          <w:u w:val="single"/>
        </w:rPr>
        <w:t xml:space="preserve"> </w:t>
      </w:r>
    </w:p>
    <w:p>
      <w:pPr>
        <w:autoSpaceDE w:val="0"/>
        <w:autoSpaceDN w:val="0"/>
        <w:adjustRightInd w:val="0"/>
        <w:spacing w:line="360" w:lineRule="auto"/>
        <w:ind w:left="-539" w:leftChars="-257" w:firstLine="480" w:firstLineChars="200"/>
        <w:rPr>
          <w:rFonts w:cs="仿宋_GB2312" w:asciiTheme="majorEastAsia" w:hAnsiTheme="majorEastAsia" w:eastAsiaTheme="majorEastAsia"/>
          <w:kern w:val="0"/>
          <w:sz w:val="24"/>
        </w:rPr>
      </w:pPr>
      <w:r>
        <w:rPr>
          <w:rFonts w:cs="仿宋_GB2312" w:asciiTheme="majorEastAsia" w:hAnsiTheme="majorEastAsia" w:eastAsiaTheme="majorEastAsia"/>
          <w:kern w:val="0"/>
          <w:sz w:val="24"/>
        </w:rPr>
        <w:t>1.</w:t>
      </w:r>
      <w:r>
        <w:rPr>
          <w:rFonts w:hint="eastAsia" w:cs="仿宋_GB2312" w:asciiTheme="majorEastAsia" w:hAnsiTheme="majorEastAsia" w:eastAsiaTheme="majorEastAsia"/>
          <w:sz w:val="24"/>
        </w:rPr>
        <w:t>根据询价人发出的项目编号为</w:t>
      </w:r>
      <w:r>
        <w:rPr>
          <w:rFonts w:cs="仿宋_GB2312" w:asciiTheme="majorEastAsia" w:hAnsiTheme="majorEastAsia" w:eastAsiaTheme="majorEastAsia"/>
          <w:sz w:val="24"/>
          <w:u w:val="single"/>
        </w:rPr>
        <w:t xml:space="preserve">           </w:t>
      </w:r>
      <w:r>
        <w:rPr>
          <w:rFonts w:hint="eastAsia" w:cs="仿宋_GB2312" w:asciiTheme="majorEastAsia" w:hAnsiTheme="majorEastAsia" w:eastAsiaTheme="majorEastAsia"/>
          <w:sz w:val="24"/>
        </w:rPr>
        <w:t>的</w:t>
      </w:r>
      <w:r>
        <w:rPr>
          <w:rFonts w:cs="仿宋_GB2312" w:asciiTheme="majorEastAsia" w:hAnsiTheme="majorEastAsia" w:eastAsiaTheme="majorEastAsia"/>
          <w:sz w:val="24"/>
          <w:u w:val="single"/>
        </w:rPr>
        <w:t xml:space="preserve">                </w:t>
      </w:r>
      <w:r>
        <w:rPr>
          <w:rFonts w:hint="eastAsia" w:cs="仿宋_GB2312" w:asciiTheme="majorEastAsia" w:hAnsiTheme="majorEastAsia" w:eastAsiaTheme="majorEastAsia"/>
          <w:sz w:val="24"/>
        </w:rPr>
        <w:t>工程的询价文件，我方已详细审查了全部内容，并无异议。</w:t>
      </w:r>
    </w:p>
    <w:p>
      <w:pPr>
        <w:autoSpaceDE w:val="0"/>
        <w:autoSpaceDN w:val="0"/>
        <w:adjustRightInd w:val="0"/>
        <w:spacing w:line="360" w:lineRule="auto"/>
        <w:ind w:left="-539" w:leftChars="-257" w:firstLine="480" w:firstLineChars="200"/>
        <w:rPr>
          <w:rFonts w:cs="仿宋_GB2312" w:asciiTheme="majorEastAsia" w:hAnsiTheme="majorEastAsia" w:eastAsiaTheme="majorEastAsia"/>
          <w:kern w:val="0"/>
          <w:sz w:val="24"/>
        </w:rPr>
      </w:pPr>
      <w:r>
        <w:rPr>
          <w:rFonts w:cs="仿宋_GB2312" w:asciiTheme="majorEastAsia" w:hAnsiTheme="majorEastAsia" w:eastAsiaTheme="majorEastAsia"/>
          <w:sz w:val="24"/>
        </w:rPr>
        <w:t>2.现我方承诺：</w:t>
      </w:r>
      <w:r>
        <w:rPr>
          <w:rFonts w:hint="eastAsia" w:cs="仿宋_GB2312" w:asciiTheme="majorEastAsia" w:hAnsiTheme="majorEastAsia" w:eastAsiaTheme="majorEastAsia"/>
          <w:kern w:val="0"/>
          <w:sz w:val="24"/>
        </w:rPr>
        <w:t>愿以人民币</w:t>
      </w:r>
      <w:r>
        <w:rPr>
          <w:rFonts w:cs="仿宋_GB2312" w:asciiTheme="majorEastAsia" w:hAnsiTheme="majorEastAsia" w:eastAsiaTheme="majorEastAsia"/>
          <w:kern w:val="0"/>
          <w:sz w:val="24"/>
          <w:u w:val="single"/>
        </w:rPr>
        <w:t xml:space="preserve">             </w:t>
      </w:r>
      <w:r>
        <w:rPr>
          <w:rFonts w:hint="eastAsia" w:cs="仿宋_GB2312" w:asciiTheme="majorEastAsia" w:hAnsiTheme="majorEastAsia" w:eastAsiaTheme="majorEastAsia"/>
          <w:kern w:val="0"/>
          <w:sz w:val="24"/>
        </w:rPr>
        <w:t>元（小写：</w:t>
      </w:r>
      <w:r>
        <w:rPr>
          <w:rFonts w:hint="eastAsia" w:cs="仿宋_GB2312" w:asciiTheme="majorEastAsia" w:hAnsiTheme="majorEastAsia" w:eastAsiaTheme="majorEastAsia"/>
          <w:kern w:val="0"/>
          <w:sz w:val="24"/>
          <w:u w:val="single"/>
        </w:rPr>
        <w:t>￥</w:t>
      </w:r>
      <w:r>
        <w:rPr>
          <w:rFonts w:cs="仿宋_GB2312" w:asciiTheme="majorEastAsia" w:hAnsiTheme="majorEastAsia" w:eastAsiaTheme="majorEastAsia"/>
          <w:kern w:val="0"/>
          <w:sz w:val="24"/>
          <w:u w:val="single"/>
        </w:rPr>
        <w:t xml:space="preserve">       </w:t>
      </w:r>
      <w:r>
        <w:rPr>
          <w:rFonts w:hint="eastAsia" w:cs="仿宋_GB2312" w:asciiTheme="majorEastAsia" w:hAnsiTheme="majorEastAsia" w:eastAsiaTheme="majorEastAsia"/>
          <w:kern w:val="0"/>
          <w:sz w:val="24"/>
        </w:rPr>
        <w:t>元）的报价，承包本次交易所包含的所有工作，并承担任何质量缺陷责任。</w:t>
      </w:r>
    </w:p>
    <w:p>
      <w:pPr>
        <w:autoSpaceDE w:val="0"/>
        <w:autoSpaceDN w:val="0"/>
        <w:adjustRightInd w:val="0"/>
        <w:spacing w:line="360" w:lineRule="auto"/>
        <w:ind w:left="-539" w:leftChars="-257" w:firstLine="480" w:firstLineChars="200"/>
        <w:rPr>
          <w:rFonts w:cs="仿宋_GB2312" w:asciiTheme="majorEastAsia" w:hAnsiTheme="majorEastAsia" w:eastAsiaTheme="majorEastAsia"/>
          <w:kern w:val="0"/>
          <w:sz w:val="24"/>
        </w:rPr>
      </w:pPr>
      <w:r>
        <w:rPr>
          <w:rFonts w:cs="仿宋_GB2312" w:asciiTheme="majorEastAsia" w:hAnsiTheme="majorEastAsia" w:eastAsiaTheme="majorEastAsia"/>
          <w:sz w:val="24"/>
        </w:rPr>
        <w:t>3.我方保证将按照本项目询价文件第二部分项目内容的技术、商务要求完成本项目。</w:t>
      </w:r>
    </w:p>
    <w:p>
      <w:pPr>
        <w:autoSpaceDE w:val="0"/>
        <w:autoSpaceDN w:val="0"/>
        <w:adjustRightInd w:val="0"/>
        <w:spacing w:line="360" w:lineRule="auto"/>
        <w:ind w:left="-539" w:leftChars="-257" w:firstLine="480" w:firstLineChars="200"/>
        <w:rPr>
          <w:rFonts w:cs="仿宋_GB2312" w:asciiTheme="majorEastAsia" w:hAnsiTheme="majorEastAsia" w:eastAsiaTheme="majorEastAsia"/>
          <w:sz w:val="24"/>
        </w:rPr>
      </w:pPr>
      <w:r>
        <w:rPr>
          <w:rFonts w:cs="仿宋_GB2312" w:asciiTheme="majorEastAsia" w:hAnsiTheme="majorEastAsia" w:eastAsiaTheme="majorEastAsia"/>
          <w:sz w:val="24"/>
        </w:rPr>
        <w:t>4.我方同意承包意向在询价文件规定的交易有效期</w:t>
      </w:r>
      <w:r>
        <w:rPr>
          <w:rFonts w:cs="仿宋_GB2312" w:asciiTheme="majorEastAsia" w:hAnsiTheme="majorEastAsia" w:eastAsiaTheme="majorEastAsia"/>
          <w:sz w:val="24"/>
          <w:u w:val="single"/>
        </w:rPr>
        <w:t xml:space="preserve">    </w:t>
      </w:r>
      <w:r>
        <w:rPr>
          <w:rFonts w:hint="eastAsia" w:cs="仿宋_GB2312" w:asciiTheme="majorEastAsia" w:hAnsiTheme="majorEastAsia" w:eastAsiaTheme="majorEastAsia"/>
          <w:sz w:val="24"/>
        </w:rPr>
        <w:t>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pacing w:line="360" w:lineRule="auto"/>
        <w:ind w:left="-539" w:leftChars="-257" w:firstLine="480" w:firstLineChars="200"/>
        <w:rPr>
          <w:rFonts w:cs="仿宋_GB2312" w:asciiTheme="majorEastAsia" w:hAnsiTheme="majorEastAsia" w:eastAsiaTheme="majorEastAsia"/>
          <w:sz w:val="24"/>
        </w:rPr>
      </w:pPr>
      <w:r>
        <w:rPr>
          <w:rFonts w:cs="仿宋_GB2312" w:asciiTheme="majorEastAsia" w:hAnsiTheme="majorEastAsia" w:eastAsiaTheme="majorEastAsia"/>
          <w:sz w:val="24"/>
        </w:rPr>
        <w:t>5.如果我方获得承包资格，我方保证将</w:t>
      </w:r>
      <w:r>
        <w:rPr>
          <w:rFonts w:hint="eastAsia" w:cs="仿宋_GB2312" w:asciiTheme="majorEastAsia" w:hAnsiTheme="majorEastAsia" w:eastAsiaTheme="majorEastAsia"/>
          <w:kern w:val="0"/>
          <w:sz w:val="24"/>
        </w:rPr>
        <w:t>在合同要求的服务期内开展工作，在规定的时间内，按照上述文件完成项目，并严格履行合同。</w:t>
      </w:r>
    </w:p>
    <w:p>
      <w:pPr>
        <w:autoSpaceDE w:val="0"/>
        <w:autoSpaceDN w:val="0"/>
        <w:adjustRightInd w:val="0"/>
        <w:spacing w:line="360" w:lineRule="auto"/>
        <w:ind w:left="-539" w:leftChars="-257" w:firstLine="480" w:firstLineChars="200"/>
        <w:rPr>
          <w:rFonts w:cs="仿宋_GB2312" w:asciiTheme="majorEastAsia" w:hAnsiTheme="majorEastAsia" w:eastAsiaTheme="majorEastAsia"/>
          <w:sz w:val="24"/>
        </w:rPr>
      </w:pPr>
      <w:r>
        <w:rPr>
          <w:rFonts w:cs="仿宋_GB2312" w:asciiTheme="majorEastAsia" w:hAnsiTheme="majorEastAsia" w:eastAsiaTheme="majorEastAsia"/>
          <w:sz w:val="24"/>
        </w:rPr>
        <w:t>6.如果我方获得承包资格，我方将实行项目经理负责制，我方拟委派的项目负责人为</w:t>
      </w:r>
      <w:r>
        <w:rPr>
          <w:rFonts w:cs="仿宋_GB2312" w:asciiTheme="majorEastAsia" w:hAnsiTheme="majorEastAsia" w:eastAsiaTheme="majorEastAsia"/>
          <w:sz w:val="24"/>
          <w:u w:val="single"/>
        </w:rPr>
        <w:t xml:space="preserve">        </w:t>
      </w:r>
      <w:r>
        <w:rPr>
          <w:rFonts w:hint="eastAsia" w:cs="仿宋_GB2312" w:asciiTheme="majorEastAsia" w:hAnsiTheme="majorEastAsia" w:eastAsiaTheme="majorEastAsia"/>
          <w:sz w:val="24"/>
        </w:rPr>
        <w:t>（证书编号为：</w:t>
      </w:r>
      <w:r>
        <w:rPr>
          <w:rFonts w:cs="仿宋_GB2312" w:asciiTheme="majorEastAsia" w:hAnsiTheme="majorEastAsia" w:eastAsiaTheme="majorEastAsia"/>
          <w:sz w:val="24"/>
          <w:u w:val="single"/>
        </w:rPr>
        <w:t xml:space="preserve">          </w:t>
      </w:r>
      <w:r>
        <w:rPr>
          <w:rFonts w:hint="eastAsia" w:cs="仿宋_GB2312" w:asciiTheme="majorEastAsia" w:hAnsiTheme="majorEastAsia" w:eastAsiaTheme="majorEastAsia"/>
          <w:sz w:val="24"/>
        </w:rPr>
        <w:t>），并按询价人要求配备项目管理班子。如未经询价人同意更换项目班子成员，询价人有权取消我公司的承包资格或单方面终止合同，由此造成的违约责任由我公司承担。</w:t>
      </w:r>
    </w:p>
    <w:p>
      <w:pPr>
        <w:autoSpaceDE w:val="0"/>
        <w:autoSpaceDN w:val="0"/>
        <w:adjustRightInd w:val="0"/>
        <w:spacing w:line="360" w:lineRule="auto"/>
        <w:ind w:left="-539" w:leftChars="-257" w:firstLine="480" w:firstLineChars="200"/>
        <w:rPr>
          <w:rFonts w:cs="仿宋_GB2312" w:asciiTheme="majorEastAsia" w:hAnsiTheme="majorEastAsia" w:eastAsiaTheme="majorEastAsia"/>
          <w:sz w:val="24"/>
        </w:rPr>
      </w:pPr>
      <w:r>
        <w:rPr>
          <w:rFonts w:cs="仿宋_GB2312" w:asciiTheme="majorEastAsia" w:hAnsiTheme="majorEastAsia" w:eastAsiaTheme="majorEastAsia"/>
          <w:sz w:val="24"/>
        </w:rPr>
        <w:t>7.我方就参加本项目交易工作，</w:t>
      </w:r>
      <w:r>
        <w:rPr>
          <w:rFonts w:hint="eastAsia" w:cs="仿宋_GB2312" w:asciiTheme="majorEastAsia" w:hAnsiTheme="majorEastAsia" w:eastAsiaTheme="majorEastAsia"/>
          <w:sz w:val="24"/>
        </w:rPr>
        <w:t>作出以下郑重声明：</w:t>
      </w:r>
    </w:p>
    <w:p>
      <w:pPr>
        <w:autoSpaceDE w:val="0"/>
        <w:autoSpaceDN w:val="0"/>
        <w:adjustRightInd w:val="0"/>
        <w:spacing w:line="360" w:lineRule="auto"/>
        <w:ind w:left="-539" w:leftChars="-257" w:firstLine="480" w:firstLineChars="200"/>
        <w:rPr>
          <w:rFonts w:cs="仿宋_GB2312" w:asciiTheme="majorEastAsia" w:hAnsiTheme="majorEastAsia" w:eastAsiaTheme="majorEastAsia"/>
          <w:sz w:val="24"/>
        </w:rPr>
      </w:pPr>
      <w:r>
        <w:rPr>
          <w:rFonts w:hint="eastAsia" w:cs="仿宋_GB2312" w:asciiTheme="majorEastAsia" w:hAnsiTheme="majorEastAsia" w:eastAsiaTheme="majorEastAsia"/>
          <w:sz w:val="24"/>
        </w:rPr>
        <w:t>⑴</w:t>
      </w:r>
      <w:r>
        <w:rPr>
          <w:rFonts w:cs="仿宋_GB2312" w:asciiTheme="majorEastAsia" w:hAnsiTheme="majorEastAsia" w:eastAsiaTheme="majorEastAsia"/>
          <w:sz w:val="24"/>
        </w:rPr>
        <w:t xml:space="preserve"> </w:t>
      </w:r>
      <w:r>
        <w:rPr>
          <w:rFonts w:hint="eastAsia" w:cs="仿宋_GB2312" w:asciiTheme="majorEastAsia" w:hAnsiTheme="majorEastAsia" w:eastAsiaTheme="majorEastAsia"/>
          <w:sz w:val="24"/>
        </w:rPr>
        <w:t>本公司保证报价资料及其后提供的一切材料都是真实的。</w:t>
      </w:r>
    </w:p>
    <w:p>
      <w:pPr>
        <w:autoSpaceDE w:val="0"/>
        <w:autoSpaceDN w:val="0"/>
        <w:adjustRightInd w:val="0"/>
        <w:spacing w:line="360" w:lineRule="auto"/>
        <w:ind w:left="-539" w:leftChars="-257" w:firstLine="480" w:firstLineChars="200"/>
        <w:rPr>
          <w:rFonts w:cs="仿宋_GB2312" w:asciiTheme="majorEastAsia" w:hAnsiTheme="majorEastAsia" w:eastAsiaTheme="majorEastAsia"/>
          <w:sz w:val="24"/>
        </w:rPr>
      </w:pPr>
      <w:r>
        <w:rPr>
          <w:rFonts w:hint="eastAsia" w:cs="仿宋_GB2312" w:asciiTheme="majorEastAsia" w:hAnsiTheme="majorEastAsia" w:eastAsiaTheme="majorEastAsia"/>
          <w:sz w:val="24"/>
        </w:rPr>
        <w:t>⑵</w:t>
      </w:r>
      <w:r>
        <w:rPr>
          <w:rFonts w:cs="仿宋_GB2312" w:asciiTheme="majorEastAsia" w:hAnsiTheme="majorEastAsia" w:eastAsiaTheme="majorEastAsia"/>
          <w:sz w:val="24"/>
        </w:rPr>
        <w:t xml:space="preserve"> </w:t>
      </w:r>
      <w:r>
        <w:rPr>
          <w:rFonts w:hint="eastAsia" w:cs="仿宋_GB2312" w:asciiTheme="majorEastAsia" w:hAnsiTheme="majorEastAsia" w:eastAsiaTheme="majorEastAsia"/>
          <w:sz w:val="24"/>
        </w:rPr>
        <w:t>本公司保证在本项目交易中不给其他单位挂靠，不出让交易资格，不向询价人行贿。</w:t>
      </w:r>
    </w:p>
    <w:p>
      <w:pPr>
        <w:autoSpaceDE w:val="0"/>
        <w:autoSpaceDN w:val="0"/>
        <w:adjustRightInd w:val="0"/>
        <w:spacing w:line="360" w:lineRule="auto"/>
        <w:ind w:left="-539" w:leftChars="-257" w:firstLine="480" w:firstLineChars="200"/>
        <w:rPr>
          <w:rFonts w:cs="仿宋_GB2312" w:asciiTheme="majorEastAsia" w:hAnsiTheme="majorEastAsia" w:eastAsiaTheme="majorEastAsia"/>
          <w:sz w:val="24"/>
        </w:rPr>
      </w:pPr>
      <w:r>
        <w:rPr>
          <w:rFonts w:hint="eastAsia" w:cs="仿宋_GB2312" w:asciiTheme="majorEastAsia" w:hAnsiTheme="majorEastAsia" w:eastAsiaTheme="majorEastAsia"/>
          <w:sz w:val="24"/>
        </w:rPr>
        <w:t>⑶</w:t>
      </w:r>
      <w:r>
        <w:rPr>
          <w:rFonts w:cs="仿宋_GB2312" w:asciiTheme="majorEastAsia" w:hAnsiTheme="majorEastAsia" w:eastAsiaTheme="majorEastAsia"/>
          <w:sz w:val="24"/>
        </w:rPr>
        <w:t xml:space="preserve"> </w:t>
      </w:r>
      <w:r>
        <w:rPr>
          <w:rFonts w:hint="eastAsia" w:cs="仿宋_GB2312" w:asciiTheme="majorEastAsia" w:hAnsiTheme="majorEastAsia" w:eastAsiaTheme="majorEastAsia"/>
          <w:sz w:val="24"/>
        </w:rPr>
        <w:t>本公司没有处于被责令停业的状态；没有处于被建设行政主管部门取消报价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pacing w:line="360" w:lineRule="auto"/>
        <w:ind w:left="-539" w:leftChars="-257" w:firstLine="480" w:firstLineChars="200"/>
        <w:rPr>
          <w:rFonts w:cs="仿宋_GB2312" w:asciiTheme="majorEastAsia" w:hAnsiTheme="majorEastAsia" w:eastAsiaTheme="majorEastAsia"/>
          <w:sz w:val="24"/>
        </w:rPr>
      </w:pPr>
      <w:r>
        <w:rPr>
          <w:rFonts w:hint="eastAsia" w:cs="仿宋_GB2312" w:asciiTheme="majorEastAsia" w:hAnsiTheme="majorEastAsia" w:eastAsiaTheme="majorEastAsia"/>
          <w:sz w:val="24"/>
        </w:rPr>
        <w:t>⑷</w:t>
      </w:r>
      <w:r>
        <w:rPr>
          <w:rFonts w:cs="仿宋_GB2312" w:asciiTheme="majorEastAsia" w:hAnsiTheme="majorEastAsia" w:eastAsiaTheme="majorEastAsia"/>
          <w:sz w:val="24"/>
        </w:rPr>
        <w:t xml:space="preserve"> </w:t>
      </w:r>
      <w:r>
        <w:rPr>
          <w:rFonts w:hint="eastAsia" w:cs="仿宋_GB2312" w:asciiTheme="majorEastAsia" w:hAnsiTheme="majorEastAsia" w:eastAsiaTheme="majorEastAsia"/>
          <w:sz w:val="24"/>
        </w:rPr>
        <w:t>本公司及其有隶属关系的机构没有参加本项目的前期工作编写工作。</w:t>
      </w:r>
    </w:p>
    <w:p>
      <w:pPr>
        <w:pStyle w:val="44"/>
        <w:ind w:left="-539" w:leftChars="-257" w:firstLine="496"/>
        <w:rPr>
          <w:rFonts w:cs="仿宋_GB2312" w:asciiTheme="majorEastAsia" w:hAnsiTheme="majorEastAsia" w:eastAsiaTheme="majorEastAsia"/>
        </w:rPr>
      </w:pPr>
      <w:r>
        <w:rPr>
          <w:rFonts w:hint="eastAsia" w:cs="仿宋_GB2312" w:asciiTheme="majorEastAsia" w:hAnsiTheme="majorEastAsia" w:eastAsiaTheme="majorEastAsia"/>
        </w:rPr>
        <w:t>本公司违反上述承诺，或本声明陈述与事实不符，经查实，本公司愿意接受公开通报，承担由此带来的法律后果。</w:t>
      </w:r>
    </w:p>
    <w:p>
      <w:pPr>
        <w:pStyle w:val="44"/>
        <w:ind w:firstLine="496"/>
        <w:rPr>
          <w:rFonts w:cs="仿宋_GB2312" w:asciiTheme="majorEastAsia" w:hAnsiTheme="majorEastAsia" w:eastAsiaTheme="majorEastAsia"/>
        </w:rPr>
      </w:pPr>
    </w:p>
    <w:p>
      <w:pPr>
        <w:pStyle w:val="44"/>
        <w:ind w:firstLine="496"/>
        <w:rPr>
          <w:rFonts w:cs="仿宋_GB2312" w:asciiTheme="majorEastAsia" w:hAnsiTheme="majorEastAsia" w:eastAsiaTheme="majorEastAsia"/>
          <w:u w:val="single"/>
        </w:rPr>
      </w:pPr>
      <w:r>
        <w:rPr>
          <w:rFonts w:hint="eastAsia" w:cs="仿宋_GB2312" w:asciiTheme="majorEastAsia" w:hAnsiTheme="majorEastAsia" w:eastAsiaTheme="majorEastAsia"/>
        </w:rPr>
        <w:t>承包意向人：</w:t>
      </w:r>
      <w:r>
        <w:rPr>
          <w:rFonts w:cs="仿宋_GB2312" w:asciiTheme="majorEastAsia" w:hAnsiTheme="majorEastAsia" w:eastAsiaTheme="majorEastAsia"/>
        </w:rPr>
        <w:t>(盖公章)</w:t>
      </w:r>
      <w:r>
        <w:rPr>
          <w:rFonts w:cs="仿宋_GB2312" w:asciiTheme="majorEastAsia" w:hAnsiTheme="majorEastAsia" w:eastAsiaTheme="majorEastAsia"/>
          <w:u w:val="single"/>
        </w:rPr>
        <w:t xml:space="preserve">                                   </w:t>
      </w:r>
    </w:p>
    <w:p>
      <w:pPr>
        <w:pStyle w:val="44"/>
        <w:ind w:firstLine="496"/>
        <w:rPr>
          <w:rFonts w:cs="仿宋_GB2312" w:asciiTheme="majorEastAsia" w:hAnsiTheme="majorEastAsia" w:eastAsiaTheme="majorEastAsia"/>
        </w:rPr>
      </w:pPr>
      <w:r>
        <w:rPr>
          <w:rFonts w:hint="eastAsia" w:cs="仿宋_GB2312" w:asciiTheme="majorEastAsia" w:hAnsiTheme="majorEastAsia" w:eastAsiaTheme="majorEastAsia"/>
        </w:rPr>
        <w:t>法定代表人（签名或盖章）：</w:t>
      </w:r>
      <w:r>
        <w:rPr>
          <w:rFonts w:cs="仿宋_GB2312" w:asciiTheme="majorEastAsia" w:hAnsiTheme="majorEastAsia" w:eastAsiaTheme="majorEastAsia"/>
          <w:u w:val="single"/>
        </w:rPr>
        <w:t xml:space="preserve">               </w:t>
      </w:r>
    </w:p>
    <w:p>
      <w:pPr>
        <w:autoSpaceDE w:val="0"/>
        <w:autoSpaceDN w:val="0"/>
        <w:adjustRightInd w:val="0"/>
        <w:spacing w:line="360" w:lineRule="auto"/>
        <w:ind w:left="-539" w:leftChars="-257" w:firstLine="1006" w:firstLineChars="406"/>
        <w:rPr>
          <w:rFonts w:cs="仿宋_GB2312" w:asciiTheme="majorEastAsia" w:hAnsiTheme="majorEastAsia" w:eastAsiaTheme="majorEastAsia"/>
          <w:snapToGrid w:val="0"/>
          <w:spacing w:val="4"/>
          <w:kern w:val="0"/>
          <w:sz w:val="24"/>
        </w:rPr>
      </w:pPr>
      <w:r>
        <w:rPr>
          <w:rFonts w:hint="eastAsia" w:cs="仿宋_GB2312" w:asciiTheme="majorEastAsia" w:hAnsiTheme="majorEastAsia" w:eastAsiaTheme="majorEastAsia"/>
          <w:snapToGrid w:val="0"/>
          <w:spacing w:val="4"/>
          <w:kern w:val="0"/>
          <w:sz w:val="24"/>
        </w:rPr>
        <w:t>日</w:t>
      </w:r>
      <w:r>
        <w:rPr>
          <w:rFonts w:cs="仿宋_GB2312" w:asciiTheme="majorEastAsia" w:hAnsiTheme="majorEastAsia" w:eastAsiaTheme="majorEastAsia"/>
          <w:snapToGrid w:val="0"/>
          <w:spacing w:val="4"/>
          <w:kern w:val="0"/>
          <w:sz w:val="24"/>
        </w:rPr>
        <w:t xml:space="preserve">    期：  </w:t>
      </w:r>
      <w:r>
        <w:rPr>
          <w:rFonts w:cs="仿宋_GB2312" w:asciiTheme="majorEastAsia" w:hAnsiTheme="majorEastAsia" w:eastAsiaTheme="majorEastAsia"/>
          <w:snapToGrid w:val="0"/>
          <w:spacing w:val="4"/>
          <w:kern w:val="0"/>
          <w:sz w:val="24"/>
          <w:u w:val="single"/>
        </w:rPr>
        <w:t xml:space="preserve">      </w:t>
      </w:r>
      <w:r>
        <w:rPr>
          <w:rFonts w:hint="eastAsia" w:cs="仿宋_GB2312" w:asciiTheme="majorEastAsia" w:hAnsiTheme="majorEastAsia" w:eastAsiaTheme="majorEastAsia"/>
          <w:snapToGrid w:val="0"/>
          <w:spacing w:val="4"/>
          <w:kern w:val="0"/>
          <w:sz w:val="24"/>
        </w:rPr>
        <w:t>年</w:t>
      </w:r>
      <w:r>
        <w:rPr>
          <w:rFonts w:cs="仿宋_GB2312" w:asciiTheme="majorEastAsia" w:hAnsiTheme="majorEastAsia" w:eastAsiaTheme="majorEastAsia"/>
          <w:snapToGrid w:val="0"/>
          <w:spacing w:val="4"/>
          <w:kern w:val="0"/>
          <w:sz w:val="24"/>
        </w:rPr>
        <w:t xml:space="preserve"> </w:t>
      </w:r>
      <w:r>
        <w:rPr>
          <w:rFonts w:cs="仿宋_GB2312" w:asciiTheme="majorEastAsia" w:hAnsiTheme="majorEastAsia" w:eastAsiaTheme="majorEastAsia"/>
          <w:snapToGrid w:val="0"/>
          <w:spacing w:val="4"/>
          <w:kern w:val="0"/>
          <w:sz w:val="24"/>
          <w:u w:val="single"/>
        </w:rPr>
        <w:t xml:space="preserve">  </w:t>
      </w:r>
      <w:r>
        <w:rPr>
          <w:rFonts w:hint="eastAsia" w:cs="仿宋_GB2312" w:asciiTheme="majorEastAsia" w:hAnsiTheme="majorEastAsia" w:eastAsiaTheme="majorEastAsia"/>
          <w:snapToGrid w:val="0"/>
          <w:spacing w:val="4"/>
          <w:kern w:val="0"/>
          <w:sz w:val="24"/>
        </w:rPr>
        <w:t>月</w:t>
      </w:r>
      <w:r>
        <w:rPr>
          <w:rFonts w:cs="仿宋_GB2312" w:asciiTheme="majorEastAsia" w:hAnsiTheme="majorEastAsia" w:eastAsiaTheme="majorEastAsia"/>
          <w:snapToGrid w:val="0"/>
          <w:spacing w:val="4"/>
          <w:kern w:val="0"/>
          <w:sz w:val="24"/>
        </w:rPr>
        <w:t xml:space="preserve"> </w:t>
      </w:r>
      <w:r>
        <w:rPr>
          <w:rFonts w:cs="仿宋_GB2312" w:asciiTheme="majorEastAsia" w:hAnsiTheme="majorEastAsia" w:eastAsiaTheme="majorEastAsia"/>
          <w:snapToGrid w:val="0"/>
          <w:spacing w:val="4"/>
          <w:kern w:val="0"/>
          <w:sz w:val="24"/>
          <w:u w:val="single"/>
        </w:rPr>
        <w:t xml:space="preserve">   </w:t>
      </w:r>
      <w:r>
        <w:rPr>
          <w:rFonts w:hint="eastAsia" w:cs="仿宋_GB2312" w:asciiTheme="majorEastAsia" w:hAnsiTheme="majorEastAsia" w:eastAsiaTheme="majorEastAsia"/>
          <w:snapToGrid w:val="0"/>
          <w:spacing w:val="4"/>
          <w:kern w:val="0"/>
          <w:sz w:val="24"/>
        </w:rPr>
        <w:t>日</w:t>
      </w:r>
      <w:r>
        <w:rPr>
          <w:rFonts w:cs="仿宋_GB2312" w:asciiTheme="majorEastAsia" w:hAnsiTheme="majorEastAsia" w:eastAsiaTheme="majorEastAsia"/>
          <w:snapToGrid w:val="0"/>
          <w:spacing w:val="4"/>
          <w:kern w:val="0"/>
          <w:sz w:val="24"/>
        </w:rPr>
        <w:t xml:space="preserve">    </w:t>
      </w:r>
    </w:p>
    <w:p>
      <w:pPr>
        <w:pStyle w:val="44"/>
        <w:ind w:firstLine="496"/>
        <w:rPr>
          <w:rFonts w:cs="仿宋_GB2312" w:asciiTheme="majorEastAsia" w:hAnsiTheme="majorEastAsia" w:eastAsiaTheme="majorEastAsia"/>
        </w:rPr>
        <w:sectPr>
          <w:endnotePr>
            <w:numFmt w:val="decimal"/>
          </w:endnotePr>
          <w:pgSz w:w="11907" w:h="16840"/>
          <w:pgMar w:top="1247" w:right="1418" w:bottom="1134" w:left="1418" w:header="851" w:footer="907" w:gutter="567"/>
          <w:cols w:space="720" w:num="1"/>
          <w:docGrid w:type="linesAndChars" w:linePitch="312" w:charSpace="0"/>
        </w:sectPr>
      </w:pPr>
    </w:p>
    <w:p>
      <w:pPr>
        <w:jc w:val="center"/>
        <w:rPr>
          <w:rFonts w:cs="仿宋_GB2312" w:asciiTheme="majorEastAsia" w:hAnsiTheme="majorEastAsia" w:eastAsiaTheme="majorEastAsia"/>
          <w:b/>
          <w:sz w:val="28"/>
          <w:szCs w:val="28"/>
        </w:rPr>
      </w:pPr>
      <w:r>
        <w:rPr>
          <w:rFonts w:cs="仿宋_GB2312" w:asciiTheme="majorEastAsia" w:hAnsiTheme="majorEastAsia" w:eastAsiaTheme="majorEastAsia"/>
          <w:b/>
          <w:sz w:val="28"/>
          <w:szCs w:val="28"/>
        </w:rPr>
        <w:t xml:space="preserve">4 </w:t>
      </w:r>
      <w:r>
        <w:rPr>
          <w:rFonts w:hint="eastAsia" w:cs="仿宋_GB2312" w:asciiTheme="majorEastAsia" w:hAnsiTheme="majorEastAsia" w:eastAsiaTheme="majorEastAsia"/>
          <w:b/>
          <w:sz w:val="28"/>
          <w:szCs w:val="28"/>
        </w:rPr>
        <w:t>拟投入本项目的项目负责人情况表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329"/>
        <w:gridCol w:w="664"/>
        <w:gridCol w:w="997"/>
        <w:gridCol w:w="996"/>
        <w:gridCol w:w="665"/>
        <w:gridCol w:w="1328"/>
        <w:gridCol w:w="33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姓名</w:t>
            </w:r>
          </w:p>
        </w:tc>
        <w:tc>
          <w:tcPr>
            <w:tcW w:w="1661" w:type="dxa"/>
            <w:gridSpan w:val="2"/>
          </w:tcPr>
          <w:p>
            <w:pPr>
              <w:jc w:val="center"/>
              <w:rPr>
                <w:rFonts w:cs="仿宋_GB2312" w:asciiTheme="majorEastAsia" w:hAnsiTheme="majorEastAsia" w:eastAsiaTheme="majorEastAsia"/>
                <w:b/>
                <w:sz w:val="28"/>
                <w:szCs w:val="28"/>
              </w:rPr>
            </w:pPr>
          </w:p>
        </w:tc>
        <w:tc>
          <w:tcPr>
            <w:tcW w:w="1661" w:type="dxa"/>
            <w:gridSpan w:val="2"/>
          </w:tcPr>
          <w:p>
            <w:pPr>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出生年月</w:t>
            </w:r>
          </w:p>
        </w:tc>
        <w:tc>
          <w:tcPr>
            <w:tcW w:w="1661" w:type="dxa"/>
            <w:gridSpan w:val="2"/>
          </w:tcPr>
          <w:p>
            <w:pPr>
              <w:jc w:val="center"/>
              <w:rPr>
                <w:rFonts w:cs="仿宋_GB2312" w:asciiTheme="majorEastAsia" w:hAnsiTheme="majorEastAsia" w:eastAsiaTheme="majorEastAsia"/>
                <w:b/>
                <w:sz w:val="28"/>
                <w:szCs w:val="28"/>
              </w:rPr>
            </w:pPr>
          </w:p>
        </w:tc>
        <w:tc>
          <w:tcPr>
            <w:tcW w:w="1662" w:type="dxa"/>
            <w:gridSpan w:val="2"/>
          </w:tcPr>
          <w:p>
            <w:pPr>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学历</w:t>
            </w:r>
          </w:p>
        </w:tc>
        <w:tc>
          <w:tcPr>
            <w:tcW w:w="1662" w:type="dxa"/>
          </w:tcPr>
          <w:p>
            <w:pPr>
              <w:jc w:val="center"/>
              <w:rPr>
                <w:rFonts w:cs="仿宋_GB2312" w:asciiTheme="majorEastAsia" w:hAnsiTheme="majorEastAsia" w:eastAsiaTheme="maj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spacing w:line="360" w:lineRule="exact"/>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职称</w:t>
            </w:r>
          </w:p>
        </w:tc>
        <w:tc>
          <w:tcPr>
            <w:tcW w:w="1661" w:type="dxa"/>
            <w:gridSpan w:val="2"/>
          </w:tcPr>
          <w:p>
            <w:pPr>
              <w:spacing w:line="360" w:lineRule="exact"/>
              <w:jc w:val="center"/>
              <w:rPr>
                <w:rFonts w:cs="仿宋_GB2312" w:asciiTheme="majorEastAsia" w:hAnsiTheme="majorEastAsia" w:eastAsiaTheme="majorEastAsia"/>
                <w:b/>
                <w:sz w:val="28"/>
                <w:szCs w:val="28"/>
              </w:rPr>
            </w:pPr>
          </w:p>
        </w:tc>
        <w:tc>
          <w:tcPr>
            <w:tcW w:w="1661" w:type="dxa"/>
            <w:gridSpan w:val="2"/>
          </w:tcPr>
          <w:p>
            <w:pPr>
              <w:spacing w:line="360" w:lineRule="exact"/>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职务</w:t>
            </w:r>
          </w:p>
        </w:tc>
        <w:tc>
          <w:tcPr>
            <w:tcW w:w="1661" w:type="dxa"/>
            <w:gridSpan w:val="2"/>
          </w:tcPr>
          <w:p>
            <w:pPr>
              <w:spacing w:line="360" w:lineRule="exact"/>
              <w:jc w:val="center"/>
              <w:rPr>
                <w:rFonts w:cs="仿宋_GB2312" w:asciiTheme="majorEastAsia" w:hAnsiTheme="majorEastAsia" w:eastAsiaTheme="majorEastAsia"/>
                <w:b/>
                <w:sz w:val="28"/>
                <w:szCs w:val="28"/>
              </w:rPr>
            </w:pPr>
          </w:p>
        </w:tc>
        <w:tc>
          <w:tcPr>
            <w:tcW w:w="1662" w:type="dxa"/>
            <w:gridSpan w:val="2"/>
          </w:tcPr>
          <w:p>
            <w:pPr>
              <w:spacing w:line="360" w:lineRule="exact"/>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从事本工作时间</w:t>
            </w:r>
          </w:p>
        </w:tc>
        <w:tc>
          <w:tcPr>
            <w:tcW w:w="1662" w:type="dxa"/>
          </w:tcPr>
          <w:p>
            <w:pPr>
              <w:spacing w:line="360" w:lineRule="exact"/>
              <w:jc w:val="center"/>
              <w:rPr>
                <w:rFonts w:cs="仿宋_GB2312" w:asciiTheme="majorEastAsia" w:hAnsiTheme="majorEastAsia" w:eastAsiaTheme="maj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tcPr>
          <w:p>
            <w:pPr>
              <w:spacing w:line="360" w:lineRule="exact"/>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毕业院校</w:t>
            </w:r>
          </w:p>
        </w:tc>
        <w:tc>
          <w:tcPr>
            <w:tcW w:w="1661" w:type="dxa"/>
            <w:gridSpan w:val="2"/>
          </w:tcPr>
          <w:p>
            <w:pPr>
              <w:spacing w:line="360" w:lineRule="exact"/>
              <w:jc w:val="center"/>
              <w:rPr>
                <w:rFonts w:cs="仿宋_GB2312" w:asciiTheme="majorEastAsia" w:hAnsiTheme="majorEastAsia" w:eastAsiaTheme="majorEastAsia"/>
                <w:b/>
                <w:sz w:val="28"/>
                <w:szCs w:val="28"/>
              </w:rPr>
            </w:pPr>
          </w:p>
        </w:tc>
        <w:tc>
          <w:tcPr>
            <w:tcW w:w="1661" w:type="dxa"/>
            <w:gridSpan w:val="2"/>
          </w:tcPr>
          <w:p>
            <w:pPr>
              <w:spacing w:line="360" w:lineRule="exact"/>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毕业时间</w:t>
            </w:r>
          </w:p>
        </w:tc>
        <w:tc>
          <w:tcPr>
            <w:tcW w:w="1661" w:type="dxa"/>
            <w:gridSpan w:val="2"/>
          </w:tcPr>
          <w:p>
            <w:pPr>
              <w:spacing w:line="360" w:lineRule="exact"/>
              <w:jc w:val="center"/>
              <w:rPr>
                <w:rFonts w:cs="仿宋_GB2312" w:asciiTheme="majorEastAsia" w:hAnsiTheme="majorEastAsia" w:eastAsiaTheme="majorEastAsia"/>
                <w:b/>
                <w:sz w:val="28"/>
                <w:szCs w:val="28"/>
              </w:rPr>
            </w:pPr>
          </w:p>
        </w:tc>
        <w:tc>
          <w:tcPr>
            <w:tcW w:w="1662" w:type="dxa"/>
            <w:gridSpan w:val="2"/>
          </w:tcPr>
          <w:p>
            <w:pPr>
              <w:spacing w:line="360" w:lineRule="exact"/>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专业</w:t>
            </w:r>
          </w:p>
        </w:tc>
        <w:tc>
          <w:tcPr>
            <w:tcW w:w="1662" w:type="dxa"/>
          </w:tcPr>
          <w:p>
            <w:pPr>
              <w:spacing w:line="360" w:lineRule="exact"/>
              <w:jc w:val="center"/>
              <w:rPr>
                <w:rFonts w:cs="仿宋_GB2312" w:asciiTheme="majorEastAsia" w:hAnsiTheme="majorEastAsia" w:eastAsiaTheme="maj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spacing w:line="360" w:lineRule="exact"/>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注册证书等级</w:t>
            </w:r>
          </w:p>
          <w:p>
            <w:pPr>
              <w:spacing w:line="360" w:lineRule="exact"/>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和专业</w:t>
            </w:r>
          </w:p>
        </w:tc>
        <w:tc>
          <w:tcPr>
            <w:tcW w:w="3322" w:type="dxa"/>
            <w:gridSpan w:val="4"/>
          </w:tcPr>
          <w:p>
            <w:pPr>
              <w:spacing w:line="360" w:lineRule="exact"/>
              <w:jc w:val="center"/>
              <w:rPr>
                <w:rFonts w:cs="仿宋_GB2312" w:asciiTheme="majorEastAsia" w:hAnsiTheme="majorEastAsia" w:eastAsiaTheme="majorEastAsia"/>
                <w:b/>
                <w:sz w:val="28"/>
                <w:szCs w:val="28"/>
              </w:rPr>
            </w:pPr>
          </w:p>
        </w:tc>
        <w:tc>
          <w:tcPr>
            <w:tcW w:w="1662" w:type="dxa"/>
            <w:gridSpan w:val="2"/>
          </w:tcPr>
          <w:p>
            <w:pPr>
              <w:spacing w:line="360" w:lineRule="exact"/>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证书编号</w:t>
            </w:r>
          </w:p>
        </w:tc>
        <w:tc>
          <w:tcPr>
            <w:tcW w:w="1662" w:type="dxa"/>
          </w:tcPr>
          <w:p>
            <w:pPr>
              <w:spacing w:line="360" w:lineRule="exact"/>
              <w:jc w:val="center"/>
              <w:rPr>
                <w:rFonts w:cs="仿宋_GB2312" w:asciiTheme="majorEastAsia" w:hAnsiTheme="majorEastAsia" w:eastAsiaTheme="maj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职称证专业</w:t>
            </w:r>
          </w:p>
        </w:tc>
        <w:tc>
          <w:tcPr>
            <w:tcW w:w="3322" w:type="dxa"/>
            <w:gridSpan w:val="4"/>
          </w:tcPr>
          <w:p>
            <w:pPr>
              <w:jc w:val="center"/>
              <w:rPr>
                <w:rFonts w:cs="仿宋_GB2312" w:asciiTheme="majorEastAsia" w:hAnsiTheme="majorEastAsia" w:eastAsiaTheme="majorEastAsia"/>
                <w:b/>
                <w:sz w:val="28"/>
                <w:szCs w:val="28"/>
              </w:rPr>
            </w:pPr>
          </w:p>
        </w:tc>
        <w:tc>
          <w:tcPr>
            <w:tcW w:w="1662" w:type="dxa"/>
            <w:gridSpan w:val="2"/>
          </w:tcPr>
          <w:p>
            <w:pPr>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证书编号</w:t>
            </w:r>
          </w:p>
        </w:tc>
        <w:tc>
          <w:tcPr>
            <w:tcW w:w="1662" w:type="dxa"/>
          </w:tcPr>
          <w:p>
            <w:pPr>
              <w:jc w:val="center"/>
              <w:rPr>
                <w:rFonts w:cs="仿宋_GB2312" w:asciiTheme="majorEastAsia" w:hAnsiTheme="majorEastAsia" w:eastAsiaTheme="maj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8" w:type="dxa"/>
            <w:gridSpan w:val="10"/>
          </w:tcPr>
          <w:p>
            <w:pPr>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项目名称</w:t>
            </w:r>
          </w:p>
        </w:tc>
        <w:tc>
          <w:tcPr>
            <w:tcW w:w="1993" w:type="dxa"/>
            <w:gridSpan w:val="2"/>
          </w:tcPr>
          <w:p>
            <w:pPr>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合同金额</w:t>
            </w:r>
          </w:p>
        </w:tc>
        <w:tc>
          <w:tcPr>
            <w:tcW w:w="1993" w:type="dxa"/>
            <w:gridSpan w:val="2"/>
          </w:tcPr>
          <w:p>
            <w:pPr>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开、竣工时间</w:t>
            </w:r>
          </w:p>
        </w:tc>
        <w:tc>
          <w:tcPr>
            <w:tcW w:w="1993" w:type="dxa"/>
            <w:gridSpan w:val="2"/>
          </w:tcPr>
          <w:p>
            <w:pPr>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担任职务</w:t>
            </w:r>
          </w:p>
        </w:tc>
        <w:tc>
          <w:tcPr>
            <w:tcW w:w="1996" w:type="dxa"/>
            <w:gridSpan w:val="2"/>
          </w:tcPr>
          <w:p>
            <w:pPr>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cs="仿宋_GB2312" w:asciiTheme="majorEastAsia" w:hAnsiTheme="majorEastAsia" w:eastAsiaTheme="majorEastAsia"/>
                <w:b/>
                <w:sz w:val="28"/>
                <w:szCs w:val="28"/>
              </w:rPr>
            </w:pPr>
          </w:p>
        </w:tc>
        <w:tc>
          <w:tcPr>
            <w:tcW w:w="1993" w:type="dxa"/>
            <w:gridSpan w:val="2"/>
          </w:tcPr>
          <w:p>
            <w:pPr>
              <w:jc w:val="center"/>
              <w:rPr>
                <w:rFonts w:cs="仿宋_GB2312" w:asciiTheme="majorEastAsia" w:hAnsiTheme="majorEastAsia" w:eastAsiaTheme="majorEastAsia"/>
                <w:b/>
                <w:sz w:val="28"/>
                <w:szCs w:val="28"/>
              </w:rPr>
            </w:pPr>
          </w:p>
        </w:tc>
        <w:tc>
          <w:tcPr>
            <w:tcW w:w="1993" w:type="dxa"/>
            <w:gridSpan w:val="2"/>
          </w:tcPr>
          <w:p>
            <w:pPr>
              <w:jc w:val="center"/>
              <w:rPr>
                <w:rFonts w:cs="仿宋_GB2312" w:asciiTheme="majorEastAsia" w:hAnsiTheme="majorEastAsia" w:eastAsiaTheme="majorEastAsia"/>
                <w:b/>
                <w:sz w:val="28"/>
                <w:szCs w:val="28"/>
              </w:rPr>
            </w:pPr>
          </w:p>
        </w:tc>
        <w:tc>
          <w:tcPr>
            <w:tcW w:w="1993" w:type="dxa"/>
            <w:gridSpan w:val="2"/>
          </w:tcPr>
          <w:p>
            <w:pPr>
              <w:jc w:val="center"/>
              <w:rPr>
                <w:rFonts w:cs="仿宋_GB2312" w:asciiTheme="majorEastAsia" w:hAnsiTheme="majorEastAsia" w:eastAsiaTheme="majorEastAsia"/>
                <w:b/>
                <w:sz w:val="28"/>
                <w:szCs w:val="28"/>
              </w:rPr>
            </w:pPr>
          </w:p>
        </w:tc>
        <w:tc>
          <w:tcPr>
            <w:tcW w:w="1996" w:type="dxa"/>
            <w:gridSpan w:val="2"/>
          </w:tcPr>
          <w:p>
            <w:pPr>
              <w:jc w:val="center"/>
              <w:rPr>
                <w:rFonts w:cs="仿宋_GB2312" w:asciiTheme="majorEastAsia" w:hAnsiTheme="majorEastAsia" w:eastAsiaTheme="maj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cs="仿宋_GB2312" w:asciiTheme="majorEastAsia" w:hAnsiTheme="majorEastAsia" w:eastAsiaTheme="majorEastAsia"/>
                <w:b/>
                <w:sz w:val="28"/>
                <w:szCs w:val="28"/>
              </w:rPr>
            </w:pPr>
          </w:p>
        </w:tc>
        <w:tc>
          <w:tcPr>
            <w:tcW w:w="1993" w:type="dxa"/>
            <w:gridSpan w:val="2"/>
          </w:tcPr>
          <w:p>
            <w:pPr>
              <w:jc w:val="center"/>
              <w:rPr>
                <w:rFonts w:cs="仿宋_GB2312" w:asciiTheme="majorEastAsia" w:hAnsiTheme="majorEastAsia" w:eastAsiaTheme="majorEastAsia"/>
                <w:b/>
                <w:sz w:val="28"/>
                <w:szCs w:val="28"/>
              </w:rPr>
            </w:pPr>
          </w:p>
        </w:tc>
        <w:tc>
          <w:tcPr>
            <w:tcW w:w="1993" w:type="dxa"/>
            <w:gridSpan w:val="2"/>
          </w:tcPr>
          <w:p>
            <w:pPr>
              <w:jc w:val="center"/>
              <w:rPr>
                <w:rFonts w:cs="仿宋_GB2312" w:asciiTheme="majorEastAsia" w:hAnsiTheme="majorEastAsia" w:eastAsiaTheme="majorEastAsia"/>
                <w:b/>
                <w:sz w:val="28"/>
                <w:szCs w:val="28"/>
              </w:rPr>
            </w:pPr>
          </w:p>
        </w:tc>
        <w:tc>
          <w:tcPr>
            <w:tcW w:w="1993" w:type="dxa"/>
            <w:gridSpan w:val="2"/>
          </w:tcPr>
          <w:p>
            <w:pPr>
              <w:jc w:val="center"/>
              <w:rPr>
                <w:rFonts w:cs="仿宋_GB2312" w:asciiTheme="majorEastAsia" w:hAnsiTheme="majorEastAsia" w:eastAsiaTheme="majorEastAsia"/>
                <w:b/>
                <w:sz w:val="28"/>
                <w:szCs w:val="28"/>
              </w:rPr>
            </w:pPr>
          </w:p>
        </w:tc>
        <w:tc>
          <w:tcPr>
            <w:tcW w:w="1996" w:type="dxa"/>
            <w:gridSpan w:val="2"/>
          </w:tcPr>
          <w:p>
            <w:pPr>
              <w:jc w:val="center"/>
              <w:rPr>
                <w:rFonts w:cs="仿宋_GB2312" w:asciiTheme="majorEastAsia" w:hAnsiTheme="majorEastAsia" w:eastAsiaTheme="maj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cs="仿宋_GB2312" w:asciiTheme="majorEastAsia" w:hAnsiTheme="majorEastAsia" w:eastAsiaTheme="majorEastAsia"/>
                <w:b/>
                <w:sz w:val="28"/>
                <w:szCs w:val="28"/>
              </w:rPr>
            </w:pPr>
          </w:p>
        </w:tc>
        <w:tc>
          <w:tcPr>
            <w:tcW w:w="1993" w:type="dxa"/>
            <w:gridSpan w:val="2"/>
          </w:tcPr>
          <w:p>
            <w:pPr>
              <w:jc w:val="center"/>
              <w:rPr>
                <w:rFonts w:cs="仿宋_GB2312" w:asciiTheme="majorEastAsia" w:hAnsiTheme="majorEastAsia" w:eastAsiaTheme="majorEastAsia"/>
                <w:b/>
                <w:sz w:val="28"/>
                <w:szCs w:val="28"/>
              </w:rPr>
            </w:pPr>
          </w:p>
        </w:tc>
        <w:tc>
          <w:tcPr>
            <w:tcW w:w="1993" w:type="dxa"/>
            <w:gridSpan w:val="2"/>
          </w:tcPr>
          <w:p>
            <w:pPr>
              <w:jc w:val="center"/>
              <w:rPr>
                <w:rFonts w:cs="仿宋_GB2312" w:asciiTheme="majorEastAsia" w:hAnsiTheme="majorEastAsia" w:eastAsiaTheme="majorEastAsia"/>
                <w:b/>
                <w:sz w:val="28"/>
                <w:szCs w:val="28"/>
              </w:rPr>
            </w:pPr>
          </w:p>
        </w:tc>
        <w:tc>
          <w:tcPr>
            <w:tcW w:w="1993" w:type="dxa"/>
            <w:gridSpan w:val="2"/>
          </w:tcPr>
          <w:p>
            <w:pPr>
              <w:jc w:val="center"/>
              <w:rPr>
                <w:rFonts w:cs="仿宋_GB2312" w:asciiTheme="majorEastAsia" w:hAnsiTheme="majorEastAsia" w:eastAsiaTheme="majorEastAsia"/>
                <w:b/>
                <w:sz w:val="28"/>
                <w:szCs w:val="28"/>
              </w:rPr>
            </w:pPr>
          </w:p>
        </w:tc>
        <w:tc>
          <w:tcPr>
            <w:tcW w:w="1996" w:type="dxa"/>
            <w:gridSpan w:val="2"/>
          </w:tcPr>
          <w:p>
            <w:pPr>
              <w:jc w:val="center"/>
              <w:rPr>
                <w:rFonts w:cs="仿宋_GB2312" w:asciiTheme="majorEastAsia" w:hAnsiTheme="majorEastAsia" w:eastAsiaTheme="majorEastAsia"/>
                <w:b/>
                <w:sz w:val="28"/>
                <w:szCs w:val="28"/>
              </w:rPr>
            </w:pPr>
          </w:p>
        </w:tc>
      </w:tr>
    </w:tbl>
    <w:p>
      <w:pPr>
        <w:jc w:val="center"/>
        <w:rPr>
          <w:rFonts w:cs="仿宋_GB2312" w:asciiTheme="majorEastAsia" w:hAnsiTheme="majorEastAsia" w:eastAsiaTheme="majorEastAsia"/>
          <w:b/>
          <w:sz w:val="28"/>
          <w:szCs w:val="28"/>
        </w:rPr>
      </w:pPr>
    </w:p>
    <w:p>
      <w:pPr>
        <w:jc w:val="center"/>
        <w:rPr>
          <w:rFonts w:cs="仿宋_GB2312" w:asciiTheme="majorEastAsia" w:hAnsiTheme="majorEastAsia" w:eastAsiaTheme="majorEastAsia"/>
          <w:b/>
          <w:sz w:val="28"/>
          <w:szCs w:val="28"/>
        </w:rPr>
      </w:pPr>
    </w:p>
    <w:p>
      <w:pPr>
        <w:adjustRightInd w:val="0"/>
        <w:snapToGrid w:val="0"/>
        <w:spacing w:line="300" w:lineRule="auto"/>
        <w:rPr>
          <w:rFonts w:cs="仿宋_GB2312" w:asciiTheme="majorEastAsia" w:hAnsiTheme="majorEastAsia" w:eastAsiaTheme="majorEastAsia"/>
          <w:sz w:val="28"/>
          <w:szCs w:val="28"/>
        </w:rPr>
      </w:pPr>
      <w:r>
        <w:rPr>
          <w:rFonts w:hint="eastAsia" w:cs="仿宋_GB2312" w:asciiTheme="majorEastAsia" w:hAnsiTheme="majorEastAsia" w:eastAsiaTheme="majorEastAsia"/>
          <w:sz w:val="28"/>
          <w:szCs w:val="28"/>
        </w:rPr>
        <w:t>报价单位代表（签名或盖私章）：</w:t>
      </w:r>
      <w:r>
        <w:rPr>
          <w:rFonts w:cs="仿宋_GB2312" w:asciiTheme="majorEastAsia" w:hAnsiTheme="majorEastAsia" w:eastAsiaTheme="majorEastAsia"/>
          <w:sz w:val="28"/>
          <w:szCs w:val="28"/>
          <w:u w:val="single"/>
        </w:rPr>
        <w:t xml:space="preserve">                   </w:t>
      </w:r>
    </w:p>
    <w:p>
      <w:pPr>
        <w:adjustRightInd w:val="0"/>
        <w:snapToGrid w:val="0"/>
        <w:spacing w:line="300" w:lineRule="auto"/>
        <w:rPr>
          <w:rFonts w:cs="仿宋_GB2312" w:asciiTheme="majorEastAsia" w:hAnsiTheme="majorEastAsia" w:eastAsiaTheme="majorEastAsia"/>
          <w:sz w:val="28"/>
          <w:szCs w:val="28"/>
          <w:u w:val="single"/>
        </w:rPr>
      </w:pPr>
      <w:r>
        <w:rPr>
          <w:rFonts w:hint="eastAsia" w:cs="仿宋_GB2312" w:asciiTheme="majorEastAsia" w:hAnsiTheme="majorEastAsia" w:eastAsiaTheme="majorEastAsia"/>
          <w:sz w:val="28"/>
          <w:szCs w:val="28"/>
        </w:rPr>
        <w:t>报价单位名称（盖单位公章）：</w:t>
      </w:r>
      <w:r>
        <w:rPr>
          <w:rFonts w:cs="仿宋_GB2312" w:asciiTheme="majorEastAsia" w:hAnsiTheme="majorEastAsia" w:eastAsiaTheme="majorEastAsia"/>
          <w:sz w:val="28"/>
          <w:szCs w:val="28"/>
          <w:u w:val="single"/>
        </w:rPr>
        <w:t xml:space="preserve">                        </w:t>
      </w:r>
    </w:p>
    <w:p>
      <w:pPr>
        <w:adjustRightInd w:val="0"/>
        <w:snapToGrid w:val="0"/>
        <w:spacing w:line="300" w:lineRule="auto"/>
        <w:rPr>
          <w:rFonts w:cs="仿宋_GB2312" w:asciiTheme="majorEastAsia" w:hAnsiTheme="majorEastAsia" w:eastAsiaTheme="majorEastAsia"/>
          <w:sz w:val="28"/>
          <w:szCs w:val="28"/>
        </w:rPr>
      </w:pPr>
      <w:r>
        <w:rPr>
          <w:rFonts w:hint="eastAsia" w:cs="仿宋_GB2312" w:asciiTheme="majorEastAsia" w:hAnsiTheme="majorEastAsia" w:eastAsiaTheme="majorEastAsia"/>
          <w:sz w:val="28"/>
          <w:szCs w:val="28"/>
        </w:rPr>
        <w:t>日期：</w:t>
      </w:r>
      <w:r>
        <w:rPr>
          <w:rFonts w:cs="仿宋_GB2312" w:asciiTheme="majorEastAsia" w:hAnsiTheme="majorEastAsia" w:eastAsiaTheme="majorEastAsia"/>
          <w:sz w:val="28"/>
          <w:szCs w:val="28"/>
          <w:u w:val="single"/>
        </w:rPr>
        <w:t xml:space="preserve">          </w:t>
      </w:r>
      <w:r>
        <w:rPr>
          <w:rFonts w:hint="eastAsia" w:cs="仿宋_GB2312" w:asciiTheme="majorEastAsia" w:hAnsiTheme="majorEastAsia" w:eastAsiaTheme="majorEastAsia"/>
          <w:sz w:val="28"/>
          <w:szCs w:val="28"/>
        </w:rPr>
        <w:t>年</w:t>
      </w:r>
      <w:r>
        <w:rPr>
          <w:rFonts w:cs="仿宋_GB2312" w:asciiTheme="majorEastAsia" w:hAnsiTheme="majorEastAsia" w:eastAsiaTheme="majorEastAsia"/>
          <w:sz w:val="28"/>
          <w:szCs w:val="28"/>
          <w:u w:val="single"/>
        </w:rPr>
        <w:t xml:space="preserve">     </w:t>
      </w:r>
      <w:r>
        <w:rPr>
          <w:rFonts w:cs="仿宋_GB2312" w:asciiTheme="majorEastAsia" w:hAnsiTheme="majorEastAsia" w:eastAsiaTheme="majorEastAsia"/>
          <w:sz w:val="28"/>
          <w:szCs w:val="28"/>
        </w:rPr>
        <w:t xml:space="preserve"> 月</w:t>
      </w:r>
      <w:r>
        <w:rPr>
          <w:rFonts w:cs="仿宋_GB2312" w:asciiTheme="majorEastAsia" w:hAnsiTheme="majorEastAsia" w:eastAsiaTheme="majorEastAsia"/>
          <w:sz w:val="28"/>
          <w:szCs w:val="28"/>
          <w:u w:val="single"/>
        </w:rPr>
        <w:t xml:space="preserve">    </w:t>
      </w:r>
      <w:r>
        <w:rPr>
          <w:rFonts w:cs="仿宋_GB2312" w:asciiTheme="majorEastAsia" w:hAnsiTheme="majorEastAsia" w:eastAsiaTheme="majorEastAsia"/>
          <w:sz w:val="28"/>
          <w:szCs w:val="28"/>
        </w:rPr>
        <w:t xml:space="preserve"> 日</w:t>
      </w:r>
    </w:p>
    <w:p>
      <w:pPr>
        <w:widowControl/>
        <w:jc w:val="left"/>
      </w:pPr>
      <w:r>
        <w:br w:type="page"/>
      </w:r>
    </w:p>
    <w:p>
      <w:pPr>
        <w:jc w:val="center"/>
        <w:rPr>
          <w:rFonts w:cs="仿宋_GB2312" w:asciiTheme="majorEastAsia" w:hAnsiTheme="majorEastAsia" w:eastAsiaTheme="majorEastAsia"/>
          <w:b/>
          <w:sz w:val="28"/>
          <w:szCs w:val="28"/>
        </w:rPr>
      </w:pPr>
      <w:r>
        <w:rPr>
          <w:rFonts w:cs="仿宋_GB2312" w:asciiTheme="majorEastAsia" w:hAnsiTheme="majorEastAsia" w:eastAsiaTheme="majorEastAsia"/>
          <w:b/>
          <w:sz w:val="28"/>
          <w:szCs w:val="28"/>
        </w:rPr>
        <w:t xml:space="preserve">5 </w:t>
      </w:r>
      <w:r>
        <w:rPr>
          <w:rFonts w:hint="eastAsia" w:cs="仿宋_GB2312" w:asciiTheme="majorEastAsia" w:hAnsiTheme="majorEastAsia" w:eastAsiaTheme="majorEastAsia"/>
          <w:b/>
          <w:sz w:val="28"/>
          <w:szCs w:val="28"/>
        </w:rPr>
        <w:t>采购需求报价单</w:t>
      </w:r>
    </w:p>
    <w:p>
      <w:pPr>
        <w:pStyle w:val="26"/>
        <w:jc w:val="right"/>
      </w:pPr>
      <w:r>
        <w:rPr>
          <w:rFonts w:hint="eastAsia"/>
        </w:rPr>
        <w:t>单位：人民币元</w:t>
      </w:r>
    </w:p>
    <w:tbl>
      <w:tblPr>
        <w:tblStyle w:val="27"/>
        <w:tblW w:w="9363" w:type="dxa"/>
        <w:tblInd w:w="0" w:type="dxa"/>
        <w:tblLayout w:type="autofit"/>
        <w:tblCellMar>
          <w:top w:w="0" w:type="dxa"/>
          <w:left w:w="108" w:type="dxa"/>
          <w:bottom w:w="0" w:type="dxa"/>
          <w:right w:w="108" w:type="dxa"/>
        </w:tblCellMar>
      </w:tblPr>
      <w:tblGrid>
        <w:gridCol w:w="2547"/>
        <w:gridCol w:w="850"/>
        <w:gridCol w:w="851"/>
        <w:gridCol w:w="4111"/>
        <w:gridCol w:w="1004"/>
      </w:tblGrid>
      <w:tr>
        <w:tblPrEx>
          <w:tblCellMar>
            <w:top w:w="0" w:type="dxa"/>
            <w:left w:w="108" w:type="dxa"/>
            <w:bottom w:w="0" w:type="dxa"/>
            <w:right w:w="108" w:type="dxa"/>
          </w:tblCellMar>
        </w:tblPrEx>
        <w:trPr>
          <w:trHeight w:val="390" w:hRule="atLeast"/>
        </w:trPr>
        <w:tc>
          <w:tcPr>
            <w:tcW w:w="2547" w:type="dxa"/>
            <w:tcBorders>
              <w:top w:val="single" w:color="auto" w:sz="8" w:space="0"/>
              <w:left w:val="single" w:color="auto" w:sz="4" w:space="0"/>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配置名称</w:t>
            </w: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单位</w:t>
            </w:r>
          </w:p>
        </w:tc>
        <w:tc>
          <w:tcPr>
            <w:tcW w:w="851"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数量</w:t>
            </w:r>
          </w:p>
        </w:tc>
        <w:tc>
          <w:tcPr>
            <w:tcW w:w="4111" w:type="dxa"/>
            <w:tcBorders>
              <w:top w:val="single" w:color="auto" w:sz="8" w:space="0"/>
              <w:left w:val="nil"/>
              <w:bottom w:val="single" w:color="auto" w:sz="8" w:space="0"/>
              <w:right w:val="single" w:color="auto" w:sz="4"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备注</w:t>
            </w:r>
          </w:p>
        </w:tc>
        <w:tc>
          <w:tcPr>
            <w:tcW w:w="1004" w:type="dxa"/>
            <w:tcBorders>
              <w:top w:val="single" w:color="auto" w:sz="8" w:space="0"/>
              <w:left w:val="single" w:color="auto" w:sz="4" w:space="0"/>
              <w:bottom w:val="single" w:color="auto" w:sz="8" w:space="0"/>
              <w:right w:val="single" w:color="auto" w:sz="4" w:space="0"/>
            </w:tcBorders>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单价</w:t>
            </w:r>
          </w:p>
        </w:tc>
      </w:tr>
      <w:tr>
        <w:tblPrEx>
          <w:tblCellMar>
            <w:top w:w="0" w:type="dxa"/>
            <w:left w:w="108" w:type="dxa"/>
            <w:bottom w:w="0" w:type="dxa"/>
            <w:right w:w="108" w:type="dxa"/>
          </w:tblCellMar>
        </w:tblPrEx>
        <w:trPr>
          <w:trHeight w:val="390" w:hRule="atLeast"/>
        </w:trPr>
        <w:tc>
          <w:tcPr>
            <w:tcW w:w="2547"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氨氮在线分析仪</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台</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7</w:t>
            </w:r>
          </w:p>
        </w:tc>
        <w:tc>
          <w:tcPr>
            <w:tcW w:w="4111" w:type="dxa"/>
            <w:tcBorders>
              <w:top w:val="nil"/>
              <w:left w:val="nil"/>
              <w:bottom w:val="single" w:color="auto" w:sz="8" w:space="0"/>
              <w:right w:val="single" w:color="auto" w:sz="4" w:space="0"/>
            </w:tcBorders>
            <w:shd w:val="clear" w:color="auto" w:fill="auto"/>
            <w:vAlign w:val="center"/>
          </w:tcPr>
          <w:p>
            <w:pPr>
              <w:widowControl/>
              <w:jc w:val="left"/>
              <w:rPr>
                <w:rFonts w:ascii="仿宋_GB2312" w:hAnsi="仿宋" w:eastAsia="仿宋_GB2312" w:cs="宋体"/>
                <w:kern w:val="0"/>
                <w:sz w:val="28"/>
              </w:rPr>
            </w:pPr>
            <w:r>
              <w:rPr>
                <w:rFonts w:hint="eastAsia" w:ascii="仿宋_GB2312" w:hAnsi="仿宋" w:eastAsia="仿宋_GB2312" w:cs="宋体"/>
                <w:kern w:val="0"/>
                <w:sz w:val="28"/>
              </w:rPr>
              <w:t>水杨酸分光光度法/纳氏试剂比色法</w:t>
            </w:r>
          </w:p>
        </w:tc>
        <w:tc>
          <w:tcPr>
            <w:tcW w:w="1004" w:type="dxa"/>
            <w:tcBorders>
              <w:top w:val="nil"/>
              <w:left w:val="single" w:color="auto" w:sz="4" w:space="0"/>
              <w:bottom w:val="single" w:color="auto" w:sz="8" w:space="0"/>
              <w:right w:val="single" w:color="auto" w:sz="4" w:space="0"/>
            </w:tcBorders>
          </w:tcPr>
          <w:p>
            <w:pPr>
              <w:widowControl/>
              <w:jc w:val="left"/>
              <w:rPr>
                <w:rFonts w:ascii="仿宋_GB2312" w:hAnsi="仿宋" w:eastAsia="仿宋_GB2312" w:cs="宋体"/>
                <w:kern w:val="0"/>
                <w:sz w:val="28"/>
              </w:rPr>
            </w:pPr>
          </w:p>
        </w:tc>
      </w:tr>
      <w:tr>
        <w:tblPrEx>
          <w:tblCellMar>
            <w:top w:w="0" w:type="dxa"/>
            <w:left w:w="108" w:type="dxa"/>
            <w:bottom w:w="0" w:type="dxa"/>
            <w:right w:w="108" w:type="dxa"/>
          </w:tblCellMar>
        </w:tblPrEx>
        <w:trPr>
          <w:trHeight w:val="390" w:hRule="atLeast"/>
        </w:trPr>
        <w:tc>
          <w:tcPr>
            <w:tcW w:w="2547"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硝酸盐氮分析仪</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台</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7</w:t>
            </w:r>
          </w:p>
        </w:tc>
        <w:tc>
          <w:tcPr>
            <w:tcW w:w="4111" w:type="dxa"/>
            <w:tcBorders>
              <w:top w:val="nil"/>
              <w:left w:val="nil"/>
              <w:bottom w:val="single" w:color="auto" w:sz="8" w:space="0"/>
              <w:right w:val="single" w:color="auto" w:sz="4" w:space="0"/>
            </w:tcBorders>
            <w:shd w:val="clear" w:color="auto" w:fill="auto"/>
            <w:vAlign w:val="center"/>
          </w:tcPr>
          <w:p>
            <w:pPr>
              <w:widowControl/>
              <w:jc w:val="left"/>
              <w:rPr>
                <w:rFonts w:ascii="仿宋_GB2312" w:hAnsi="仿宋" w:eastAsia="仿宋_GB2312" w:cs="宋体"/>
                <w:kern w:val="0"/>
                <w:sz w:val="28"/>
              </w:rPr>
            </w:pPr>
            <w:r>
              <w:rPr>
                <w:rFonts w:hint="eastAsia" w:ascii="仿宋_GB2312" w:hAnsi="仿宋" w:eastAsia="仿宋_GB2312" w:cs="宋体"/>
                <w:kern w:val="0"/>
                <w:sz w:val="28"/>
              </w:rPr>
              <w:t>紫外分光光度法</w:t>
            </w:r>
          </w:p>
        </w:tc>
        <w:tc>
          <w:tcPr>
            <w:tcW w:w="1004" w:type="dxa"/>
            <w:tcBorders>
              <w:top w:val="nil"/>
              <w:left w:val="single" w:color="auto" w:sz="4" w:space="0"/>
              <w:bottom w:val="single" w:color="auto" w:sz="8" w:space="0"/>
              <w:right w:val="single" w:color="auto" w:sz="4" w:space="0"/>
            </w:tcBorders>
          </w:tcPr>
          <w:p>
            <w:pPr>
              <w:widowControl/>
              <w:jc w:val="left"/>
              <w:rPr>
                <w:rFonts w:ascii="仿宋_GB2312" w:hAnsi="仿宋" w:eastAsia="仿宋_GB2312" w:cs="宋体"/>
                <w:kern w:val="0"/>
                <w:sz w:val="28"/>
              </w:rPr>
            </w:pPr>
          </w:p>
        </w:tc>
      </w:tr>
      <w:tr>
        <w:tblPrEx>
          <w:tblCellMar>
            <w:top w:w="0" w:type="dxa"/>
            <w:left w:w="108" w:type="dxa"/>
            <w:bottom w:w="0" w:type="dxa"/>
            <w:right w:w="108" w:type="dxa"/>
          </w:tblCellMar>
        </w:tblPrEx>
        <w:trPr>
          <w:trHeight w:val="390" w:hRule="atLeast"/>
        </w:trPr>
        <w:tc>
          <w:tcPr>
            <w:tcW w:w="2547"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磷酸盐分析仪</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台</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7</w:t>
            </w:r>
          </w:p>
        </w:tc>
        <w:tc>
          <w:tcPr>
            <w:tcW w:w="4111" w:type="dxa"/>
            <w:tcBorders>
              <w:top w:val="nil"/>
              <w:left w:val="nil"/>
              <w:bottom w:val="single" w:color="auto" w:sz="8" w:space="0"/>
              <w:right w:val="single" w:color="auto" w:sz="4" w:space="0"/>
            </w:tcBorders>
            <w:shd w:val="clear" w:color="auto" w:fill="auto"/>
            <w:vAlign w:val="center"/>
          </w:tcPr>
          <w:p>
            <w:pPr>
              <w:widowControl/>
              <w:jc w:val="left"/>
              <w:rPr>
                <w:rFonts w:ascii="仿宋_GB2312" w:hAnsi="仿宋" w:eastAsia="仿宋_GB2312" w:cs="宋体"/>
                <w:kern w:val="0"/>
                <w:sz w:val="28"/>
              </w:rPr>
            </w:pPr>
            <w:r>
              <w:rPr>
                <w:rFonts w:hint="eastAsia" w:ascii="仿宋_GB2312" w:hAnsi="仿宋" w:eastAsia="仿宋_GB2312" w:cs="宋体"/>
                <w:kern w:val="0"/>
                <w:sz w:val="28"/>
              </w:rPr>
              <w:t>钼酸铵分光光度法</w:t>
            </w:r>
          </w:p>
        </w:tc>
        <w:tc>
          <w:tcPr>
            <w:tcW w:w="1004" w:type="dxa"/>
            <w:tcBorders>
              <w:top w:val="nil"/>
              <w:left w:val="single" w:color="auto" w:sz="4" w:space="0"/>
              <w:bottom w:val="single" w:color="auto" w:sz="8" w:space="0"/>
              <w:right w:val="single" w:color="auto" w:sz="4" w:space="0"/>
            </w:tcBorders>
          </w:tcPr>
          <w:p>
            <w:pPr>
              <w:widowControl/>
              <w:jc w:val="left"/>
              <w:rPr>
                <w:rFonts w:ascii="仿宋_GB2312" w:hAnsi="仿宋" w:eastAsia="仿宋_GB2312" w:cs="宋体"/>
                <w:kern w:val="0"/>
                <w:sz w:val="28"/>
              </w:rPr>
            </w:pPr>
          </w:p>
        </w:tc>
      </w:tr>
      <w:tr>
        <w:tblPrEx>
          <w:tblCellMar>
            <w:top w:w="0" w:type="dxa"/>
            <w:left w:w="108" w:type="dxa"/>
            <w:bottom w:w="0" w:type="dxa"/>
            <w:right w:w="108" w:type="dxa"/>
          </w:tblCellMar>
        </w:tblPrEx>
        <w:trPr>
          <w:trHeight w:val="390" w:hRule="atLeast"/>
        </w:trPr>
        <w:tc>
          <w:tcPr>
            <w:tcW w:w="2547"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采水单元</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套</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28</w:t>
            </w:r>
          </w:p>
        </w:tc>
        <w:tc>
          <w:tcPr>
            <w:tcW w:w="4111" w:type="dxa"/>
            <w:tcBorders>
              <w:top w:val="nil"/>
              <w:left w:val="nil"/>
              <w:bottom w:val="single" w:color="auto" w:sz="8" w:space="0"/>
              <w:right w:val="single" w:color="auto" w:sz="4" w:space="0"/>
            </w:tcBorders>
            <w:shd w:val="clear" w:color="auto" w:fill="auto"/>
            <w:vAlign w:val="center"/>
          </w:tcPr>
          <w:p>
            <w:pPr>
              <w:widowControl/>
              <w:jc w:val="left"/>
              <w:rPr>
                <w:rFonts w:ascii="仿宋_GB2312" w:hAnsi="仿宋" w:eastAsia="仿宋_GB2312" w:cs="宋体"/>
                <w:kern w:val="0"/>
                <w:sz w:val="28"/>
              </w:rPr>
            </w:pPr>
            <w:r>
              <w:rPr>
                <w:rFonts w:hint="eastAsia" w:ascii="仿宋_GB2312" w:hAnsi="仿宋" w:eastAsia="仿宋_GB2312" w:cs="宋体"/>
                <w:kern w:val="0"/>
                <w:sz w:val="28"/>
              </w:rPr>
              <w:t>浮动取样，双管双泵等</w:t>
            </w:r>
          </w:p>
        </w:tc>
        <w:tc>
          <w:tcPr>
            <w:tcW w:w="1004" w:type="dxa"/>
            <w:tcBorders>
              <w:top w:val="nil"/>
              <w:left w:val="single" w:color="auto" w:sz="4" w:space="0"/>
              <w:bottom w:val="single" w:color="auto" w:sz="8" w:space="0"/>
              <w:right w:val="single" w:color="auto" w:sz="4" w:space="0"/>
            </w:tcBorders>
          </w:tcPr>
          <w:p>
            <w:pPr>
              <w:widowControl/>
              <w:jc w:val="left"/>
              <w:rPr>
                <w:rFonts w:ascii="仿宋_GB2312" w:hAnsi="仿宋" w:eastAsia="仿宋_GB2312" w:cs="宋体"/>
                <w:kern w:val="0"/>
                <w:sz w:val="28"/>
              </w:rPr>
            </w:pPr>
          </w:p>
        </w:tc>
      </w:tr>
      <w:tr>
        <w:tblPrEx>
          <w:tblCellMar>
            <w:top w:w="0" w:type="dxa"/>
            <w:left w:w="108" w:type="dxa"/>
            <w:bottom w:w="0" w:type="dxa"/>
            <w:right w:w="108" w:type="dxa"/>
          </w:tblCellMar>
        </w:tblPrEx>
        <w:trPr>
          <w:trHeight w:val="765" w:hRule="atLeast"/>
        </w:trPr>
        <w:tc>
          <w:tcPr>
            <w:tcW w:w="2547"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预处理及配水单元</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套</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7</w:t>
            </w:r>
          </w:p>
        </w:tc>
        <w:tc>
          <w:tcPr>
            <w:tcW w:w="4111" w:type="dxa"/>
            <w:tcBorders>
              <w:top w:val="nil"/>
              <w:left w:val="nil"/>
              <w:bottom w:val="single" w:color="auto" w:sz="8" w:space="0"/>
              <w:right w:val="single" w:color="auto" w:sz="4" w:space="0"/>
            </w:tcBorders>
            <w:shd w:val="clear" w:color="auto" w:fill="auto"/>
            <w:vAlign w:val="center"/>
          </w:tcPr>
          <w:p>
            <w:pPr>
              <w:widowControl/>
              <w:jc w:val="left"/>
              <w:rPr>
                <w:rFonts w:ascii="仿宋_GB2312" w:hAnsi="仿宋" w:eastAsia="仿宋_GB2312" w:cs="宋体"/>
                <w:kern w:val="0"/>
                <w:sz w:val="28"/>
              </w:rPr>
            </w:pPr>
            <w:r>
              <w:rPr>
                <w:rFonts w:hint="eastAsia" w:ascii="仿宋_GB2312" w:hAnsi="仿宋" w:eastAsia="仿宋_GB2312" w:cs="宋体"/>
                <w:kern w:val="0"/>
                <w:sz w:val="28"/>
              </w:rPr>
              <w:t>对水样进行预处理、为仪表提供样水（含超声波均化及清洗装置、气洗装置、沉砂静置装置、样水杯、管路、水阀等）</w:t>
            </w:r>
          </w:p>
        </w:tc>
        <w:tc>
          <w:tcPr>
            <w:tcW w:w="1004" w:type="dxa"/>
            <w:tcBorders>
              <w:top w:val="nil"/>
              <w:left w:val="single" w:color="auto" w:sz="4" w:space="0"/>
              <w:bottom w:val="single" w:color="auto" w:sz="8" w:space="0"/>
              <w:right w:val="single" w:color="auto" w:sz="4" w:space="0"/>
            </w:tcBorders>
          </w:tcPr>
          <w:p>
            <w:pPr>
              <w:widowControl/>
              <w:jc w:val="left"/>
              <w:rPr>
                <w:rFonts w:ascii="仿宋_GB2312" w:hAnsi="仿宋" w:eastAsia="仿宋_GB2312" w:cs="宋体"/>
                <w:kern w:val="0"/>
                <w:sz w:val="28"/>
              </w:rPr>
            </w:pPr>
          </w:p>
        </w:tc>
      </w:tr>
      <w:tr>
        <w:tblPrEx>
          <w:tblCellMar>
            <w:top w:w="0" w:type="dxa"/>
            <w:left w:w="108" w:type="dxa"/>
            <w:bottom w:w="0" w:type="dxa"/>
            <w:right w:w="108" w:type="dxa"/>
          </w:tblCellMar>
        </w:tblPrEx>
        <w:trPr>
          <w:trHeight w:val="765" w:hRule="atLeast"/>
        </w:trPr>
        <w:tc>
          <w:tcPr>
            <w:tcW w:w="2547"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数据采集与传输、系统控制单元</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套</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7</w:t>
            </w:r>
          </w:p>
        </w:tc>
        <w:tc>
          <w:tcPr>
            <w:tcW w:w="4111" w:type="dxa"/>
            <w:tcBorders>
              <w:top w:val="nil"/>
              <w:left w:val="nil"/>
              <w:bottom w:val="single" w:color="auto" w:sz="8" w:space="0"/>
              <w:right w:val="single" w:color="auto" w:sz="4" w:space="0"/>
            </w:tcBorders>
            <w:shd w:val="clear" w:color="auto" w:fill="auto"/>
            <w:vAlign w:val="center"/>
          </w:tcPr>
          <w:p>
            <w:pPr>
              <w:widowControl/>
              <w:jc w:val="left"/>
              <w:rPr>
                <w:rFonts w:ascii="仿宋_GB2312" w:hAnsi="仿宋" w:eastAsia="仿宋_GB2312" w:cs="宋体"/>
                <w:kern w:val="0"/>
                <w:sz w:val="28"/>
              </w:rPr>
            </w:pPr>
            <w:r>
              <w:rPr>
                <w:rFonts w:hint="eastAsia" w:ascii="仿宋_GB2312" w:hAnsi="仿宋" w:eastAsia="仿宋_GB2312" w:cs="宋体"/>
                <w:kern w:val="0"/>
                <w:sz w:val="28"/>
              </w:rPr>
              <w:t>数据采集、传输和系统采配水控制等</w:t>
            </w:r>
          </w:p>
        </w:tc>
        <w:tc>
          <w:tcPr>
            <w:tcW w:w="1004" w:type="dxa"/>
            <w:tcBorders>
              <w:top w:val="nil"/>
              <w:left w:val="single" w:color="auto" w:sz="4" w:space="0"/>
              <w:bottom w:val="single" w:color="auto" w:sz="8" w:space="0"/>
              <w:right w:val="single" w:color="auto" w:sz="4" w:space="0"/>
            </w:tcBorders>
          </w:tcPr>
          <w:p>
            <w:pPr>
              <w:widowControl/>
              <w:jc w:val="left"/>
              <w:rPr>
                <w:rFonts w:ascii="仿宋_GB2312" w:hAnsi="仿宋" w:eastAsia="仿宋_GB2312" w:cs="宋体"/>
                <w:kern w:val="0"/>
                <w:sz w:val="28"/>
              </w:rPr>
            </w:pPr>
          </w:p>
        </w:tc>
      </w:tr>
      <w:tr>
        <w:tblPrEx>
          <w:tblCellMar>
            <w:top w:w="0" w:type="dxa"/>
            <w:left w:w="108" w:type="dxa"/>
            <w:bottom w:w="0" w:type="dxa"/>
            <w:right w:w="108" w:type="dxa"/>
          </w:tblCellMar>
        </w:tblPrEx>
        <w:trPr>
          <w:trHeight w:val="390" w:hRule="atLeast"/>
        </w:trPr>
        <w:tc>
          <w:tcPr>
            <w:tcW w:w="2547" w:type="dxa"/>
            <w:tcBorders>
              <w:top w:val="nil"/>
              <w:left w:val="single" w:color="auto" w:sz="4" w:space="0"/>
              <w:bottom w:val="single" w:color="auto" w:sz="4"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一体化柜</w:t>
            </w:r>
          </w:p>
        </w:tc>
        <w:tc>
          <w:tcPr>
            <w:tcW w:w="85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台</w:t>
            </w:r>
          </w:p>
        </w:tc>
        <w:tc>
          <w:tcPr>
            <w:tcW w:w="851"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7</w:t>
            </w: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8"/>
              </w:rPr>
            </w:pPr>
            <w:r>
              <w:rPr>
                <w:rFonts w:hint="eastAsia" w:ascii="仿宋_GB2312" w:hAnsi="仿宋" w:eastAsia="仿宋_GB2312" w:cs="宋体"/>
                <w:kern w:val="0"/>
                <w:sz w:val="28"/>
              </w:rPr>
              <w:t>占地不大于2平方</w:t>
            </w:r>
          </w:p>
        </w:tc>
        <w:tc>
          <w:tcPr>
            <w:tcW w:w="1004" w:type="dxa"/>
            <w:tcBorders>
              <w:top w:val="nil"/>
              <w:left w:val="single" w:color="auto" w:sz="4" w:space="0"/>
              <w:bottom w:val="single" w:color="auto" w:sz="4" w:space="0"/>
              <w:right w:val="single" w:color="auto" w:sz="4" w:space="0"/>
            </w:tcBorders>
          </w:tcPr>
          <w:p>
            <w:pPr>
              <w:widowControl/>
              <w:jc w:val="left"/>
              <w:rPr>
                <w:rFonts w:ascii="仿宋_GB2312" w:hAnsi="仿宋" w:eastAsia="仿宋_GB2312" w:cs="宋体"/>
                <w:kern w:val="0"/>
                <w:sz w:val="28"/>
              </w:rPr>
            </w:pPr>
          </w:p>
        </w:tc>
      </w:tr>
      <w:tr>
        <w:tblPrEx>
          <w:tblCellMar>
            <w:top w:w="0" w:type="dxa"/>
            <w:left w:w="108" w:type="dxa"/>
            <w:bottom w:w="0" w:type="dxa"/>
            <w:right w:w="108" w:type="dxa"/>
          </w:tblCellMar>
        </w:tblPrEx>
        <w:trPr>
          <w:trHeight w:val="390" w:hRule="atLeast"/>
        </w:trPr>
        <w:tc>
          <w:tcPr>
            <w:tcW w:w="2547" w:type="dxa"/>
            <w:tcBorders>
              <w:top w:val="single" w:color="auto" w:sz="4" w:space="0"/>
              <w:left w:val="single" w:color="auto" w:sz="4" w:space="0"/>
              <w:bottom w:val="single" w:color="auto" w:sz="8" w:space="0"/>
              <w:right w:val="single" w:color="auto" w:sz="8" w:space="0"/>
            </w:tcBorders>
            <w:shd w:val="clear" w:color="auto" w:fill="auto"/>
            <w:vAlign w:val="center"/>
          </w:tcPr>
          <w:p>
            <w:pPr>
              <w:widowControl/>
              <w:jc w:val="center"/>
              <w:rPr>
                <w:rFonts w:ascii="仿宋_GB2312" w:hAnsi="仿宋" w:eastAsia="仿宋_GB2312" w:cs="宋体"/>
                <w:kern w:val="0"/>
                <w:sz w:val="28"/>
              </w:rPr>
            </w:pPr>
            <w:r>
              <w:rPr>
                <w:rFonts w:hint="eastAsia" w:ascii="仿宋_GB2312" w:hAnsi="仿宋" w:eastAsia="仿宋_GB2312" w:cs="宋体"/>
                <w:kern w:val="0"/>
                <w:sz w:val="28"/>
              </w:rPr>
              <w:t>总价（含税）</w:t>
            </w:r>
          </w:p>
        </w:tc>
        <w:tc>
          <w:tcPr>
            <w:tcW w:w="6816" w:type="dxa"/>
            <w:gridSpan w:val="4"/>
            <w:tcBorders>
              <w:top w:val="single" w:color="auto" w:sz="4" w:space="0"/>
              <w:left w:val="nil"/>
              <w:bottom w:val="single" w:color="auto" w:sz="8" w:space="0"/>
              <w:right w:val="single" w:color="auto" w:sz="4" w:space="0"/>
            </w:tcBorders>
            <w:shd w:val="clear" w:color="auto" w:fill="auto"/>
            <w:vAlign w:val="center"/>
          </w:tcPr>
          <w:p>
            <w:pPr>
              <w:widowControl/>
              <w:jc w:val="left"/>
              <w:rPr>
                <w:rFonts w:ascii="仿宋_GB2312" w:hAnsi="仿宋" w:eastAsia="仿宋_GB2312" w:cs="宋体"/>
                <w:kern w:val="0"/>
                <w:sz w:val="28"/>
              </w:rPr>
            </w:pPr>
          </w:p>
        </w:tc>
      </w:tr>
    </w:tbl>
    <w:p>
      <w:pPr>
        <w:pStyle w:val="26"/>
        <w:ind w:firstLine="0"/>
      </w:pPr>
    </w:p>
    <w:p>
      <w:pPr>
        <w:widowControl/>
        <w:jc w:val="left"/>
        <w:rPr>
          <w:rFonts w:cs="仿宋_GB2312" w:asciiTheme="majorEastAsia" w:hAnsiTheme="majorEastAsia" w:eastAsiaTheme="majorEastAsia"/>
          <w:sz w:val="28"/>
          <w:szCs w:val="28"/>
        </w:rPr>
      </w:pPr>
      <w:r>
        <w:rPr>
          <w:rFonts w:cs="仿宋_GB2312" w:asciiTheme="majorEastAsia" w:hAnsiTheme="majorEastAsia" w:eastAsiaTheme="majorEastAsia"/>
          <w:sz w:val="28"/>
          <w:szCs w:val="28"/>
        </w:rPr>
        <w:br w:type="page"/>
      </w:r>
    </w:p>
    <w:p>
      <w:pPr>
        <w:jc w:val="center"/>
        <w:rPr>
          <w:rFonts w:cs="仿宋_GB2312" w:asciiTheme="majorEastAsia" w:hAnsiTheme="majorEastAsia" w:eastAsiaTheme="majorEastAsia"/>
          <w:b/>
          <w:sz w:val="28"/>
          <w:szCs w:val="28"/>
        </w:rPr>
      </w:pPr>
      <w:r>
        <w:rPr>
          <w:rFonts w:cs="仿宋_GB2312" w:asciiTheme="majorEastAsia" w:hAnsiTheme="majorEastAsia" w:eastAsiaTheme="majorEastAsia"/>
          <w:b/>
          <w:sz w:val="28"/>
          <w:szCs w:val="28"/>
        </w:rPr>
        <w:t xml:space="preserve">6 </w:t>
      </w:r>
      <w:r>
        <w:rPr>
          <w:rFonts w:hint="eastAsia" w:cs="仿宋_GB2312" w:asciiTheme="majorEastAsia" w:hAnsiTheme="majorEastAsia" w:eastAsiaTheme="majorEastAsia"/>
          <w:b/>
          <w:sz w:val="28"/>
          <w:szCs w:val="28"/>
        </w:rPr>
        <w:t>项目单位、人员相关证明材料</w:t>
      </w:r>
    </w:p>
    <w:p>
      <w:pPr>
        <w:rPr>
          <w:rFonts w:asciiTheme="majorEastAsia" w:hAnsiTheme="majorEastAsia" w:eastAsiaTheme="majorEastAsia"/>
        </w:rPr>
      </w:pPr>
    </w:p>
    <w:sectPr>
      <w:pgSz w:w="11906" w:h="16838"/>
      <w:pgMar w:top="1089" w:right="1466" w:bottom="1089"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sto MT">
    <w:panose1 w:val="02040603050505030304"/>
    <w:charset w:val="00"/>
    <w:family w:val="roman"/>
    <w:pitch w:val="default"/>
    <w:sig w:usb0="00000003" w:usb1="00000000" w:usb2="00000000" w:usb3="00000000" w:csb0="20000001"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Batang">
    <w:altName w:val="Malgun Gothic"/>
    <w:panose1 w:val="02030600000101010101"/>
    <w:charset w:val="81"/>
    <w:family w:val="auto"/>
    <w:pitch w:val="default"/>
    <w:sig w:usb0="00000000" w:usb1="00000000" w:usb2="00000010" w:usb3="00000000" w:csb0="00080000"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1"/>
      </w:rPr>
    </w:pPr>
    <w:r>
      <w:fldChar w:fldCharType="begin"/>
    </w:r>
    <w:r>
      <w:rPr>
        <w:rStyle w:val="31"/>
      </w:rPr>
      <w:instrText xml:space="preserve">PAGE  </w:instrText>
    </w:r>
    <w:r>
      <w:fldChar w:fldCharType="separate"/>
    </w:r>
    <w:r>
      <w:rPr>
        <w:rStyle w:val="31"/>
      </w:rPr>
      <w:t>23</w:t>
    </w:r>
    <w:r>
      <w:fldChar w:fldCharType="end"/>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1"/>
      </w:rPr>
    </w:pPr>
    <w:r>
      <w:fldChar w:fldCharType="begin"/>
    </w:r>
    <w:r>
      <w:rPr>
        <w:rStyle w:val="31"/>
      </w:rPr>
      <w:instrText xml:space="preserve">PAGE  </w:instrText>
    </w:r>
    <w:r>
      <w:fldChar w:fldCharType="separate"/>
    </w:r>
    <w:r>
      <w:rPr>
        <w:rStyle w:val="31"/>
      </w:rPr>
      <w:t>I</w:t>
    </w:r>
    <w:r>
      <w:fldChar w:fldCharType="end"/>
    </w: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1"/>
      </w:rPr>
    </w:pPr>
    <w:r>
      <w:fldChar w:fldCharType="begin"/>
    </w:r>
    <w:r>
      <w:rPr>
        <w:rStyle w:val="31"/>
      </w:rPr>
      <w:instrText xml:space="preserve">PAGE  </w:instrText>
    </w:r>
    <w:r>
      <w:fldChar w:fldCharType="separate"/>
    </w:r>
    <w:r>
      <w:rPr>
        <w:rStyle w:val="31"/>
      </w:rPr>
      <w:t>5</w:t>
    </w:r>
    <w:r>
      <w:fldChar w:fldCharType="end"/>
    </w:r>
  </w:p>
  <w:p>
    <w:pPr>
      <w:pStyle w:val="1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left="2250" w:hanging="120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v:textbox>
            </v:shape>
          </w:pict>
        </mc:Fallback>
      </mc:AlternateContent>
    </w:r>
  </w:p>
  <w:p>
    <w:pPr>
      <w:pStyle w:val="1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1"/>
      </w:rPr>
    </w:pPr>
    <w:r>
      <w:fldChar w:fldCharType="begin"/>
    </w:r>
    <w:r>
      <w:rPr>
        <w:rStyle w:val="31"/>
      </w:rPr>
      <w:instrText xml:space="preserve">PAGE  </w:instrText>
    </w:r>
    <w:r>
      <w:fldChar w:fldCharType="separate"/>
    </w:r>
    <w:r>
      <w:rPr>
        <w:rStyle w:val="31"/>
      </w:rPr>
      <w:t>24</w:t>
    </w:r>
    <w:r>
      <w:fldChar w:fldCharType="end"/>
    </w:r>
  </w:p>
  <w:p>
    <w:pPr>
      <w:pStyle w:val="18"/>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4141885"/>
    </w:sdtPr>
    <w:sdtContent>
      <w:p>
        <w:pPr>
          <w:pStyle w:val="18"/>
          <w:jc w:val="center"/>
        </w:pPr>
        <w:r>
          <w:fldChar w:fldCharType="begin"/>
        </w:r>
        <w:r>
          <w:instrText xml:space="preserve">PAGE   \* MERGEFORMAT</w:instrText>
        </w:r>
        <w:r>
          <w:fldChar w:fldCharType="separate"/>
        </w:r>
        <w:r>
          <w:rPr>
            <w:lang w:val="zh-CN"/>
          </w:rPr>
          <w:t>51</w:t>
        </w:r>
        <w:r>
          <w:fldChar w:fldCharType="end"/>
        </w:r>
      </w:p>
    </w:sdtContent>
  </w:sdt>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1973AE6"/>
    <w:multiLevelType w:val="multilevel"/>
    <w:tmpl w:val="01973AE6"/>
    <w:lvl w:ilvl="0" w:tentative="0">
      <w:start w:val="1"/>
      <w:numFmt w:val="decimal"/>
      <w:lvlText w:val="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F7322A2"/>
    <w:multiLevelType w:val="singleLevel"/>
    <w:tmpl w:val="0F7322A2"/>
    <w:lvl w:ilvl="0" w:tentative="0">
      <w:start w:val="1"/>
      <w:numFmt w:val="bullet"/>
      <w:lvlText w:val=""/>
      <w:lvlJc w:val="left"/>
      <w:pPr>
        <w:ind w:left="420" w:hanging="420"/>
      </w:pPr>
      <w:rPr>
        <w:rFonts w:hint="default" w:ascii="Wingdings" w:hAnsi="Wingdings"/>
      </w:rPr>
    </w:lvl>
  </w:abstractNum>
  <w:abstractNum w:abstractNumId="3">
    <w:nsid w:val="1E556848"/>
    <w:multiLevelType w:val="multilevel"/>
    <w:tmpl w:val="1E556848"/>
    <w:lvl w:ilvl="0" w:tentative="0">
      <w:start w:val="1"/>
      <w:numFmt w:val="decimal"/>
      <w:lvlText w:val="%1"/>
      <w:lvlJc w:val="left"/>
      <w:pPr>
        <w:ind w:left="420" w:hanging="420"/>
      </w:pPr>
      <w:rPr>
        <w:rFonts w:hint="eastAsia"/>
      </w:rPr>
    </w:lvl>
    <w:lvl w:ilvl="1" w:tentative="0">
      <w:start w:val="2"/>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2CD545E"/>
    <w:multiLevelType w:val="multilevel"/>
    <w:tmpl w:val="22CD545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2C791AA3"/>
    <w:multiLevelType w:val="singleLevel"/>
    <w:tmpl w:val="2C791AA3"/>
    <w:lvl w:ilvl="0" w:tentative="0">
      <w:start w:val="3"/>
      <w:numFmt w:val="chineseCounting"/>
      <w:suff w:val="nothing"/>
      <w:lvlText w:val="%1、"/>
      <w:lvlJc w:val="left"/>
      <w:rPr>
        <w:rFonts w:hint="eastAsia"/>
      </w:rPr>
    </w:lvl>
  </w:abstractNum>
  <w:abstractNum w:abstractNumId="6">
    <w:nsid w:val="2F0B0689"/>
    <w:multiLevelType w:val="multilevel"/>
    <w:tmpl w:val="2F0B0689"/>
    <w:lvl w:ilvl="0" w:tentative="0">
      <w:start w:val="1"/>
      <w:numFmt w:val="decimal"/>
      <w:lvlText w:val="%1"/>
      <w:lvlJc w:val="left"/>
      <w:pPr>
        <w:ind w:left="420" w:hanging="420"/>
      </w:pPr>
      <w:rPr>
        <w:rFonts w:hint="eastAsia"/>
      </w:rPr>
    </w:lvl>
    <w:lvl w:ilvl="1" w:tentative="0">
      <w:start w:val="2"/>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34B5C71"/>
    <w:multiLevelType w:val="singleLevel"/>
    <w:tmpl w:val="534B5C71"/>
    <w:lvl w:ilvl="0" w:tentative="0">
      <w:start w:val="2"/>
      <w:numFmt w:val="decimal"/>
      <w:suff w:val="nothing"/>
      <w:lvlText w:val="%1、"/>
      <w:lvlJc w:val="left"/>
    </w:lvl>
  </w:abstractNum>
  <w:abstractNum w:abstractNumId="8">
    <w:nsid w:val="61A53875"/>
    <w:multiLevelType w:val="multilevel"/>
    <w:tmpl w:val="61A53875"/>
    <w:lvl w:ilvl="0" w:tentative="0">
      <w:start w:val="1"/>
      <w:numFmt w:val="decimal"/>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ED410FB"/>
    <w:multiLevelType w:val="multilevel"/>
    <w:tmpl w:val="6ED410FB"/>
    <w:lvl w:ilvl="0" w:tentative="0">
      <w:start w:val="1"/>
      <w:numFmt w:val="decimal"/>
      <w:lvlText w:val="%1"/>
      <w:lvlJc w:val="left"/>
      <w:pPr>
        <w:ind w:left="420" w:hanging="420"/>
      </w:pPr>
      <w:rPr>
        <w:rFonts w:hint="eastAsia"/>
      </w:rPr>
    </w:lvl>
    <w:lvl w:ilvl="1" w:tentative="0">
      <w:start w:val="2"/>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EF7165E"/>
    <w:multiLevelType w:val="multilevel"/>
    <w:tmpl w:val="7EF7165E"/>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6"/>
  </w:num>
  <w:num w:numId="3">
    <w:abstractNumId w:val="4"/>
  </w:num>
  <w:num w:numId="4">
    <w:abstractNumId w:val="8"/>
  </w:num>
  <w:num w:numId="5">
    <w:abstractNumId w:val="2"/>
  </w:num>
  <w:num w:numId="6">
    <w:abstractNumId w:val="9"/>
  </w:num>
  <w:num w:numId="7">
    <w:abstractNumId w:val="1"/>
  </w:num>
  <w:num w:numId="8">
    <w:abstractNumId w:val="10"/>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1EE5"/>
    <w:rsid w:val="00017246"/>
    <w:rsid w:val="0004163A"/>
    <w:rsid w:val="00046B98"/>
    <w:rsid w:val="0005574A"/>
    <w:rsid w:val="00056AFA"/>
    <w:rsid w:val="000622DA"/>
    <w:rsid w:val="0006416A"/>
    <w:rsid w:val="0006454E"/>
    <w:rsid w:val="00064CF5"/>
    <w:rsid w:val="00064EC0"/>
    <w:rsid w:val="00065C16"/>
    <w:rsid w:val="000665A4"/>
    <w:rsid w:val="000736DF"/>
    <w:rsid w:val="0007465D"/>
    <w:rsid w:val="000834A2"/>
    <w:rsid w:val="0008717A"/>
    <w:rsid w:val="00095AB8"/>
    <w:rsid w:val="000B3A5B"/>
    <w:rsid w:val="000C59F0"/>
    <w:rsid w:val="000C5A4A"/>
    <w:rsid w:val="000C792E"/>
    <w:rsid w:val="000C7B91"/>
    <w:rsid w:val="000D0E7E"/>
    <w:rsid w:val="000E488E"/>
    <w:rsid w:val="000F1CE8"/>
    <w:rsid w:val="000F2825"/>
    <w:rsid w:val="000F5A2F"/>
    <w:rsid w:val="001043E9"/>
    <w:rsid w:val="00111419"/>
    <w:rsid w:val="0011299B"/>
    <w:rsid w:val="001176CC"/>
    <w:rsid w:val="00132581"/>
    <w:rsid w:val="00144BCB"/>
    <w:rsid w:val="001576E5"/>
    <w:rsid w:val="0016137B"/>
    <w:rsid w:val="0016463F"/>
    <w:rsid w:val="00172A27"/>
    <w:rsid w:val="00172BF8"/>
    <w:rsid w:val="0017661B"/>
    <w:rsid w:val="00196257"/>
    <w:rsid w:val="001A036A"/>
    <w:rsid w:val="001A1791"/>
    <w:rsid w:val="001A3432"/>
    <w:rsid w:val="001D23FD"/>
    <w:rsid w:val="001D55BA"/>
    <w:rsid w:val="001D6B49"/>
    <w:rsid w:val="001E575E"/>
    <w:rsid w:val="001F45B2"/>
    <w:rsid w:val="002147DB"/>
    <w:rsid w:val="00223521"/>
    <w:rsid w:val="00223EAC"/>
    <w:rsid w:val="0023468C"/>
    <w:rsid w:val="00237945"/>
    <w:rsid w:val="00241C06"/>
    <w:rsid w:val="00263DF1"/>
    <w:rsid w:val="00271D75"/>
    <w:rsid w:val="00277030"/>
    <w:rsid w:val="002817C0"/>
    <w:rsid w:val="002839F7"/>
    <w:rsid w:val="00283DF3"/>
    <w:rsid w:val="00284D09"/>
    <w:rsid w:val="00287394"/>
    <w:rsid w:val="002918AB"/>
    <w:rsid w:val="0029286C"/>
    <w:rsid w:val="002A43D5"/>
    <w:rsid w:val="002B4DF5"/>
    <w:rsid w:val="002B5E99"/>
    <w:rsid w:val="002C1CC3"/>
    <w:rsid w:val="002C252B"/>
    <w:rsid w:val="002D0B51"/>
    <w:rsid w:val="002D4C6B"/>
    <w:rsid w:val="002D6D5B"/>
    <w:rsid w:val="002E3A82"/>
    <w:rsid w:val="002F253B"/>
    <w:rsid w:val="0030467B"/>
    <w:rsid w:val="00315FCF"/>
    <w:rsid w:val="00320321"/>
    <w:rsid w:val="00322607"/>
    <w:rsid w:val="00332692"/>
    <w:rsid w:val="00334AD1"/>
    <w:rsid w:val="00335C83"/>
    <w:rsid w:val="0033785B"/>
    <w:rsid w:val="00337D60"/>
    <w:rsid w:val="00342EF1"/>
    <w:rsid w:val="00344180"/>
    <w:rsid w:val="00352624"/>
    <w:rsid w:val="00352C8B"/>
    <w:rsid w:val="0035427C"/>
    <w:rsid w:val="00366EEA"/>
    <w:rsid w:val="0037007F"/>
    <w:rsid w:val="00370157"/>
    <w:rsid w:val="00377F71"/>
    <w:rsid w:val="00394229"/>
    <w:rsid w:val="003A3CCF"/>
    <w:rsid w:val="003A4E97"/>
    <w:rsid w:val="003B3094"/>
    <w:rsid w:val="003C2188"/>
    <w:rsid w:val="003C63EA"/>
    <w:rsid w:val="003D6F21"/>
    <w:rsid w:val="003E7075"/>
    <w:rsid w:val="003F06A8"/>
    <w:rsid w:val="003F5F24"/>
    <w:rsid w:val="00414FA3"/>
    <w:rsid w:val="00416AD9"/>
    <w:rsid w:val="00435A48"/>
    <w:rsid w:val="00441E1E"/>
    <w:rsid w:val="004513F2"/>
    <w:rsid w:val="00451A8C"/>
    <w:rsid w:val="00457A83"/>
    <w:rsid w:val="00465B45"/>
    <w:rsid w:val="00476D96"/>
    <w:rsid w:val="00482030"/>
    <w:rsid w:val="00492B0E"/>
    <w:rsid w:val="00494E4A"/>
    <w:rsid w:val="004A3C7E"/>
    <w:rsid w:val="004A412E"/>
    <w:rsid w:val="004B6B65"/>
    <w:rsid w:val="004D1F4E"/>
    <w:rsid w:val="004D30B1"/>
    <w:rsid w:val="00501180"/>
    <w:rsid w:val="0050358C"/>
    <w:rsid w:val="005100F4"/>
    <w:rsid w:val="00510BE7"/>
    <w:rsid w:val="0051206F"/>
    <w:rsid w:val="0051435F"/>
    <w:rsid w:val="00514A13"/>
    <w:rsid w:val="0051598B"/>
    <w:rsid w:val="00515BFB"/>
    <w:rsid w:val="00516BE8"/>
    <w:rsid w:val="00516CCD"/>
    <w:rsid w:val="00520C3F"/>
    <w:rsid w:val="00527E35"/>
    <w:rsid w:val="00530481"/>
    <w:rsid w:val="005327B5"/>
    <w:rsid w:val="005355A0"/>
    <w:rsid w:val="005406BA"/>
    <w:rsid w:val="005439F2"/>
    <w:rsid w:val="00546221"/>
    <w:rsid w:val="00547AAB"/>
    <w:rsid w:val="005507C0"/>
    <w:rsid w:val="005518E6"/>
    <w:rsid w:val="00552B2A"/>
    <w:rsid w:val="00560066"/>
    <w:rsid w:val="0056117F"/>
    <w:rsid w:val="0057255E"/>
    <w:rsid w:val="0057599C"/>
    <w:rsid w:val="0058616C"/>
    <w:rsid w:val="005934F7"/>
    <w:rsid w:val="0059688C"/>
    <w:rsid w:val="00596D75"/>
    <w:rsid w:val="00596F95"/>
    <w:rsid w:val="005A212F"/>
    <w:rsid w:val="005B4CB4"/>
    <w:rsid w:val="005B567E"/>
    <w:rsid w:val="005C2F78"/>
    <w:rsid w:val="005D49DE"/>
    <w:rsid w:val="005E2AB3"/>
    <w:rsid w:val="005F314E"/>
    <w:rsid w:val="00630657"/>
    <w:rsid w:val="00631B0F"/>
    <w:rsid w:val="006359A8"/>
    <w:rsid w:val="006421CD"/>
    <w:rsid w:val="00642D89"/>
    <w:rsid w:val="0064355F"/>
    <w:rsid w:val="006452F4"/>
    <w:rsid w:val="00653B2C"/>
    <w:rsid w:val="00657ECF"/>
    <w:rsid w:val="00662381"/>
    <w:rsid w:val="00676E37"/>
    <w:rsid w:val="006826DD"/>
    <w:rsid w:val="00686762"/>
    <w:rsid w:val="006B15B6"/>
    <w:rsid w:val="006B3FE0"/>
    <w:rsid w:val="006C0545"/>
    <w:rsid w:val="006C075C"/>
    <w:rsid w:val="006C32E7"/>
    <w:rsid w:val="006E35ED"/>
    <w:rsid w:val="00711A14"/>
    <w:rsid w:val="00722A37"/>
    <w:rsid w:val="007236CC"/>
    <w:rsid w:val="00725FA2"/>
    <w:rsid w:val="00731BE3"/>
    <w:rsid w:val="00736476"/>
    <w:rsid w:val="00741D9C"/>
    <w:rsid w:val="0074591E"/>
    <w:rsid w:val="007543F7"/>
    <w:rsid w:val="00757A1F"/>
    <w:rsid w:val="00765733"/>
    <w:rsid w:val="0077033F"/>
    <w:rsid w:val="00782385"/>
    <w:rsid w:val="00783A48"/>
    <w:rsid w:val="007848E1"/>
    <w:rsid w:val="00784F96"/>
    <w:rsid w:val="007873D9"/>
    <w:rsid w:val="00794569"/>
    <w:rsid w:val="0079710B"/>
    <w:rsid w:val="00797767"/>
    <w:rsid w:val="007A177E"/>
    <w:rsid w:val="007A1D73"/>
    <w:rsid w:val="007A547E"/>
    <w:rsid w:val="007B6E79"/>
    <w:rsid w:val="007C1AE6"/>
    <w:rsid w:val="007E6DD8"/>
    <w:rsid w:val="007F0A52"/>
    <w:rsid w:val="007F6329"/>
    <w:rsid w:val="00803FB1"/>
    <w:rsid w:val="0080474D"/>
    <w:rsid w:val="00804E3B"/>
    <w:rsid w:val="00807E65"/>
    <w:rsid w:val="00810D76"/>
    <w:rsid w:val="008121BA"/>
    <w:rsid w:val="008252A8"/>
    <w:rsid w:val="0083160F"/>
    <w:rsid w:val="00834C34"/>
    <w:rsid w:val="008417D4"/>
    <w:rsid w:val="008458D9"/>
    <w:rsid w:val="0085058B"/>
    <w:rsid w:val="00854529"/>
    <w:rsid w:val="00883B58"/>
    <w:rsid w:val="0089427C"/>
    <w:rsid w:val="00895594"/>
    <w:rsid w:val="008961EE"/>
    <w:rsid w:val="008A311C"/>
    <w:rsid w:val="008A3EBC"/>
    <w:rsid w:val="008B5E11"/>
    <w:rsid w:val="008B6952"/>
    <w:rsid w:val="008D1F24"/>
    <w:rsid w:val="008E1835"/>
    <w:rsid w:val="008E2479"/>
    <w:rsid w:val="008E365F"/>
    <w:rsid w:val="008E70B5"/>
    <w:rsid w:val="00901B83"/>
    <w:rsid w:val="00904214"/>
    <w:rsid w:val="00905D86"/>
    <w:rsid w:val="00914281"/>
    <w:rsid w:val="0092102A"/>
    <w:rsid w:val="009235C3"/>
    <w:rsid w:val="00925182"/>
    <w:rsid w:val="00934CCA"/>
    <w:rsid w:val="00937773"/>
    <w:rsid w:val="00944525"/>
    <w:rsid w:val="0094662C"/>
    <w:rsid w:val="00954ED4"/>
    <w:rsid w:val="00963579"/>
    <w:rsid w:val="00966C75"/>
    <w:rsid w:val="00971E0C"/>
    <w:rsid w:val="009851AD"/>
    <w:rsid w:val="009914B2"/>
    <w:rsid w:val="009930FE"/>
    <w:rsid w:val="00996B14"/>
    <w:rsid w:val="009A41CC"/>
    <w:rsid w:val="009C4B70"/>
    <w:rsid w:val="009D3201"/>
    <w:rsid w:val="009D66D3"/>
    <w:rsid w:val="009D7EBB"/>
    <w:rsid w:val="009E54C0"/>
    <w:rsid w:val="009F3BEF"/>
    <w:rsid w:val="00A14436"/>
    <w:rsid w:val="00A24700"/>
    <w:rsid w:val="00A27879"/>
    <w:rsid w:val="00A47375"/>
    <w:rsid w:val="00A51886"/>
    <w:rsid w:val="00A61C7B"/>
    <w:rsid w:val="00A65432"/>
    <w:rsid w:val="00A76E47"/>
    <w:rsid w:val="00A77110"/>
    <w:rsid w:val="00A83533"/>
    <w:rsid w:val="00A922D7"/>
    <w:rsid w:val="00A96C0E"/>
    <w:rsid w:val="00A9747F"/>
    <w:rsid w:val="00AA5CA1"/>
    <w:rsid w:val="00AA74D5"/>
    <w:rsid w:val="00AB16BF"/>
    <w:rsid w:val="00AB373C"/>
    <w:rsid w:val="00AC1F5A"/>
    <w:rsid w:val="00AC4C91"/>
    <w:rsid w:val="00AD7ACE"/>
    <w:rsid w:val="00AE5945"/>
    <w:rsid w:val="00AF044E"/>
    <w:rsid w:val="00B00EF4"/>
    <w:rsid w:val="00B0128C"/>
    <w:rsid w:val="00B025DB"/>
    <w:rsid w:val="00B12AF3"/>
    <w:rsid w:val="00B15822"/>
    <w:rsid w:val="00B16770"/>
    <w:rsid w:val="00B175D3"/>
    <w:rsid w:val="00B2629D"/>
    <w:rsid w:val="00B30827"/>
    <w:rsid w:val="00B355FB"/>
    <w:rsid w:val="00B5079A"/>
    <w:rsid w:val="00B6167B"/>
    <w:rsid w:val="00B62C4D"/>
    <w:rsid w:val="00B64209"/>
    <w:rsid w:val="00B71C81"/>
    <w:rsid w:val="00B76D9C"/>
    <w:rsid w:val="00B76E22"/>
    <w:rsid w:val="00B85351"/>
    <w:rsid w:val="00BA0462"/>
    <w:rsid w:val="00BB0DF4"/>
    <w:rsid w:val="00BB4A55"/>
    <w:rsid w:val="00BE287C"/>
    <w:rsid w:val="00BF1B00"/>
    <w:rsid w:val="00BF6CE0"/>
    <w:rsid w:val="00C043BF"/>
    <w:rsid w:val="00C07157"/>
    <w:rsid w:val="00C0766A"/>
    <w:rsid w:val="00C17361"/>
    <w:rsid w:val="00C22D33"/>
    <w:rsid w:val="00C247C8"/>
    <w:rsid w:val="00C32C9F"/>
    <w:rsid w:val="00C366BC"/>
    <w:rsid w:val="00C462C4"/>
    <w:rsid w:val="00C541FA"/>
    <w:rsid w:val="00C606FC"/>
    <w:rsid w:val="00C61585"/>
    <w:rsid w:val="00C640D2"/>
    <w:rsid w:val="00C77B75"/>
    <w:rsid w:val="00C8243A"/>
    <w:rsid w:val="00C959E0"/>
    <w:rsid w:val="00CA4618"/>
    <w:rsid w:val="00CB2B26"/>
    <w:rsid w:val="00CB5AAE"/>
    <w:rsid w:val="00CB5C45"/>
    <w:rsid w:val="00CB7FD7"/>
    <w:rsid w:val="00CC2377"/>
    <w:rsid w:val="00CC2649"/>
    <w:rsid w:val="00CC3722"/>
    <w:rsid w:val="00CC7E08"/>
    <w:rsid w:val="00CD0B22"/>
    <w:rsid w:val="00CF1255"/>
    <w:rsid w:val="00CF13AA"/>
    <w:rsid w:val="00CF5986"/>
    <w:rsid w:val="00D00BFD"/>
    <w:rsid w:val="00D109C9"/>
    <w:rsid w:val="00D13285"/>
    <w:rsid w:val="00D13408"/>
    <w:rsid w:val="00D22945"/>
    <w:rsid w:val="00D22C81"/>
    <w:rsid w:val="00D232A8"/>
    <w:rsid w:val="00D23731"/>
    <w:rsid w:val="00D25E67"/>
    <w:rsid w:val="00D410CF"/>
    <w:rsid w:val="00D44E49"/>
    <w:rsid w:val="00D44F2F"/>
    <w:rsid w:val="00D50BC1"/>
    <w:rsid w:val="00D520E5"/>
    <w:rsid w:val="00D52E07"/>
    <w:rsid w:val="00D55B7B"/>
    <w:rsid w:val="00D77466"/>
    <w:rsid w:val="00D83C9B"/>
    <w:rsid w:val="00D94726"/>
    <w:rsid w:val="00D97AC0"/>
    <w:rsid w:val="00DA2B7B"/>
    <w:rsid w:val="00DA43C0"/>
    <w:rsid w:val="00DB3CDF"/>
    <w:rsid w:val="00DB7AA2"/>
    <w:rsid w:val="00DC0416"/>
    <w:rsid w:val="00DC740F"/>
    <w:rsid w:val="00DD250A"/>
    <w:rsid w:val="00DD3EEC"/>
    <w:rsid w:val="00DD744A"/>
    <w:rsid w:val="00DD7871"/>
    <w:rsid w:val="00DE0AE1"/>
    <w:rsid w:val="00DE3A77"/>
    <w:rsid w:val="00DE42E5"/>
    <w:rsid w:val="00DE47F8"/>
    <w:rsid w:val="00DF0A90"/>
    <w:rsid w:val="00DF513D"/>
    <w:rsid w:val="00DF5557"/>
    <w:rsid w:val="00DF5FBC"/>
    <w:rsid w:val="00E03332"/>
    <w:rsid w:val="00E244E4"/>
    <w:rsid w:val="00E3092C"/>
    <w:rsid w:val="00E377EA"/>
    <w:rsid w:val="00E46FA1"/>
    <w:rsid w:val="00E472BB"/>
    <w:rsid w:val="00E473CF"/>
    <w:rsid w:val="00E5503B"/>
    <w:rsid w:val="00E56FB0"/>
    <w:rsid w:val="00E6459D"/>
    <w:rsid w:val="00E706A3"/>
    <w:rsid w:val="00E728CA"/>
    <w:rsid w:val="00E73AA3"/>
    <w:rsid w:val="00E7410F"/>
    <w:rsid w:val="00E75DCF"/>
    <w:rsid w:val="00E81864"/>
    <w:rsid w:val="00E83D6C"/>
    <w:rsid w:val="00E95C71"/>
    <w:rsid w:val="00ED3E05"/>
    <w:rsid w:val="00EE40C9"/>
    <w:rsid w:val="00EF5DC2"/>
    <w:rsid w:val="00F0486B"/>
    <w:rsid w:val="00F21522"/>
    <w:rsid w:val="00F2264E"/>
    <w:rsid w:val="00F25353"/>
    <w:rsid w:val="00F261C9"/>
    <w:rsid w:val="00F27CFD"/>
    <w:rsid w:val="00F3007D"/>
    <w:rsid w:val="00F3262C"/>
    <w:rsid w:val="00F44C50"/>
    <w:rsid w:val="00F511D5"/>
    <w:rsid w:val="00F64D3C"/>
    <w:rsid w:val="00F654ED"/>
    <w:rsid w:val="00F66F8D"/>
    <w:rsid w:val="00F74B84"/>
    <w:rsid w:val="00F77294"/>
    <w:rsid w:val="00F80DD6"/>
    <w:rsid w:val="00F92660"/>
    <w:rsid w:val="00F94248"/>
    <w:rsid w:val="00F96500"/>
    <w:rsid w:val="00FA292D"/>
    <w:rsid w:val="00FD2BB7"/>
    <w:rsid w:val="00FD323D"/>
    <w:rsid w:val="00FD6D94"/>
    <w:rsid w:val="00FE13B7"/>
    <w:rsid w:val="00FE2BCC"/>
    <w:rsid w:val="00FF17E2"/>
    <w:rsid w:val="00FF240D"/>
    <w:rsid w:val="00FF4A10"/>
    <w:rsid w:val="02072D67"/>
    <w:rsid w:val="03EC77F4"/>
    <w:rsid w:val="04200FF0"/>
    <w:rsid w:val="05C63350"/>
    <w:rsid w:val="05CF748C"/>
    <w:rsid w:val="06700A16"/>
    <w:rsid w:val="07FC389C"/>
    <w:rsid w:val="092D5BAA"/>
    <w:rsid w:val="0A505DA5"/>
    <w:rsid w:val="0A7819D7"/>
    <w:rsid w:val="0AE760F3"/>
    <w:rsid w:val="0B085AA5"/>
    <w:rsid w:val="0BB22459"/>
    <w:rsid w:val="0C2814EE"/>
    <w:rsid w:val="0CB24B4E"/>
    <w:rsid w:val="0D962914"/>
    <w:rsid w:val="0D962F3C"/>
    <w:rsid w:val="0DBA4AA3"/>
    <w:rsid w:val="0F0D3086"/>
    <w:rsid w:val="0F692F66"/>
    <w:rsid w:val="0FD92910"/>
    <w:rsid w:val="100514F5"/>
    <w:rsid w:val="102D2700"/>
    <w:rsid w:val="10791D40"/>
    <w:rsid w:val="10EC2EF0"/>
    <w:rsid w:val="11B04483"/>
    <w:rsid w:val="11B74972"/>
    <w:rsid w:val="126D275B"/>
    <w:rsid w:val="12723C00"/>
    <w:rsid w:val="129F6D7E"/>
    <w:rsid w:val="13415299"/>
    <w:rsid w:val="13DA72E2"/>
    <w:rsid w:val="13EB01A2"/>
    <w:rsid w:val="13ED6161"/>
    <w:rsid w:val="14446E3C"/>
    <w:rsid w:val="14824ED6"/>
    <w:rsid w:val="148E7116"/>
    <w:rsid w:val="14D428E1"/>
    <w:rsid w:val="15462B29"/>
    <w:rsid w:val="15746E6E"/>
    <w:rsid w:val="15AB7CE2"/>
    <w:rsid w:val="15E356DB"/>
    <w:rsid w:val="15F42398"/>
    <w:rsid w:val="16052FFB"/>
    <w:rsid w:val="161B32EA"/>
    <w:rsid w:val="163B56D8"/>
    <w:rsid w:val="177A2C10"/>
    <w:rsid w:val="17E13D95"/>
    <w:rsid w:val="18384BD9"/>
    <w:rsid w:val="18817BF8"/>
    <w:rsid w:val="18C706E8"/>
    <w:rsid w:val="1943433B"/>
    <w:rsid w:val="1A4A4285"/>
    <w:rsid w:val="1AA2702A"/>
    <w:rsid w:val="1B3B7FAC"/>
    <w:rsid w:val="1D515B8C"/>
    <w:rsid w:val="1E1419BF"/>
    <w:rsid w:val="1E461495"/>
    <w:rsid w:val="1F45743C"/>
    <w:rsid w:val="1FC865B0"/>
    <w:rsid w:val="208C26A5"/>
    <w:rsid w:val="20AF7F6F"/>
    <w:rsid w:val="21F304F8"/>
    <w:rsid w:val="226D68AD"/>
    <w:rsid w:val="2278579B"/>
    <w:rsid w:val="22E05C0D"/>
    <w:rsid w:val="24E119C9"/>
    <w:rsid w:val="25763F5C"/>
    <w:rsid w:val="265D48FF"/>
    <w:rsid w:val="266266B7"/>
    <w:rsid w:val="272B20E4"/>
    <w:rsid w:val="28174E14"/>
    <w:rsid w:val="282B3966"/>
    <w:rsid w:val="284D6266"/>
    <w:rsid w:val="28525506"/>
    <w:rsid w:val="2AEE473E"/>
    <w:rsid w:val="2B5940F6"/>
    <w:rsid w:val="2BE33973"/>
    <w:rsid w:val="2CF84AE3"/>
    <w:rsid w:val="2CF91EB5"/>
    <w:rsid w:val="2D702C74"/>
    <w:rsid w:val="2E043EA6"/>
    <w:rsid w:val="2FFA3EFE"/>
    <w:rsid w:val="305A54BE"/>
    <w:rsid w:val="30D323DD"/>
    <w:rsid w:val="30F938D3"/>
    <w:rsid w:val="313D0AFD"/>
    <w:rsid w:val="31B41A5C"/>
    <w:rsid w:val="32494F7D"/>
    <w:rsid w:val="32E17DCA"/>
    <w:rsid w:val="33C64C00"/>
    <w:rsid w:val="33EF4EC7"/>
    <w:rsid w:val="33FD0131"/>
    <w:rsid w:val="34295501"/>
    <w:rsid w:val="356E63B2"/>
    <w:rsid w:val="363F448C"/>
    <w:rsid w:val="37147A3B"/>
    <w:rsid w:val="388B5C7E"/>
    <w:rsid w:val="38EE78CF"/>
    <w:rsid w:val="394610E9"/>
    <w:rsid w:val="3A7757D8"/>
    <w:rsid w:val="3B126079"/>
    <w:rsid w:val="3D5103CA"/>
    <w:rsid w:val="3D6931F0"/>
    <w:rsid w:val="3DA356F0"/>
    <w:rsid w:val="3DCA7BBC"/>
    <w:rsid w:val="3EB71630"/>
    <w:rsid w:val="3ED52101"/>
    <w:rsid w:val="3FD1579D"/>
    <w:rsid w:val="40261CB9"/>
    <w:rsid w:val="40391D00"/>
    <w:rsid w:val="407E2E96"/>
    <w:rsid w:val="42DA36CA"/>
    <w:rsid w:val="43BE6872"/>
    <w:rsid w:val="44562FA0"/>
    <w:rsid w:val="44DC6151"/>
    <w:rsid w:val="461A4EC4"/>
    <w:rsid w:val="469E0187"/>
    <w:rsid w:val="47243A4B"/>
    <w:rsid w:val="48C64E42"/>
    <w:rsid w:val="49AD739F"/>
    <w:rsid w:val="4B235497"/>
    <w:rsid w:val="4E9670F7"/>
    <w:rsid w:val="4EBC35B5"/>
    <w:rsid w:val="50881D7F"/>
    <w:rsid w:val="50BB48B5"/>
    <w:rsid w:val="513D69DB"/>
    <w:rsid w:val="517145EB"/>
    <w:rsid w:val="51F95767"/>
    <w:rsid w:val="52083D56"/>
    <w:rsid w:val="523531C2"/>
    <w:rsid w:val="5246412D"/>
    <w:rsid w:val="53086D7C"/>
    <w:rsid w:val="53522C53"/>
    <w:rsid w:val="535D4041"/>
    <w:rsid w:val="546D4ADA"/>
    <w:rsid w:val="55322084"/>
    <w:rsid w:val="55F35D0B"/>
    <w:rsid w:val="56864F4E"/>
    <w:rsid w:val="57124015"/>
    <w:rsid w:val="57B16A46"/>
    <w:rsid w:val="58192C59"/>
    <w:rsid w:val="584A51AE"/>
    <w:rsid w:val="58553851"/>
    <w:rsid w:val="589A089B"/>
    <w:rsid w:val="5A2B62E5"/>
    <w:rsid w:val="5B635692"/>
    <w:rsid w:val="5C1307F8"/>
    <w:rsid w:val="5C2A7E68"/>
    <w:rsid w:val="5F947205"/>
    <w:rsid w:val="60EB1CEF"/>
    <w:rsid w:val="61DC2018"/>
    <w:rsid w:val="62122C14"/>
    <w:rsid w:val="625C2171"/>
    <w:rsid w:val="628220E6"/>
    <w:rsid w:val="65250490"/>
    <w:rsid w:val="652F5D96"/>
    <w:rsid w:val="6577503D"/>
    <w:rsid w:val="65C21C7E"/>
    <w:rsid w:val="660F0D05"/>
    <w:rsid w:val="662A0EBC"/>
    <w:rsid w:val="66333C43"/>
    <w:rsid w:val="66786701"/>
    <w:rsid w:val="66846522"/>
    <w:rsid w:val="68A274D5"/>
    <w:rsid w:val="68B2215C"/>
    <w:rsid w:val="69A50553"/>
    <w:rsid w:val="69FA5344"/>
    <w:rsid w:val="6A346D0C"/>
    <w:rsid w:val="6B0B5358"/>
    <w:rsid w:val="6B463467"/>
    <w:rsid w:val="6CA004B6"/>
    <w:rsid w:val="6CA06BA8"/>
    <w:rsid w:val="6CE900AC"/>
    <w:rsid w:val="6D1904FB"/>
    <w:rsid w:val="6D1965BA"/>
    <w:rsid w:val="6D2E4769"/>
    <w:rsid w:val="6DA63D64"/>
    <w:rsid w:val="6EC97DD0"/>
    <w:rsid w:val="6F1E0E1D"/>
    <w:rsid w:val="6F217DB2"/>
    <w:rsid w:val="70380022"/>
    <w:rsid w:val="70BC3EA3"/>
    <w:rsid w:val="7232561A"/>
    <w:rsid w:val="72390888"/>
    <w:rsid w:val="73A0519D"/>
    <w:rsid w:val="73DA30BA"/>
    <w:rsid w:val="74975FD4"/>
    <w:rsid w:val="74A10DBC"/>
    <w:rsid w:val="74C55583"/>
    <w:rsid w:val="752C5D82"/>
    <w:rsid w:val="755F6119"/>
    <w:rsid w:val="765E3AFF"/>
    <w:rsid w:val="76D3709B"/>
    <w:rsid w:val="770771A5"/>
    <w:rsid w:val="7717625E"/>
    <w:rsid w:val="77527CFE"/>
    <w:rsid w:val="7954280F"/>
    <w:rsid w:val="798219D5"/>
    <w:rsid w:val="7B692AB0"/>
    <w:rsid w:val="7C290A97"/>
    <w:rsid w:val="7D7A643E"/>
    <w:rsid w:val="7DCF4EC9"/>
    <w:rsid w:val="7DFA7C25"/>
    <w:rsid w:val="7F5A36D4"/>
    <w:rsid w:val="7FA90BF5"/>
    <w:rsid w:val="7FF63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unhideWhenUsed/>
    <w:qFormat/>
    <w:uiPriority w:val="0"/>
    <w:pPr>
      <w:keepNext/>
      <w:keepLines/>
      <w:spacing w:after="550" w:line="265" w:lineRule="auto"/>
      <w:ind w:left="10" w:right="56" w:hanging="10"/>
      <w:jc w:val="center"/>
      <w:outlineLvl w:val="0"/>
    </w:pPr>
    <w:rPr>
      <w:rFonts w:ascii="黑体" w:hAnsi="黑体" w:eastAsia="黑体" w:cs="黑体"/>
      <w:color w:val="000000"/>
      <w:kern w:val="2"/>
      <w:sz w:val="32"/>
      <w:szCs w:val="22"/>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64"/>
    <w:qFormat/>
    <w:uiPriority w:val="0"/>
    <w:pPr>
      <w:keepNext/>
      <w:keepLines/>
      <w:spacing w:before="260" w:after="260" w:line="416" w:lineRule="auto"/>
      <w:outlineLvl w:val="2"/>
    </w:pPr>
    <w:rPr>
      <w:b/>
      <w:bCs/>
      <w:sz w:val="32"/>
      <w:szCs w:val="32"/>
    </w:rPr>
  </w:style>
  <w:style w:type="paragraph" w:styleId="6">
    <w:name w:val="heading 4"/>
    <w:basedOn w:val="1"/>
    <w:next w:val="1"/>
    <w:link w:val="65"/>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62"/>
    <w:semiHidden/>
    <w:unhideWhenUsed/>
    <w:qFormat/>
    <w:uiPriority w:val="0"/>
    <w:pPr>
      <w:keepNext/>
      <w:keepLines/>
      <w:spacing w:before="280" w:after="290" w:line="376" w:lineRule="auto"/>
      <w:outlineLvl w:val="4"/>
    </w:pPr>
    <w:rPr>
      <w:b/>
      <w:bCs/>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paragraph" w:styleId="8">
    <w:name w:val="Normal Indent"/>
    <w:basedOn w:val="1"/>
    <w:link w:val="51"/>
    <w:qFormat/>
    <w:uiPriority w:val="99"/>
    <w:pPr>
      <w:ind w:firstLine="420"/>
    </w:pPr>
  </w:style>
  <w:style w:type="paragraph" w:styleId="9">
    <w:name w:val="caption"/>
    <w:basedOn w:val="1"/>
    <w:next w:val="1"/>
    <w:qFormat/>
    <w:uiPriority w:val="0"/>
    <w:rPr>
      <w:rFonts w:ascii="Arial" w:hAnsi="Arial" w:eastAsia="黑体" w:cs="Arial"/>
      <w:sz w:val="20"/>
      <w:szCs w:val="20"/>
    </w:rPr>
  </w:style>
  <w:style w:type="paragraph" w:styleId="10">
    <w:name w:val="annotation text"/>
    <w:basedOn w:val="1"/>
    <w:link w:val="53"/>
    <w:qFormat/>
    <w:uiPriority w:val="0"/>
    <w:pPr>
      <w:jc w:val="left"/>
    </w:pPr>
  </w:style>
  <w:style w:type="paragraph" w:styleId="11">
    <w:name w:val="Body Text 3"/>
    <w:basedOn w:val="1"/>
    <w:qFormat/>
    <w:uiPriority w:val="0"/>
    <w:pPr>
      <w:spacing w:after="120"/>
    </w:pPr>
    <w:rPr>
      <w:sz w:val="16"/>
      <w:szCs w:val="16"/>
    </w:rPr>
  </w:style>
  <w:style w:type="paragraph" w:styleId="12">
    <w:name w:val="Body Text"/>
    <w:basedOn w:val="1"/>
    <w:next w:val="1"/>
    <w:link w:val="55"/>
    <w:qFormat/>
    <w:uiPriority w:val="0"/>
    <w:pPr>
      <w:spacing w:after="120"/>
    </w:pPr>
  </w:style>
  <w:style w:type="paragraph" w:styleId="13">
    <w:name w:val="Body Text Indent"/>
    <w:basedOn w:val="1"/>
    <w:qFormat/>
    <w:uiPriority w:val="0"/>
    <w:pPr>
      <w:ind w:firstLine="830" w:firstLineChars="352"/>
    </w:pPr>
    <w:rPr>
      <w:rFonts w:ascii="仿宋_GB2312" w:eastAsia="仿宋_GB2312"/>
      <w:sz w:val="32"/>
      <w:szCs w:val="20"/>
    </w:rPr>
  </w:style>
  <w:style w:type="paragraph" w:styleId="14">
    <w:name w:val="Plain Text"/>
    <w:basedOn w:val="1"/>
    <w:link w:val="48"/>
    <w:qFormat/>
    <w:uiPriority w:val="0"/>
    <w:rPr>
      <w:rFonts w:ascii="宋体" w:hAnsi="Courier New"/>
      <w:szCs w:val="21"/>
    </w:rPr>
  </w:style>
  <w:style w:type="paragraph" w:styleId="15">
    <w:name w:val="Date"/>
    <w:basedOn w:val="1"/>
    <w:next w:val="1"/>
    <w:link w:val="58"/>
    <w:qFormat/>
    <w:uiPriority w:val="0"/>
    <w:pPr>
      <w:ind w:left="100" w:leftChars="2500"/>
    </w:pPr>
  </w:style>
  <w:style w:type="paragraph" w:styleId="16">
    <w:name w:val="Body Text Indent 2"/>
    <w:basedOn w:val="1"/>
    <w:qFormat/>
    <w:uiPriority w:val="0"/>
    <w:pPr>
      <w:adjustRightInd w:val="0"/>
      <w:spacing w:after="120" w:line="480" w:lineRule="auto"/>
      <w:ind w:left="420"/>
      <w:textAlignment w:val="baseline"/>
    </w:pPr>
    <w:rPr>
      <w:rFonts w:ascii="Times New Roman" w:hAnsi="Times New Roman"/>
      <w:kern w:val="0"/>
      <w:szCs w:val="20"/>
    </w:rPr>
  </w:style>
  <w:style w:type="paragraph" w:styleId="17">
    <w:name w:val="Balloon Text"/>
    <w:basedOn w:val="1"/>
    <w:link w:val="50"/>
    <w:qFormat/>
    <w:uiPriority w:val="0"/>
    <w:rPr>
      <w:sz w:val="18"/>
      <w:szCs w:val="18"/>
    </w:rPr>
  </w:style>
  <w:style w:type="paragraph" w:styleId="18">
    <w:name w:val="footer"/>
    <w:basedOn w:val="1"/>
    <w:link w:val="49"/>
    <w:qFormat/>
    <w:uiPriority w:val="99"/>
    <w:pPr>
      <w:tabs>
        <w:tab w:val="center" w:pos="4153"/>
        <w:tab w:val="right" w:pos="8306"/>
      </w:tabs>
      <w:snapToGrid w:val="0"/>
      <w:jc w:val="left"/>
    </w:pPr>
    <w:rPr>
      <w:sz w:val="18"/>
    </w:rPr>
  </w:style>
  <w:style w:type="paragraph" w:styleId="19">
    <w:name w:val="header"/>
    <w:basedOn w:val="1"/>
    <w:link w:val="5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20">
    <w:name w:val="toc 1"/>
    <w:basedOn w:val="1"/>
    <w:next w:val="1"/>
    <w:qFormat/>
    <w:uiPriority w:val="0"/>
  </w:style>
  <w:style w:type="paragraph" w:styleId="21">
    <w:name w:val="Body Text Indent 3"/>
    <w:basedOn w:val="1"/>
    <w:qFormat/>
    <w:uiPriority w:val="0"/>
    <w:pPr>
      <w:adjustRightInd w:val="0"/>
      <w:spacing w:after="120" w:line="312" w:lineRule="atLeast"/>
      <w:ind w:left="420"/>
      <w:textAlignment w:val="baseline"/>
    </w:pPr>
    <w:rPr>
      <w:rFonts w:ascii="Times New Roman" w:hAnsi="Times New Roman"/>
      <w:kern w:val="0"/>
      <w:sz w:val="16"/>
      <w:szCs w:val="16"/>
    </w:rPr>
  </w:style>
  <w:style w:type="paragraph" w:styleId="22">
    <w:name w:val="HTML Preformatted"/>
    <w:basedOn w:val="1"/>
    <w:link w:val="6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23">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24">
    <w:name w:val="index 1"/>
    <w:basedOn w:val="1"/>
    <w:next w:val="1"/>
    <w:qFormat/>
    <w:uiPriority w:val="0"/>
    <w:pPr>
      <w:tabs>
        <w:tab w:val="left" w:pos="7740"/>
      </w:tabs>
      <w:jc w:val="center"/>
    </w:pPr>
    <w:rPr>
      <w:rFonts w:ascii="仿宋" w:hAnsi="仿宋" w:eastAsia="仿宋"/>
      <w:b/>
      <w:sz w:val="28"/>
      <w:szCs w:val="28"/>
    </w:rPr>
  </w:style>
  <w:style w:type="paragraph" w:styleId="25">
    <w:name w:val="annotation subject"/>
    <w:basedOn w:val="10"/>
    <w:next w:val="10"/>
    <w:link w:val="59"/>
    <w:qFormat/>
    <w:uiPriority w:val="0"/>
    <w:rPr>
      <w:b/>
      <w:bCs/>
    </w:rPr>
  </w:style>
  <w:style w:type="paragraph" w:styleId="26">
    <w:name w:val="Body Text First Indent"/>
    <w:basedOn w:val="12"/>
    <w:unhideWhenUsed/>
    <w:qFormat/>
    <w:uiPriority w:val="99"/>
    <w:pPr>
      <w:ind w:firstLine="420"/>
    </w:pPr>
  </w:style>
  <w:style w:type="table" w:styleId="28">
    <w:name w:val="Table Grid"/>
    <w:basedOn w:val="27"/>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22"/>
    <w:rPr>
      <w:b/>
      <w:bCs/>
    </w:rPr>
  </w:style>
  <w:style w:type="character" w:styleId="31">
    <w:name w:val="page number"/>
    <w:basedOn w:val="29"/>
    <w:qFormat/>
    <w:uiPriority w:val="0"/>
  </w:style>
  <w:style w:type="character" w:styleId="32">
    <w:name w:val="Hyperlink"/>
    <w:qFormat/>
    <w:uiPriority w:val="0"/>
    <w:rPr>
      <w:color w:val="0563C1"/>
      <w:kern w:val="2"/>
      <w:sz w:val="24"/>
      <w:szCs w:val="24"/>
      <w:u w:val="single"/>
    </w:rPr>
  </w:style>
  <w:style w:type="character" w:styleId="33">
    <w:name w:val="annotation reference"/>
    <w:qFormat/>
    <w:uiPriority w:val="0"/>
    <w:rPr>
      <w:kern w:val="2"/>
      <w:sz w:val="21"/>
      <w:szCs w:val="21"/>
    </w:rPr>
  </w:style>
  <w:style w:type="paragraph" w:customStyle="1" w:styleId="34">
    <w:name w:val="列出段落1"/>
    <w:basedOn w:val="1"/>
    <w:qFormat/>
    <w:uiPriority w:val="99"/>
    <w:pPr>
      <w:ind w:firstLine="420"/>
    </w:pPr>
  </w:style>
  <w:style w:type="paragraph" w:customStyle="1" w:styleId="35">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styleId="36">
    <w:name w:val="No Spacing"/>
    <w:qFormat/>
    <w:uiPriority w:val="1"/>
    <w:rPr>
      <w:rFonts w:ascii="Calibri" w:hAnsi="Calibri" w:eastAsia="宋体" w:cs="Times New Roman"/>
      <w:sz w:val="22"/>
      <w:szCs w:val="22"/>
      <w:lang w:val="en-US" w:eastAsia="zh-CN" w:bidi="ar-SA"/>
    </w:rPr>
  </w:style>
  <w:style w:type="paragraph" w:customStyle="1" w:styleId="37">
    <w:name w:val="表格文字"/>
    <w:basedOn w:val="1"/>
    <w:qFormat/>
    <w:uiPriority w:val="0"/>
    <w:pPr>
      <w:spacing w:before="25" w:after="25"/>
      <w:jc w:val="left"/>
    </w:pPr>
    <w:rPr>
      <w:bCs/>
      <w:spacing w:val="10"/>
      <w:kern w:val="0"/>
      <w:sz w:val="24"/>
      <w:szCs w:val="20"/>
    </w:rPr>
  </w:style>
  <w:style w:type="paragraph" w:customStyle="1" w:styleId="3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9">
    <w:name w:val="Table Paragraph"/>
    <w:basedOn w:val="1"/>
    <w:qFormat/>
    <w:uiPriority w:val="1"/>
    <w:pPr>
      <w:jc w:val="left"/>
    </w:pPr>
    <w:rPr>
      <w:kern w:val="0"/>
      <w:sz w:val="22"/>
      <w:szCs w:val="22"/>
      <w:lang w:eastAsia="en-US"/>
    </w:rPr>
  </w:style>
  <w:style w:type="paragraph" w:customStyle="1" w:styleId="40">
    <w:name w:val="题注4"/>
    <w:basedOn w:val="1"/>
    <w:next w:val="9"/>
    <w:qFormat/>
    <w:uiPriority w:val="0"/>
    <w:pPr>
      <w:ind w:left="-132" w:leftChars="-64" w:right="-105" w:rightChars="-50" w:hanging="2"/>
      <w:jc w:val="center"/>
    </w:pPr>
    <w:rPr>
      <w:b/>
      <w:color w:val="FF0000"/>
      <w:szCs w:val="21"/>
      <w:lang w:val="en-GB"/>
    </w:rPr>
  </w:style>
  <w:style w:type="paragraph" w:customStyle="1" w:styleId="41">
    <w:name w:val="Char"/>
    <w:basedOn w:val="1"/>
    <w:qFormat/>
    <w:uiPriority w:val="0"/>
    <w:pPr>
      <w:spacing w:line="480" w:lineRule="exact"/>
    </w:pPr>
    <w:rPr>
      <w:sz w:val="24"/>
    </w:rPr>
  </w:style>
  <w:style w:type="paragraph" w:customStyle="1" w:styleId="42">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4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4">
    <w:name w:val="文一"/>
    <w:basedOn w:val="1"/>
    <w:qFormat/>
    <w:uiPriority w:val="0"/>
    <w:pPr>
      <w:topLinePunct/>
      <w:adjustRightInd w:val="0"/>
      <w:snapToGrid w:val="0"/>
      <w:spacing w:line="360" w:lineRule="auto"/>
      <w:ind w:firstLine="200" w:firstLineChars="200"/>
    </w:pPr>
    <w:rPr>
      <w:snapToGrid w:val="0"/>
      <w:spacing w:val="4"/>
      <w:kern w:val="0"/>
      <w:sz w:val="24"/>
    </w:rPr>
  </w:style>
  <w:style w:type="paragraph" w:customStyle="1" w:styleId="45">
    <w:name w:val="Char Char2 Char"/>
    <w:basedOn w:val="1"/>
    <w:qFormat/>
    <w:uiPriority w:val="0"/>
  </w:style>
  <w:style w:type="paragraph" w:styleId="46">
    <w:name w:val="List Paragraph"/>
    <w:basedOn w:val="1"/>
    <w:qFormat/>
    <w:uiPriority w:val="99"/>
    <w:pPr>
      <w:ind w:firstLine="420" w:firstLineChars="200"/>
    </w:pPr>
  </w:style>
  <w:style w:type="paragraph" w:customStyle="1" w:styleId="4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8">
    <w:name w:val="纯文本 字符"/>
    <w:link w:val="14"/>
    <w:qFormat/>
    <w:uiPriority w:val="0"/>
    <w:rPr>
      <w:rFonts w:ascii="宋体" w:hAnsi="Courier New" w:cs="Courier New"/>
      <w:kern w:val="2"/>
      <w:sz w:val="21"/>
      <w:szCs w:val="21"/>
    </w:rPr>
  </w:style>
  <w:style w:type="character" w:customStyle="1" w:styleId="49">
    <w:name w:val="页脚 字符"/>
    <w:link w:val="18"/>
    <w:qFormat/>
    <w:uiPriority w:val="99"/>
    <w:rPr>
      <w:kern w:val="2"/>
      <w:sz w:val="18"/>
      <w:szCs w:val="24"/>
    </w:rPr>
  </w:style>
  <w:style w:type="character" w:customStyle="1" w:styleId="50">
    <w:name w:val="批注框文本 字符"/>
    <w:link w:val="17"/>
    <w:qFormat/>
    <w:uiPriority w:val="0"/>
    <w:rPr>
      <w:kern w:val="2"/>
      <w:sz w:val="18"/>
      <w:szCs w:val="18"/>
    </w:rPr>
  </w:style>
  <w:style w:type="character" w:customStyle="1" w:styleId="51">
    <w:name w:val="正文缩进 字符"/>
    <w:link w:val="8"/>
    <w:qFormat/>
    <w:uiPriority w:val="0"/>
    <w:rPr>
      <w:kern w:val="2"/>
      <w:sz w:val="21"/>
      <w:szCs w:val="24"/>
    </w:rPr>
  </w:style>
  <w:style w:type="character" w:customStyle="1" w:styleId="52">
    <w:name w:val="weby11"/>
    <w:qFormat/>
    <w:uiPriority w:val="0"/>
    <w:rPr>
      <w:sz w:val="18"/>
      <w:szCs w:val="18"/>
    </w:rPr>
  </w:style>
  <w:style w:type="character" w:customStyle="1" w:styleId="53">
    <w:name w:val="批注文字 字符"/>
    <w:link w:val="10"/>
    <w:qFormat/>
    <w:uiPriority w:val="0"/>
    <w:rPr>
      <w:kern w:val="2"/>
      <w:sz w:val="21"/>
      <w:szCs w:val="24"/>
    </w:rPr>
  </w:style>
  <w:style w:type="character" w:customStyle="1" w:styleId="54">
    <w:name w:val="页眉 字符"/>
    <w:link w:val="19"/>
    <w:qFormat/>
    <w:uiPriority w:val="99"/>
    <w:rPr>
      <w:kern w:val="2"/>
      <w:sz w:val="18"/>
      <w:szCs w:val="24"/>
    </w:rPr>
  </w:style>
  <w:style w:type="character" w:customStyle="1" w:styleId="55">
    <w:name w:val="正文文本 字符"/>
    <w:link w:val="12"/>
    <w:qFormat/>
    <w:uiPriority w:val="0"/>
    <w:rPr>
      <w:kern w:val="2"/>
      <w:sz w:val="21"/>
      <w:szCs w:val="24"/>
    </w:rPr>
  </w:style>
  <w:style w:type="character" w:customStyle="1" w:styleId="56">
    <w:name w:val="HTML 预设格式 Char1"/>
    <w:qFormat/>
    <w:uiPriority w:val="0"/>
    <w:rPr>
      <w:rFonts w:ascii="Courier New" w:hAnsi="Courier New" w:cs="Courier New"/>
      <w:kern w:val="2"/>
      <w:sz w:val="24"/>
      <w:szCs w:val="24"/>
    </w:rPr>
  </w:style>
  <w:style w:type="character" w:customStyle="1" w:styleId="57">
    <w:name w:val="无"/>
    <w:qFormat/>
    <w:uiPriority w:val="99"/>
  </w:style>
  <w:style w:type="character" w:customStyle="1" w:styleId="58">
    <w:name w:val="日期 字符"/>
    <w:link w:val="15"/>
    <w:qFormat/>
    <w:uiPriority w:val="0"/>
    <w:rPr>
      <w:kern w:val="2"/>
      <w:sz w:val="21"/>
      <w:szCs w:val="24"/>
    </w:rPr>
  </w:style>
  <w:style w:type="character" w:customStyle="1" w:styleId="59">
    <w:name w:val="批注主题 字符"/>
    <w:link w:val="25"/>
    <w:qFormat/>
    <w:uiPriority w:val="0"/>
    <w:rPr>
      <w:b/>
      <w:bCs/>
      <w:kern w:val="2"/>
      <w:sz w:val="21"/>
      <w:szCs w:val="24"/>
    </w:rPr>
  </w:style>
  <w:style w:type="character" w:customStyle="1" w:styleId="60">
    <w:name w:val="HTML 预设格式 字符"/>
    <w:link w:val="22"/>
    <w:qFormat/>
    <w:uiPriority w:val="0"/>
    <w:rPr>
      <w:rFonts w:ascii="黑体" w:hAnsi="Courier New" w:eastAsia="黑体"/>
    </w:rPr>
  </w:style>
  <w:style w:type="paragraph" w:customStyle="1" w:styleId="61">
    <w:name w:val="_Style 4"/>
    <w:basedOn w:val="3"/>
    <w:next w:val="1"/>
    <w:qFormat/>
    <w:uiPriority w:val="0"/>
    <w:pPr>
      <w:keepNext w:val="0"/>
      <w:keepLines w:val="0"/>
      <w:widowControl w:val="0"/>
      <w:spacing w:after="0" w:line="576" w:lineRule="auto"/>
      <w:ind w:left="0" w:right="0" w:firstLine="0"/>
      <w:jc w:val="left"/>
      <w:outlineLvl w:val="9"/>
    </w:pPr>
    <w:rPr>
      <w:rFonts w:ascii="Calibri" w:hAnsi="Calibri" w:cs="Times New Roman"/>
      <w:color w:val="auto"/>
      <w:kern w:val="0"/>
      <w:sz w:val="44"/>
      <w:szCs w:val="44"/>
      <w:lang w:eastAsia="en-US"/>
    </w:rPr>
  </w:style>
  <w:style w:type="character" w:customStyle="1" w:styleId="62">
    <w:name w:val="标题 5 字符"/>
    <w:basedOn w:val="29"/>
    <w:link w:val="7"/>
    <w:semiHidden/>
    <w:qFormat/>
    <w:uiPriority w:val="0"/>
    <w:rPr>
      <w:b/>
      <w:bCs/>
      <w:kern w:val="2"/>
      <w:sz w:val="28"/>
      <w:szCs w:val="28"/>
    </w:rPr>
  </w:style>
  <w:style w:type="paragraph" w:customStyle="1" w:styleId="63">
    <w:name w:val="正文缩进2格"/>
    <w:basedOn w:val="1"/>
    <w:qFormat/>
    <w:uiPriority w:val="0"/>
    <w:pPr>
      <w:widowControl/>
      <w:spacing w:line="600" w:lineRule="exact"/>
      <w:ind w:firstLine="639" w:firstLineChars="206"/>
      <w:jc w:val="left"/>
    </w:pPr>
    <w:rPr>
      <w:rFonts w:ascii="仿宋_GB2312" w:hAnsi="宋体" w:eastAsia="仿宋_GB2312"/>
      <w:kern w:val="0"/>
      <w:sz w:val="31"/>
      <w:szCs w:val="28"/>
    </w:rPr>
  </w:style>
  <w:style w:type="character" w:customStyle="1" w:styleId="64">
    <w:name w:val="标题 3 字符"/>
    <w:basedOn w:val="29"/>
    <w:link w:val="5"/>
    <w:qFormat/>
    <w:uiPriority w:val="0"/>
    <w:rPr>
      <w:b/>
      <w:bCs/>
      <w:kern w:val="2"/>
      <w:sz w:val="32"/>
      <w:szCs w:val="32"/>
    </w:rPr>
  </w:style>
  <w:style w:type="character" w:customStyle="1" w:styleId="65">
    <w:name w:val="标题 4 字符"/>
    <w:basedOn w:val="29"/>
    <w:link w:val="6"/>
    <w:qFormat/>
    <w:uiPriority w:val="0"/>
    <w:rPr>
      <w:rFonts w:ascii="Arial" w:hAnsi="Arial" w:eastAsia="黑体"/>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wmf"/><Relationship Id="rId15" Type="http://schemas.openxmlformats.org/officeDocument/2006/relationships/oleObject" Target="embeddings/oleObject2.bin"/><Relationship Id="rId14" Type="http://schemas.openxmlformats.org/officeDocument/2006/relationships/image" Target="media/image1.w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013A03-8604-4F61-BAFA-E84BC620E326}">
  <ds:schemaRefs/>
</ds:datastoreItem>
</file>

<file path=docProps/app.xml><?xml version="1.0" encoding="utf-8"?>
<Properties xmlns="http://schemas.openxmlformats.org/officeDocument/2006/extended-properties" xmlns:vt="http://schemas.openxmlformats.org/officeDocument/2006/docPropsVTypes">
  <Template>Normal.dotm</Template>
  <Pages>54</Pages>
  <Words>4051</Words>
  <Characters>23096</Characters>
  <Lines>192</Lines>
  <Paragraphs>54</Paragraphs>
  <TotalTime>15</TotalTime>
  <ScaleCrop>false</ScaleCrop>
  <LinksUpToDate>false</LinksUpToDate>
  <CharactersWithSpaces>27093</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2021-04-20T10:26:00Z</dcterms:created>
  <dc:creator>广州市净水有限公司水质检测中心</dc:creator>
  <cp:lastModifiedBy>林煜韩</cp:lastModifiedBy>
  <cp:lastPrinted>2021-04-20T08:06:00Z</cp:lastPrinted>
  <dcterms:modified xsi:type="dcterms:W3CDTF">2021-04-25T06:51:59Z</dcterms:modified>
  <dc:title>询价文件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22554F365A3B4D2FACF0BDDA68BD68C0</vt:lpwstr>
  </property>
</Properties>
</file>