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1600" w:lineRule="atLeast"/>
        <w:jc w:val="center"/>
        <w:rPr>
          <w:rFonts w:ascii="仿宋_GB2312" w:hAnsi="仿宋_GB2312" w:eastAsia="仿宋_GB2312" w:cs="仿宋_GB2312"/>
          <w:b/>
          <w:bCs/>
          <w:color w:val="000000" w:themeColor="text1"/>
          <w:sz w:val="72"/>
          <w14:textFill>
            <w14:solidFill>
              <w14:schemeClr w14:val="tx1"/>
            </w14:solidFill>
          </w14:textFill>
        </w:rPr>
      </w:pPr>
      <w:r>
        <w:rPr>
          <w:rFonts w:hint="eastAsia" w:ascii="仿宋_GB2312" w:hAnsi="仿宋_GB2312" w:eastAsia="仿宋_GB2312" w:cs="仿宋_GB2312"/>
          <w:b/>
          <w:bCs/>
          <w:color w:val="000000" w:themeColor="text1"/>
          <w:sz w:val="72"/>
          <w14:textFill>
            <w14:solidFill>
              <w14:schemeClr w14:val="tx1"/>
            </w14:solidFill>
          </w14:textFill>
        </w:rPr>
        <w:t>询价文件</w:t>
      </w:r>
    </w:p>
    <w:p>
      <w:pPr>
        <w:spacing w:line="500" w:lineRule="exact"/>
        <w:jc w:val="center"/>
        <w:rPr>
          <w:rFonts w:ascii="仿宋_GB2312" w:hAnsi="仿宋_GB2312" w:eastAsia="仿宋_GB2312" w:cs="仿宋_GB2312"/>
          <w:bCs/>
          <w:color w:val="000000" w:themeColor="text1"/>
          <w:sz w:val="24"/>
          <w:szCs w:val="28"/>
          <w14:textFill>
            <w14:solidFill>
              <w14:schemeClr w14:val="tx1"/>
            </w14:solidFill>
          </w14:textFill>
        </w:rPr>
      </w:pPr>
    </w:p>
    <w:p>
      <w:pPr>
        <w:spacing w:line="500" w:lineRule="exact"/>
        <w:jc w:val="left"/>
        <w:rPr>
          <w:rFonts w:ascii="仿宋_GB2312" w:hAnsi="仿宋_GB2312" w:eastAsia="仿宋_GB2312" w:cs="仿宋_GB2312"/>
          <w:b/>
          <w:bCs/>
          <w:color w:val="000000" w:themeColor="text1"/>
          <w:sz w:val="24"/>
          <w:szCs w:val="28"/>
          <w14:textFill>
            <w14:solidFill>
              <w14:schemeClr w14:val="tx1"/>
            </w14:solidFill>
          </w14:textFill>
        </w:rPr>
      </w:pPr>
    </w:p>
    <w:p>
      <w:pPr>
        <w:spacing w:line="500" w:lineRule="exact"/>
        <w:ind w:firstLine="320" w:firstLineChars="100"/>
        <w:jc w:val="left"/>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项目编号：</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XJ</w:t>
      </w:r>
      <w:r>
        <w:rPr>
          <w:rFonts w:hint="eastAsia" w:ascii="仿宋_GB2312" w:hAnsi="仿宋_GB2312" w:eastAsia="仿宋_GB2312" w:cs="仿宋_GB2312"/>
          <w:b/>
          <w:bCs/>
          <w:color w:val="000000" w:themeColor="text1"/>
          <w:sz w:val="32"/>
          <w:szCs w:val="32"/>
          <w14:textFill>
            <w14:solidFill>
              <w14:schemeClr w14:val="tx1"/>
            </w14:solidFill>
          </w14:textFill>
        </w:rPr>
        <w:t>-2021</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0914-1</w:t>
      </w:r>
    </w:p>
    <w:p>
      <w:pPr>
        <w:spacing w:line="500" w:lineRule="exact"/>
        <w:ind w:left="0" w:leftChars="0" w:firstLine="320" w:firstLineChars="100"/>
        <w:jc w:val="left"/>
        <w:rPr>
          <w:rFonts w:hint="eastAsia"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项目名称：</w:t>
      </w:r>
      <w:r>
        <w:rPr>
          <w:rFonts w:hint="eastAsia" w:ascii="仿宋_GB2312" w:hAnsi="仿宋_GB2312" w:eastAsia="仿宋_GB2312" w:cs="仿宋_GB2312"/>
          <w:b/>
          <w:bCs/>
          <w:color w:val="000000" w:themeColor="text1"/>
          <w:sz w:val="32"/>
          <w:szCs w:val="32"/>
          <w14:textFill>
            <w14:solidFill>
              <w14:schemeClr w14:val="tx1"/>
            </w14:solidFill>
          </w14:textFill>
        </w:rPr>
        <w:t>广州市净水有限公司石井净水厂</w:t>
      </w:r>
      <w:r>
        <w:rPr>
          <w:rFonts w:ascii="仿宋_GB2312" w:hAnsi="仿宋_GB2312" w:eastAsia="仿宋_GB2312" w:cs="仿宋_GB2312"/>
          <w:b/>
          <w:bCs/>
          <w:color w:val="000000" w:themeColor="text1"/>
          <w:sz w:val="32"/>
          <w:szCs w:val="32"/>
          <w14:textFill>
            <w14:solidFill>
              <w14:schemeClr w14:val="tx1"/>
            </w14:solidFill>
          </w14:textFill>
        </w:rPr>
        <w:t>地块</w:t>
      </w:r>
      <w:r>
        <w:rPr>
          <w:rFonts w:hint="eastAsia" w:ascii="仿宋_GB2312" w:hAnsi="仿宋_GB2312" w:eastAsia="仿宋_GB2312" w:cs="仿宋_GB2312"/>
          <w:b/>
          <w:bCs/>
          <w:color w:val="000000" w:themeColor="text1"/>
          <w:sz w:val="32"/>
          <w:szCs w:val="32"/>
          <w14:textFill>
            <w14:solidFill>
              <w14:schemeClr w14:val="tx1"/>
            </w14:solidFill>
          </w14:textFill>
        </w:rPr>
        <w:t>控制性详细</w:t>
      </w:r>
    </w:p>
    <w:p>
      <w:pPr>
        <w:spacing w:line="500" w:lineRule="exact"/>
        <w:ind w:left="0" w:leftChars="0" w:firstLine="1920" w:firstLineChars="600"/>
        <w:jc w:val="left"/>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规划阶段海绵城市（含防洪排涝风险评估）专篇</w:t>
      </w:r>
    </w:p>
    <w:p>
      <w:pPr>
        <w:spacing w:line="500" w:lineRule="exact"/>
        <w:ind w:left="0" w:leftChars="0" w:firstLine="1920" w:firstLineChars="600"/>
        <w:jc w:val="left"/>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编制</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第二次</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p>
    <w:p>
      <w:pPr>
        <w:spacing w:line="500" w:lineRule="exact"/>
        <w:jc w:val="center"/>
        <w:rPr>
          <w:rFonts w:ascii="仿宋_GB2312" w:hAnsi="仿宋_GB2312" w:eastAsia="仿宋_GB2312" w:cs="仿宋_GB2312"/>
          <w:b/>
          <w:bCs/>
          <w:color w:val="000000" w:themeColor="text1"/>
          <w14:textFill>
            <w14:solidFill>
              <w14:schemeClr w14:val="tx1"/>
            </w14:solidFill>
          </w14:textFill>
        </w:rPr>
      </w:pPr>
    </w:p>
    <w:p>
      <w:pPr>
        <w:spacing w:line="500" w:lineRule="exact"/>
        <w:jc w:val="center"/>
        <w:rPr>
          <w:rFonts w:ascii="仿宋_GB2312" w:hAnsi="仿宋_GB2312" w:eastAsia="仿宋_GB2312" w:cs="仿宋_GB2312"/>
          <w:b/>
          <w:bCs/>
          <w:color w:val="000000" w:themeColor="text1"/>
          <w:sz w:val="72"/>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bCs/>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bCs/>
          <w:color w:val="000000" w:themeColor="text1"/>
          <w:sz w:val="36"/>
          <w14:textFill>
            <w14:solidFill>
              <w14:schemeClr w14:val="tx1"/>
            </w14:solidFill>
          </w14:textFill>
        </w:rPr>
      </w:pPr>
      <w:r>
        <w:rPr>
          <w:rFonts w:ascii="仿宋_GB2312" w:hAnsi="仿宋_GB2312" w:eastAsia="仿宋_GB2312" w:cs="仿宋_GB2312"/>
          <w:b/>
          <w:bCs/>
          <w:color w:val="000000" w:themeColor="text1"/>
          <w:sz w:val="36"/>
          <w14:textFill>
            <w14:solidFill>
              <w14:schemeClr w14:val="tx1"/>
            </w14:solidFill>
          </w14:textFill>
        </w:rPr>
        <w:t xml:space="preserve"> 广州市净水有限公司编制</w:t>
      </w:r>
    </w:p>
    <w:p>
      <w:pPr>
        <w:spacing w:line="360" w:lineRule="auto"/>
        <w:jc w:val="center"/>
        <w:rPr>
          <w:rFonts w:ascii="仿宋_GB2312" w:hAnsi="仿宋_GB2312" w:eastAsia="仿宋_GB2312" w:cs="仿宋_GB2312"/>
          <w:color w:val="000000" w:themeColor="text1"/>
          <w:sz w:val="28"/>
          <w:szCs w:val="28"/>
          <w14:textFill>
            <w14:solidFill>
              <w14:schemeClr w14:val="tx1"/>
            </w14:solidFill>
          </w14:textFill>
        </w:rPr>
      </w:pPr>
    </w:p>
    <w:p>
      <w:pPr>
        <w:spacing w:line="360" w:lineRule="auto"/>
        <w:jc w:val="center"/>
        <w:rPr>
          <w:rFonts w:ascii="仿宋_GB2312" w:hAnsi="仿宋_GB2312" w:eastAsia="仿宋_GB2312" w:cs="仿宋_GB2312"/>
          <w:b/>
          <w:bCs/>
          <w:color w:val="000000" w:themeColor="text1"/>
          <w:sz w:val="28"/>
          <w14:textFill>
            <w14:solidFill>
              <w14:schemeClr w14:val="tx1"/>
            </w14:solidFill>
          </w14:textFill>
        </w:rPr>
      </w:pPr>
      <w:r>
        <w:rPr>
          <w:rFonts w:hint="eastAsia" w:ascii="仿宋_GB2312" w:hAnsi="仿宋_GB2312" w:eastAsia="仿宋_GB2312" w:cs="仿宋_GB2312"/>
          <w:b/>
          <w:bCs/>
          <w:color w:val="000000" w:themeColor="text1"/>
          <w:sz w:val="28"/>
          <w14:textFill>
            <w14:solidFill>
              <w14:schemeClr w14:val="tx1"/>
            </w14:solidFill>
          </w14:textFill>
        </w:rPr>
        <w:t>发布日期：</w:t>
      </w:r>
      <w:r>
        <w:rPr>
          <w:rFonts w:ascii="仿宋_GB2312" w:hAnsi="仿宋_GB2312" w:eastAsia="仿宋_GB2312" w:cs="仿宋_GB2312"/>
          <w:b/>
          <w:bCs/>
          <w:color w:val="000000" w:themeColor="text1"/>
          <w:sz w:val="28"/>
          <w14:textFill>
            <w14:solidFill>
              <w14:schemeClr w14:val="tx1"/>
            </w14:solidFill>
          </w14:textFill>
        </w:rPr>
        <w:t>202</w:t>
      </w:r>
      <w:r>
        <w:rPr>
          <w:rFonts w:hint="eastAsia" w:ascii="仿宋_GB2312" w:hAnsi="仿宋_GB2312" w:eastAsia="仿宋_GB2312" w:cs="仿宋_GB2312"/>
          <w:b/>
          <w:bCs/>
          <w:color w:val="000000" w:themeColor="text1"/>
          <w:sz w:val="28"/>
          <w14:textFill>
            <w14:solidFill>
              <w14:schemeClr w14:val="tx1"/>
            </w14:solidFill>
          </w14:textFill>
        </w:rPr>
        <w:t>1</w:t>
      </w:r>
      <w:r>
        <w:rPr>
          <w:rFonts w:ascii="仿宋_GB2312" w:hAnsi="仿宋_GB2312" w:eastAsia="仿宋_GB2312" w:cs="仿宋_GB2312"/>
          <w:b/>
          <w:bCs/>
          <w:color w:val="000000" w:themeColor="text1"/>
          <w:sz w:val="28"/>
          <w14:textFill>
            <w14:solidFill>
              <w14:schemeClr w14:val="tx1"/>
            </w14:solidFill>
          </w14:textFill>
        </w:rPr>
        <w:t>年</w:t>
      </w:r>
      <w:r>
        <w:rPr>
          <w:rFonts w:hint="eastAsia" w:ascii="仿宋_GB2312" w:hAnsi="仿宋_GB2312" w:eastAsia="仿宋_GB2312" w:cs="仿宋_GB2312"/>
          <w:b/>
          <w:bCs/>
          <w:color w:val="000000" w:themeColor="text1"/>
          <w:sz w:val="28"/>
          <w:lang w:val="en-US" w:eastAsia="zh-CN"/>
          <w14:textFill>
            <w14:solidFill>
              <w14:schemeClr w14:val="tx1"/>
            </w14:solidFill>
          </w14:textFill>
        </w:rPr>
        <w:t>9</w:t>
      </w:r>
      <w:r>
        <w:rPr>
          <w:rFonts w:ascii="仿宋_GB2312" w:hAnsi="仿宋_GB2312" w:eastAsia="仿宋_GB2312" w:cs="仿宋_GB2312"/>
          <w:b/>
          <w:bCs/>
          <w:color w:val="000000" w:themeColor="text1"/>
          <w:sz w:val="28"/>
          <w14:textFill>
            <w14:solidFill>
              <w14:schemeClr w14:val="tx1"/>
            </w14:solidFill>
          </w14:textFill>
        </w:rPr>
        <w:t>月</w:t>
      </w:r>
      <w:r>
        <w:rPr>
          <w:rFonts w:hint="eastAsia" w:ascii="仿宋_GB2312" w:hAnsi="仿宋_GB2312" w:eastAsia="仿宋_GB2312" w:cs="仿宋_GB2312"/>
          <w:b/>
          <w:bCs/>
          <w:color w:val="000000" w:themeColor="text1"/>
          <w:sz w:val="28"/>
          <w:lang w:val="en-US" w:eastAsia="zh-CN"/>
          <w14:textFill>
            <w14:solidFill>
              <w14:schemeClr w14:val="tx1"/>
            </w14:solidFill>
          </w14:textFill>
        </w:rPr>
        <w:t>14</w:t>
      </w:r>
      <w:r>
        <w:rPr>
          <w:rFonts w:ascii="仿宋_GB2312" w:hAnsi="仿宋_GB2312" w:eastAsia="仿宋_GB2312" w:cs="仿宋_GB2312"/>
          <w:b/>
          <w:bCs/>
          <w:color w:val="000000" w:themeColor="text1"/>
          <w:sz w:val="28"/>
          <w14:textFill>
            <w14:solidFill>
              <w14:schemeClr w14:val="tx1"/>
            </w14:solidFill>
          </w14:textFill>
        </w:rPr>
        <w:t>日</w:t>
      </w:r>
    </w:p>
    <w:p>
      <w:pPr>
        <w:rPr>
          <w:rFonts w:ascii="仿宋_GB2312" w:hAnsi="仿宋_GB2312" w:eastAsia="仿宋_GB2312" w:cs="仿宋_GB2312"/>
          <w:color w:val="000000" w:themeColor="text1"/>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pageBreakBefore/>
        <w:jc w:val="center"/>
        <w:rPr>
          <w:rFonts w:ascii="仿宋_GB2312" w:hAnsi="仿宋_GB2312" w:eastAsia="仿宋_GB2312" w:cs="仿宋_GB2312"/>
          <w:b/>
          <w:bCs/>
          <w:cap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目录</w:t>
      </w:r>
      <w:r>
        <w:rPr>
          <w:rFonts w:ascii="仿宋_GB2312" w:hAnsi="仿宋_GB2312" w:eastAsia="仿宋_GB2312" w:cs="仿宋_GB2312"/>
          <w:b/>
          <w:bCs/>
          <w:caps/>
          <w:color w:val="000000" w:themeColor="text1"/>
          <w:sz w:val="28"/>
          <w:szCs w:val="28"/>
          <w14:textFill>
            <w14:solidFill>
              <w14:schemeClr w14:val="tx1"/>
            </w14:solidFill>
          </w14:textFill>
        </w:rPr>
        <w:br w:type="textWrapping"/>
      </w:r>
    </w:p>
    <w:p>
      <w:pPr>
        <w:pStyle w:val="14"/>
        <w:tabs>
          <w:tab w:val="right" w:leader="dot" w:pos="9174"/>
        </w:tabs>
        <w:spacing w:line="36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第一部分报价邀请函</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第二部分项目内容</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第三部分报价须知</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第四部分合同书格式</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第五部分响应文件格式</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第六部分附件</w:t>
      </w: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b/>
          <w:color w:val="000000" w:themeColor="text1"/>
          <w:sz w:val="28"/>
          <w:szCs w:val="28"/>
          <w14:textFill>
            <w14:solidFill>
              <w14:schemeClr w14:val="tx1"/>
            </w14:solidFill>
          </w14:textFill>
        </w:rPr>
      </w:pPr>
    </w:p>
    <w:p>
      <w:pPr>
        <w:autoSpaceDE w:val="0"/>
        <w:autoSpaceDN w:val="0"/>
        <w:adjustRightInd w:val="0"/>
        <w:snapToGrid w:val="0"/>
        <w:spacing w:line="300" w:lineRule="auto"/>
        <w:ind w:right="32"/>
        <w:rPr>
          <w:rFonts w:ascii="仿宋_GB2312" w:hAnsi="仿宋_GB2312" w:eastAsia="仿宋_GB2312" w:cs="仿宋_GB2312"/>
          <w:color w:val="000000" w:themeColor="text1"/>
          <w:kern w:val="0"/>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jc w:val="center"/>
        <w:rPr>
          <w:rFonts w:ascii="仿宋" w:hAnsi="仿宋" w:eastAsia="仿宋" w:cs="仿宋_GB2312"/>
          <w:b/>
          <w:color w:val="000000" w:themeColor="text1"/>
          <w:kern w:val="0"/>
          <w:sz w:val="28"/>
          <w:szCs w:val="28"/>
          <w14:textFill>
            <w14:solidFill>
              <w14:schemeClr w14:val="tx1"/>
            </w14:solidFill>
          </w14:textFill>
        </w:rPr>
      </w:pPr>
      <w:r>
        <w:rPr>
          <w:rFonts w:hint="eastAsia" w:ascii="仿宋" w:hAnsi="仿宋" w:eastAsia="仿宋" w:cs="仿宋_GB2312"/>
          <w:b/>
          <w:color w:val="000000" w:themeColor="text1"/>
          <w:kern w:val="0"/>
          <w:sz w:val="28"/>
          <w:szCs w:val="28"/>
          <w14:textFill>
            <w14:solidFill>
              <w14:schemeClr w14:val="tx1"/>
            </w14:solidFill>
          </w14:textFill>
        </w:rPr>
        <w:t>第一部分报价邀请函</w:t>
      </w:r>
    </w:p>
    <w:p>
      <w:pPr>
        <w:ind w:firstLine="478" w:firstLineChars="171"/>
        <w:rPr>
          <w:rFonts w:ascii="仿宋_GB2312" w:hAnsi="仿宋_GB2312" w:eastAsia="仿宋_GB2312" w:cs="仿宋_GB2312"/>
          <w:color w:val="000000" w:themeColor="text1"/>
          <w:kern w:val="0"/>
          <w:sz w:val="28"/>
          <w:szCs w:val="28"/>
          <w14:textFill>
            <w14:solidFill>
              <w14:schemeClr w14:val="tx1"/>
            </w14:solidFill>
          </w14:textFill>
        </w:rPr>
      </w:pPr>
    </w:p>
    <w:p>
      <w:pP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各报价单位</w:t>
      </w:r>
      <w:r>
        <w:rPr>
          <w:rFonts w:ascii="仿宋_GB2312" w:hAnsi="仿宋_GB2312" w:eastAsia="仿宋_GB2312" w:cs="仿宋_GB2312"/>
          <w:color w:val="000000" w:themeColor="text1"/>
          <w:kern w:val="0"/>
          <w:sz w:val="28"/>
          <w:szCs w:val="28"/>
          <w14:textFill>
            <w14:solidFill>
              <w14:schemeClr w14:val="tx1"/>
            </w14:solidFill>
          </w14:textFill>
        </w:rPr>
        <w:t>:</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现我公司对</w:t>
      </w:r>
      <w:r>
        <w:rPr>
          <w:rFonts w:hint="eastAsia" w:ascii="仿宋_GB2312" w:hAnsi="仿宋_GB2312" w:eastAsia="仿宋_GB2312" w:cs="仿宋_GB2312"/>
          <w:color w:val="000000" w:themeColor="text1"/>
          <w:sz w:val="28"/>
          <w:szCs w:val="28"/>
          <w:u w:val="single"/>
          <w14:textFill>
            <w14:solidFill>
              <w14:schemeClr w14:val="tx1"/>
            </w14:solidFill>
          </w14:textFill>
        </w:rPr>
        <w:t>石井净水厂</w:t>
      </w:r>
      <w:r>
        <w:rPr>
          <w:rFonts w:ascii="仿宋_GB2312" w:hAnsi="仿宋_GB2312" w:eastAsia="仿宋_GB2312" w:cs="仿宋_GB2312"/>
          <w:color w:val="000000" w:themeColor="text1"/>
          <w:sz w:val="28"/>
          <w:szCs w:val="28"/>
          <w:u w:val="single"/>
          <w14:textFill>
            <w14:solidFill>
              <w14:schemeClr w14:val="tx1"/>
            </w14:solidFill>
          </w14:textFill>
        </w:rPr>
        <w:t>地块</w:t>
      </w:r>
      <w:r>
        <w:rPr>
          <w:rFonts w:hint="eastAsia" w:ascii="仿宋_GB2312" w:hAnsi="仿宋_GB2312" w:eastAsia="仿宋_GB2312" w:cs="仿宋_GB2312"/>
          <w:color w:val="000000" w:themeColor="text1"/>
          <w:sz w:val="28"/>
          <w:szCs w:val="28"/>
          <w:u w:val="single"/>
          <w14:textFill>
            <w14:solidFill>
              <w14:schemeClr w14:val="tx1"/>
            </w14:solidFill>
          </w14:textFill>
        </w:rPr>
        <w:t>控制性详细规划阶段海绵城市（含防洪排涝风险评估）专篇编制</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第二次</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进行询价，欢迎符合资格条件的报价单位参加。</w:t>
      </w:r>
    </w:p>
    <w:p>
      <w:pPr>
        <w:autoSpaceDE w:val="0"/>
        <w:autoSpaceDN w:val="0"/>
        <w:ind w:firstLine="560" w:firstLineChars="200"/>
        <w:rPr>
          <w:rFonts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一、资金计划：</w:t>
      </w:r>
      <w:r>
        <w:rPr>
          <w:rFonts w:hint="eastAsia" w:ascii="仿宋" w:hAnsi="仿宋" w:eastAsia="仿宋" w:cs="仿宋_GB2312"/>
          <w:sz w:val="28"/>
          <w:szCs w:val="28"/>
        </w:rPr>
        <w:t>自筹资金</w:t>
      </w:r>
    </w:p>
    <w:p>
      <w:pPr>
        <w:autoSpaceDE w:val="0"/>
        <w:autoSpaceDN w:val="0"/>
        <w:ind w:firstLine="560" w:firstLineChars="200"/>
        <w:rPr>
          <w:rFonts w:ascii="仿宋_GB2312" w:hAnsi="仿宋_GB2312" w:eastAsia="仿宋_GB2312" w:cs="仿宋_GB2312"/>
          <w:color w:val="000000" w:themeColor="text1"/>
          <w:sz w:val="28"/>
          <w:szCs w:val="28"/>
          <w:highlight w:val="yellow"/>
          <w:u w:val="singl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w:t>
      </w:r>
      <w:r>
        <w:rPr>
          <w:rFonts w:hint="eastAsia" w:ascii="仿宋_GB2312" w:hAnsi="仿宋_GB2312" w:eastAsia="仿宋_GB2312" w:cs="仿宋_GB2312"/>
          <w:color w:val="000000" w:themeColor="text1"/>
          <w:sz w:val="28"/>
          <w:szCs w:val="28"/>
          <w:lang w:val="zh-CN"/>
          <w14:textFill>
            <w14:solidFill>
              <w14:schemeClr w14:val="tx1"/>
            </w14:solidFill>
          </w14:textFill>
        </w:rPr>
        <w:t>、项目编号：</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XJ</w:t>
      </w:r>
      <w:r>
        <w:rPr>
          <w:rFonts w:hint="eastAsia" w:ascii="仿宋_GB2312" w:hAnsi="仿宋_GB2312" w:eastAsia="仿宋_GB2312" w:cs="仿宋_GB2312"/>
          <w:color w:val="000000" w:themeColor="text1"/>
          <w:sz w:val="28"/>
          <w:szCs w:val="28"/>
          <w14:textFill>
            <w14:solidFill>
              <w14:schemeClr w14:val="tx1"/>
            </w14:solidFill>
          </w14:textFill>
        </w:rPr>
        <w:t>-2021</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0914-1</w:t>
      </w:r>
    </w:p>
    <w:p>
      <w:pPr>
        <w:autoSpaceDE w:val="0"/>
        <w:autoSpaceDN w:val="0"/>
        <w:ind w:firstLine="560" w:firstLineChars="200"/>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三、项目名称：</w:t>
      </w:r>
      <w:r>
        <w:rPr>
          <w:rFonts w:hint="eastAsia" w:ascii="仿宋_GB2312" w:hAnsi="仿宋_GB2312" w:eastAsia="仿宋_GB2312" w:cs="仿宋_GB2312"/>
          <w:color w:val="000000" w:themeColor="text1"/>
          <w:sz w:val="28"/>
          <w:szCs w:val="28"/>
          <w:u w:val="single"/>
          <w14:textFill>
            <w14:solidFill>
              <w14:schemeClr w14:val="tx1"/>
            </w14:solidFill>
          </w14:textFill>
        </w:rPr>
        <w:t>广州市净水有限公司石井净水厂</w:t>
      </w:r>
      <w:r>
        <w:rPr>
          <w:rFonts w:ascii="仿宋_GB2312" w:hAnsi="仿宋_GB2312" w:eastAsia="仿宋_GB2312" w:cs="仿宋_GB2312"/>
          <w:color w:val="000000" w:themeColor="text1"/>
          <w:sz w:val="28"/>
          <w:szCs w:val="28"/>
          <w:u w:val="single"/>
          <w14:textFill>
            <w14:solidFill>
              <w14:schemeClr w14:val="tx1"/>
            </w14:solidFill>
          </w14:textFill>
        </w:rPr>
        <w:t>地块</w:t>
      </w:r>
      <w:r>
        <w:rPr>
          <w:rFonts w:hint="eastAsia" w:ascii="仿宋_GB2312" w:hAnsi="仿宋_GB2312" w:eastAsia="仿宋_GB2312" w:cs="仿宋_GB2312"/>
          <w:color w:val="000000" w:themeColor="text1"/>
          <w:sz w:val="28"/>
          <w:szCs w:val="28"/>
          <w:u w:val="single"/>
          <w14:textFill>
            <w14:solidFill>
              <w14:schemeClr w14:val="tx1"/>
            </w14:solidFill>
          </w14:textFill>
        </w:rPr>
        <w:t>控制性详细规划阶段海绵城市（含防洪排涝风险评估）专篇编制</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第二次</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w:t>
      </w:r>
    </w:p>
    <w:p>
      <w:pPr>
        <w:autoSpaceDE w:val="0"/>
        <w:autoSpaceDN w:val="0"/>
        <w:ind w:firstLine="560" w:firstLineChars="200"/>
        <w:rPr>
          <w:rFonts w:ascii="仿宋_GB2312" w:hAnsi="仿宋_GB2312" w:eastAsia="仿宋_GB2312" w:cs="仿宋_GB2312"/>
          <w:color w:val="000000" w:themeColor="text1"/>
          <w:sz w:val="28"/>
          <w:szCs w:val="28"/>
          <w:u w:val="single"/>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四、最高限价</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u w:val="single"/>
          <w14:textFill>
            <w14:solidFill>
              <w14:schemeClr w14:val="tx1"/>
            </w14:solidFill>
          </w14:textFill>
        </w:rPr>
        <w:t>40万元</w:t>
      </w:r>
    </w:p>
    <w:p>
      <w:pPr>
        <w:ind w:firstLine="602" w:firstLineChars="215"/>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highlight w:val="none"/>
        </w:rPr>
        <w:t>五</w:t>
      </w:r>
      <w:r>
        <w:rPr>
          <w:rFonts w:hint="eastAsia" w:ascii="仿宋_GB2312" w:hAnsi="仿宋_GB2312" w:eastAsia="仿宋_GB2312" w:cs="仿宋_GB2312"/>
          <w:color w:val="auto"/>
          <w:sz w:val="28"/>
          <w:szCs w:val="28"/>
          <w:highlight w:val="none"/>
          <w:lang w:val="zh-CN"/>
        </w:rPr>
        <w:t>、</w:t>
      </w:r>
      <w:r>
        <w:rPr>
          <w:rFonts w:hint="eastAsia" w:ascii="仿宋_GB2312" w:hAnsi="仿宋_GB2312" w:eastAsia="仿宋_GB2312" w:cs="仿宋_GB2312"/>
          <w:color w:val="auto"/>
          <w:sz w:val="28"/>
          <w:szCs w:val="28"/>
          <w:highlight w:val="none"/>
        </w:rPr>
        <w:t>项目内容及需求：为盘</w:t>
      </w:r>
      <w:r>
        <w:rPr>
          <w:rFonts w:hint="eastAsia" w:ascii="仿宋_GB2312" w:hAnsi="仿宋_GB2312" w:eastAsia="仿宋_GB2312" w:cs="仿宋_GB2312"/>
          <w:color w:val="auto"/>
          <w:sz w:val="28"/>
          <w:szCs w:val="28"/>
        </w:rPr>
        <w:t>活现有土地资源，拓宽产业领域盈利渠道，按石井净水厂地块综合开发方案，目前正开展石井净水厂地块控规调整工作。</w:t>
      </w:r>
      <w:r>
        <w:rPr>
          <w:rFonts w:ascii="仿宋_GB2312" w:hAnsi="仿宋_GB2312" w:eastAsia="仿宋_GB2312" w:cs="仿宋_GB2312"/>
          <w:color w:val="auto"/>
          <w:sz w:val="28"/>
          <w:szCs w:val="28"/>
        </w:rPr>
        <w:t>根据《广州市城市开发建设项目海绵城市建设-洪涝安全评估技术指引（试行）》、《广州市水务局关于进一步加强控制性详细规划阶段涉水管控要求的函》、《广州市水务局关于印发海绵城市建设——控制性详细规划阶段洪涝安全评估审查要点的通知》、《广州市海绵城市建设领导小组办公室关于印发广州市海绵城市建设专篇编制要点的通知》等要求，</w:t>
      </w:r>
      <w:r>
        <w:rPr>
          <w:rFonts w:hint="eastAsia" w:ascii="仿宋_GB2312" w:hAnsi="仿宋_GB2312" w:eastAsia="仿宋_GB2312" w:cs="仿宋_GB2312"/>
          <w:color w:val="auto"/>
          <w:sz w:val="28"/>
          <w:szCs w:val="28"/>
        </w:rPr>
        <w:t>现拟</w:t>
      </w:r>
      <w:r>
        <w:rPr>
          <w:rFonts w:ascii="仿宋_GB2312" w:hAnsi="仿宋_GB2312" w:eastAsia="仿宋_GB2312" w:cs="仿宋_GB2312"/>
          <w:color w:val="auto"/>
          <w:sz w:val="28"/>
          <w:szCs w:val="28"/>
        </w:rPr>
        <w:t>在控制性详细规划中</w:t>
      </w:r>
      <w:r>
        <w:rPr>
          <w:rFonts w:hint="eastAsia" w:ascii="仿宋_GB2312" w:hAnsi="仿宋_GB2312" w:eastAsia="仿宋_GB2312" w:cs="仿宋_GB2312"/>
          <w:color w:val="auto"/>
          <w:sz w:val="28"/>
          <w:szCs w:val="28"/>
        </w:rPr>
        <w:t>增加</w:t>
      </w:r>
      <w:r>
        <w:rPr>
          <w:rFonts w:ascii="仿宋_GB2312" w:hAnsi="仿宋_GB2312" w:eastAsia="仿宋_GB2312" w:cs="仿宋_GB2312"/>
          <w:color w:val="auto"/>
          <w:sz w:val="28"/>
          <w:szCs w:val="28"/>
        </w:rPr>
        <w:t>海绵城市(含防洪排涝风险评估)专篇，作为控规批复</w:t>
      </w:r>
      <w:r>
        <w:rPr>
          <w:rFonts w:hint="eastAsia" w:ascii="仿宋_GB2312" w:hAnsi="仿宋_GB2312" w:eastAsia="仿宋_GB2312" w:cs="仿宋_GB2312"/>
          <w:color w:val="auto"/>
          <w:sz w:val="28"/>
          <w:szCs w:val="28"/>
        </w:rPr>
        <w:t>及</w:t>
      </w:r>
      <w:r>
        <w:rPr>
          <w:rFonts w:ascii="仿宋_GB2312" w:hAnsi="仿宋_GB2312" w:eastAsia="仿宋_GB2312" w:cs="仿宋_GB2312"/>
          <w:color w:val="auto"/>
          <w:sz w:val="28"/>
          <w:szCs w:val="28"/>
        </w:rPr>
        <w:t>后续规划条件发放的依据。</w:t>
      </w:r>
    </w:p>
    <w:p>
      <w:pPr>
        <w:autoSpaceDE w:val="0"/>
        <w:autoSpaceDN w:val="0"/>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六、报价单位资格要求：</w:t>
      </w:r>
    </w:p>
    <w:p>
      <w:pPr>
        <w:pStyle w:val="28"/>
        <w:autoSpaceDE w:val="0"/>
        <w:autoSpaceDN w:val="0"/>
        <w:ind w:firstLine="560"/>
        <w:jc w:val="left"/>
        <w:rPr>
          <w:rFonts w:ascii="仿宋_GB2312" w:hAnsi="仿宋_GB2312" w:eastAsia="仿宋_GB2312" w:cs="仿宋_GB2312"/>
          <w:color w:val="auto"/>
          <w:sz w:val="28"/>
          <w:szCs w:val="28"/>
          <w:u w:val="single"/>
        </w:rPr>
      </w:pPr>
      <w:r>
        <w:rPr>
          <w:rFonts w:ascii="仿宋_GB2312" w:hAnsi="仿宋_GB2312" w:eastAsia="仿宋_GB2312" w:cs="仿宋_GB2312"/>
          <w:color w:val="auto"/>
          <w:sz w:val="28"/>
          <w:szCs w:val="28"/>
          <w:u w:val="single"/>
        </w:rPr>
        <w:t>1</w:t>
      </w:r>
      <w:r>
        <w:rPr>
          <w:rFonts w:hint="eastAsia" w:ascii="仿宋_GB2312" w:hAnsi="仿宋_GB2312" w:eastAsia="仿宋_GB2312" w:cs="仿宋_GB2312"/>
          <w:color w:val="auto"/>
          <w:sz w:val="28"/>
          <w:szCs w:val="28"/>
          <w:u w:val="single"/>
          <w:lang w:val="en-US" w:eastAsia="zh-CN"/>
        </w:rPr>
        <w:t>.</w:t>
      </w:r>
      <w:r>
        <w:rPr>
          <w:rFonts w:hint="eastAsia" w:ascii="仿宋_GB2312" w:hAnsi="仿宋_GB2312" w:eastAsia="仿宋_GB2312" w:cs="仿宋_GB2312"/>
          <w:color w:val="auto"/>
          <w:sz w:val="28"/>
          <w:szCs w:val="28"/>
          <w:u w:val="single"/>
        </w:rPr>
        <w:t>报价单位须是中华人民共和国境内的法人或者其他组织，具有独立法人资格，能开具增值税专用发票，持有工商行政管理部门核发的法人营业执照或各级登记管理机关颁发的事业单位法定代表人证。</w:t>
      </w:r>
    </w:p>
    <w:p>
      <w:pPr>
        <w:pStyle w:val="28"/>
        <w:autoSpaceDE w:val="0"/>
        <w:autoSpaceDN w:val="0"/>
        <w:ind w:firstLine="560"/>
        <w:jc w:val="left"/>
        <w:rPr>
          <w:rFonts w:ascii="仿宋_GB2312" w:hAnsi="仿宋_GB2312" w:eastAsia="仿宋_GB2312" w:cs="仿宋_GB2312"/>
          <w:color w:val="auto"/>
          <w:sz w:val="28"/>
          <w:szCs w:val="28"/>
          <w:u w:val="single"/>
        </w:rPr>
      </w:pPr>
      <w:r>
        <w:rPr>
          <w:rFonts w:ascii="仿宋_GB2312" w:hAnsi="仿宋_GB2312" w:eastAsia="仿宋_GB2312" w:cs="仿宋_GB2312"/>
          <w:color w:val="auto"/>
          <w:sz w:val="28"/>
          <w:szCs w:val="28"/>
          <w:u w:val="single"/>
        </w:rPr>
        <w:t>2</w:t>
      </w:r>
      <w:r>
        <w:rPr>
          <w:rFonts w:hint="eastAsia" w:ascii="仿宋_GB2312" w:hAnsi="仿宋_GB2312" w:eastAsia="仿宋_GB2312" w:cs="仿宋_GB2312"/>
          <w:color w:val="auto"/>
          <w:sz w:val="28"/>
          <w:szCs w:val="28"/>
          <w:u w:val="single"/>
          <w:lang w:val="en-US" w:eastAsia="zh-CN"/>
        </w:rPr>
        <w:t>.</w:t>
      </w:r>
      <w:r>
        <w:rPr>
          <w:rFonts w:hint="eastAsia" w:ascii="仿宋_GB2312" w:hAnsi="仿宋_GB2312" w:eastAsia="仿宋_GB2312" w:cs="仿宋_GB2312"/>
          <w:color w:val="auto"/>
          <w:sz w:val="28"/>
          <w:szCs w:val="28"/>
          <w:u w:val="single"/>
        </w:rPr>
        <w:t>拟派项目负责人</w:t>
      </w:r>
      <w:r>
        <w:rPr>
          <w:rFonts w:hint="eastAsia" w:ascii="仿宋_GB2312" w:hAnsi="仿宋_GB2312" w:eastAsia="仿宋_GB2312" w:cs="仿宋_GB2312"/>
          <w:color w:val="auto"/>
          <w:sz w:val="28"/>
          <w:szCs w:val="28"/>
          <w:u w:val="single"/>
          <w:lang w:val="en-US" w:eastAsia="zh-CN"/>
        </w:rPr>
        <w:t>须</w:t>
      </w:r>
      <w:r>
        <w:rPr>
          <w:rFonts w:hint="eastAsia" w:ascii="仿宋_GB2312" w:hAnsi="仿宋_GB2312" w:eastAsia="仿宋_GB2312" w:cs="仿宋_GB2312"/>
          <w:color w:val="auto"/>
          <w:sz w:val="28"/>
          <w:szCs w:val="28"/>
          <w:u w:val="single"/>
        </w:rPr>
        <w:t>具备相关专业资质工程师</w:t>
      </w:r>
      <w:r>
        <w:rPr>
          <w:rFonts w:hint="eastAsia" w:ascii="仿宋_GB2312" w:hAnsi="仿宋_GB2312" w:eastAsia="仿宋_GB2312" w:cs="仿宋_GB2312"/>
          <w:color w:val="auto"/>
          <w:sz w:val="28"/>
          <w:szCs w:val="28"/>
          <w:u w:val="single"/>
          <w:lang w:val="en-US" w:eastAsia="zh-CN"/>
        </w:rPr>
        <w:t>中级</w:t>
      </w:r>
      <w:r>
        <w:rPr>
          <w:rFonts w:hint="eastAsia" w:ascii="仿宋_GB2312" w:hAnsi="仿宋_GB2312" w:eastAsia="仿宋_GB2312" w:cs="仿宋_GB2312"/>
          <w:color w:val="auto"/>
          <w:sz w:val="28"/>
          <w:szCs w:val="28"/>
          <w:u w:val="single"/>
          <w:lang w:eastAsia="zh-CN"/>
        </w:rPr>
        <w:t>（</w:t>
      </w:r>
      <w:r>
        <w:rPr>
          <w:rFonts w:hint="eastAsia" w:ascii="仿宋_GB2312" w:hAnsi="仿宋_GB2312" w:eastAsia="仿宋_GB2312" w:cs="仿宋_GB2312"/>
          <w:color w:val="auto"/>
          <w:sz w:val="28"/>
          <w:szCs w:val="28"/>
          <w:u w:val="single"/>
          <w:lang w:val="en-US" w:eastAsia="zh-CN"/>
        </w:rPr>
        <w:t>或</w:t>
      </w:r>
      <w:r>
        <w:rPr>
          <w:rFonts w:hint="eastAsia" w:ascii="仿宋_GB2312" w:hAnsi="仿宋_GB2312" w:eastAsia="仿宋_GB2312" w:cs="仿宋_GB2312"/>
          <w:color w:val="auto"/>
          <w:sz w:val="28"/>
          <w:szCs w:val="28"/>
          <w:u w:val="single"/>
        </w:rPr>
        <w:t>以上</w:t>
      </w:r>
      <w:r>
        <w:rPr>
          <w:rFonts w:hint="eastAsia" w:ascii="仿宋_GB2312" w:hAnsi="仿宋_GB2312" w:eastAsia="仿宋_GB2312" w:cs="仿宋_GB2312"/>
          <w:color w:val="auto"/>
          <w:sz w:val="28"/>
          <w:szCs w:val="28"/>
          <w:u w:val="single"/>
          <w:lang w:eastAsia="zh-CN"/>
        </w:rPr>
        <w:t>）</w:t>
      </w:r>
      <w:r>
        <w:rPr>
          <w:rFonts w:hint="eastAsia" w:ascii="仿宋_GB2312" w:hAnsi="仿宋_GB2312" w:eastAsia="仿宋_GB2312" w:cs="仿宋_GB2312"/>
          <w:color w:val="auto"/>
          <w:sz w:val="28"/>
          <w:szCs w:val="28"/>
          <w:u w:val="single"/>
          <w:lang w:val="en-US" w:eastAsia="zh-CN"/>
        </w:rPr>
        <w:t>职称</w:t>
      </w:r>
      <w:r>
        <w:rPr>
          <w:rFonts w:hint="eastAsia" w:ascii="仿宋_GB2312" w:hAnsi="仿宋_GB2312" w:eastAsia="仿宋_GB2312" w:cs="仿宋_GB2312"/>
          <w:color w:val="auto"/>
          <w:sz w:val="28"/>
          <w:szCs w:val="28"/>
          <w:u w:val="single"/>
        </w:rPr>
        <w:t>。</w:t>
      </w:r>
    </w:p>
    <w:p>
      <w:pPr>
        <w:pStyle w:val="28"/>
        <w:autoSpaceDE w:val="0"/>
        <w:autoSpaceDN w:val="0"/>
        <w:ind w:firstLine="56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val="single"/>
          <w:lang w:val="en-US" w:eastAsia="zh-CN"/>
        </w:rPr>
        <w:t>3.</w:t>
      </w:r>
      <w:r>
        <w:rPr>
          <w:rFonts w:hint="eastAsia" w:ascii="仿宋_GB2312" w:hAnsi="仿宋_GB2312" w:eastAsia="仿宋_GB2312" w:cs="仿宋_GB2312"/>
          <w:color w:val="auto"/>
          <w:sz w:val="28"/>
          <w:szCs w:val="28"/>
          <w:u w:val="single"/>
        </w:rPr>
        <w:t>自</w:t>
      </w:r>
      <w:bookmarkStart w:id="0" w:name="OLE_LINK3"/>
      <w:r>
        <w:rPr>
          <w:rFonts w:hint="eastAsia" w:ascii="仿宋_GB2312" w:hAnsi="仿宋_GB2312" w:eastAsia="仿宋_GB2312" w:cs="仿宋_GB2312"/>
          <w:color w:val="auto"/>
          <w:sz w:val="28"/>
          <w:szCs w:val="28"/>
          <w:u w:val="single"/>
        </w:rPr>
        <w:t>2018年1月1日至今，</w:t>
      </w:r>
      <w:bookmarkEnd w:id="0"/>
      <w:r>
        <w:rPr>
          <w:rFonts w:hint="eastAsia" w:ascii="仿宋_GB2312" w:hAnsi="仿宋_GB2312" w:eastAsia="仿宋_GB2312" w:cs="仿宋_GB2312"/>
          <w:color w:val="auto"/>
          <w:sz w:val="28"/>
          <w:szCs w:val="28"/>
          <w:u w:val="single"/>
        </w:rPr>
        <w:t>最少完成一项海绵城市</w:t>
      </w:r>
      <w:r>
        <w:rPr>
          <w:rFonts w:ascii="仿宋_GB2312" w:hAnsi="仿宋_GB2312" w:eastAsia="仿宋_GB2312" w:cs="仿宋_GB2312"/>
          <w:color w:val="auto"/>
          <w:sz w:val="28"/>
          <w:szCs w:val="28"/>
          <w:u w:val="single"/>
        </w:rPr>
        <w:t>专项规划</w:t>
      </w:r>
      <w:r>
        <w:rPr>
          <w:rFonts w:hint="eastAsia" w:ascii="仿宋_GB2312" w:hAnsi="仿宋_GB2312" w:eastAsia="仿宋_GB2312" w:cs="仿宋_GB2312"/>
          <w:color w:val="auto"/>
          <w:sz w:val="28"/>
          <w:szCs w:val="28"/>
          <w:u w:val="single"/>
        </w:rPr>
        <w:t>或</w:t>
      </w:r>
      <w:r>
        <w:rPr>
          <w:rFonts w:ascii="仿宋_GB2312" w:hAnsi="仿宋_GB2312" w:eastAsia="仿宋_GB2312" w:cs="仿宋_GB2312"/>
          <w:color w:val="auto"/>
          <w:sz w:val="28"/>
          <w:szCs w:val="28"/>
          <w:u w:val="single"/>
        </w:rPr>
        <w:t>实施评估</w:t>
      </w:r>
      <w:r>
        <w:rPr>
          <w:rFonts w:hint="eastAsia" w:ascii="仿宋_GB2312" w:hAnsi="仿宋_GB2312" w:eastAsia="仿宋_GB2312" w:cs="仿宋_GB2312"/>
          <w:color w:val="auto"/>
          <w:sz w:val="28"/>
          <w:szCs w:val="28"/>
          <w:u w:val="single"/>
        </w:rPr>
        <w:t>业绩（提供合同复印件证明，包括但不限于项目名称、实施内容、合同双方签字盖章、签订日期，并加盖单位公章）。</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rPr>
        <w:t>七</w:t>
      </w:r>
      <w:r>
        <w:rPr>
          <w:rFonts w:hint="eastAsia" w:ascii="仿宋_GB2312" w:hAnsi="仿宋_GB2312" w:eastAsia="仿宋_GB2312" w:cs="仿宋_GB2312"/>
          <w:sz w:val="28"/>
          <w:szCs w:val="28"/>
          <w:lang w:val="zh-CN"/>
        </w:rPr>
        <w:t>、现场踏勘(答疑会)时间、地点（也可由</w:t>
      </w:r>
      <w:r>
        <w:rPr>
          <w:rFonts w:hint="eastAsia" w:ascii="仿宋_GB2312" w:hAnsi="仿宋_GB2312" w:eastAsia="仿宋_GB2312" w:cs="仿宋_GB2312"/>
          <w:sz w:val="28"/>
          <w:szCs w:val="28"/>
        </w:rPr>
        <w:t>报价</w:t>
      </w:r>
      <w:r>
        <w:rPr>
          <w:rFonts w:hint="eastAsia" w:ascii="仿宋_GB2312" w:hAnsi="仿宋_GB2312" w:eastAsia="仿宋_GB2312" w:cs="仿宋_GB2312"/>
          <w:sz w:val="28"/>
          <w:szCs w:val="28"/>
          <w:lang w:val="zh-CN"/>
        </w:rPr>
        <w:t>人自行踏勘现场）：</w:t>
      </w:r>
    </w:p>
    <w:p>
      <w:pPr>
        <w:autoSpaceDE w:val="0"/>
        <w:autoSpaceDN w:val="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zh-CN"/>
        </w:rPr>
        <w:t>1. 现场踏勘(答疑会)集合时间：</w:t>
      </w:r>
      <w:r>
        <w:rPr>
          <w:rFonts w:hint="eastAsia" w:ascii="仿宋_GB2312" w:hAnsi="仿宋_GB2312" w:eastAsia="仿宋_GB2312" w:cs="仿宋_GB2312"/>
          <w:sz w:val="28"/>
          <w:szCs w:val="28"/>
        </w:rPr>
        <w:t>/</w:t>
      </w:r>
    </w:p>
    <w:p>
      <w:pPr>
        <w:autoSpaceDE w:val="0"/>
        <w:autoSpaceDN w:val="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zh-CN"/>
        </w:rPr>
        <w:t>2. 现场踏勘(答疑会)集合地点：</w:t>
      </w:r>
      <w:r>
        <w:rPr>
          <w:rFonts w:hint="eastAsia" w:ascii="仿宋_GB2312" w:hAnsi="仿宋_GB2312" w:eastAsia="仿宋_GB2312" w:cs="仿宋_GB2312"/>
          <w:sz w:val="28"/>
          <w:szCs w:val="28"/>
        </w:rPr>
        <w:t>/</w:t>
      </w:r>
    </w:p>
    <w:p>
      <w:pPr>
        <w:ind w:firstLine="588" w:firstLineChars="210"/>
        <w:rPr>
          <w:rFonts w:ascii="仿宋" w:hAnsi="仿宋" w:eastAsia="仿宋" w:cs="仿宋_GB2312"/>
          <w:sz w:val="28"/>
          <w:szCs w:val="28"/>
        </w:rPr>
      </w:pPr>
      <w:r>
        <w:rPr>
          <w:rFonts w:hint="eastAsia" w:ascii="仿宋" w:hAnsi="仿宋" w:eastAsia="仿宋" w:cs="仿宋_GB2312"/>
          <w:sz w:val="28"/>
          <w:szCs w:val="28"/>
        </w:rPr>
        <w:t>八、询价文件的获取：在2021年</w:t>
      </w:r>
      <w:r>
        <w:rPr>
          <w:rFonts w:hint="eastAsia" w:ascii="仿宋" w:hAnsi="仿宋" w:eastAsia="仿宋" w:cs="仿宋_GB2312"/>
          <w:sz w:val="28"/>
          <w:szCs w:val="28"/>
          <w:lang w:val="en-US" w:eastAsia="zh-CN"/>
        </w:rPr>
        <w:t>9</w:t>
      </w:r>
      <w:r>
        <w:rPr>
          <w:rFonts w:hint="eastAsia" w:ascii="仿宋" w:hAnsi="仿宋" w:eastAsia="仿宋" w:cs="仿宋_GB2312"/>
          <w:sz w:val="28"/>
          <w:szCs w:val="28"/>
        </w:rPr>
        <w:t>月</w:t>
      </w:r>
      <w:r>
        <w:rPr>
          <w:rFonts w:hint="eastAsia" w:ascii="仿宋" w:hAnsi="仿宋" w:eastAsia="仿宋" w:cs="仿宋_GB2312"/>
          <w:sz w:val="28"/>
          <w:szCs w:val="28"/>
          <w:lang w:val="en-US" w:eastAsia="zh-CN"/>
        </w:rPr>
        <w:t>23</w:t>
      </w:r>
      <w:r>
        <w:rPr>
          <w:rFonts w:hint="eastAsia" w:ascii="仿宋" w:hAnsi="仿宋" w:eastAsia="仿宋" w:cs="仿宋_GB2312"/>
          <w:sz w:val="28"/>
          <w:szCs w:val="28"/>
        </w:rPr>
        <w:t>日</w:t>
      </w:r>
      <w:r>
        <w:rPr>
          <w:rFonts w:hint="eastAsia" w:ascii="仿宋" w:hAnsi="仿宋" w:eastAsia="仿宋" w:cs="仿宋_GB2312"/>
          <w:sz w:val="28"/>
          <w:szCs w:val="28"/>
          <w:lang w:val="en-US" w:eastAsia="zh-CN"/>
        </w:rPr>
        <w:t>10</w:t>
      </w:r>
      <w:r>
        <w:rPr>
          <w:rFonts w:hint="eastAsia" w:ascii="仿宋" w:hAnsi="仿宋" w:eastAsia="仿宋" w:cs="仿宋_GB2312"/>
          <w:sz w:val="28"/>
          <w:szCs w:val="28"/>
        </w:rPr>
        <w:t>时</w:t>
      </w:r>
      <w:r>
        <w:rPr>
          <w:rFonts w:hint="eastAsia" w:ascii="仿宋" w:hAnsi="仿宋" w:eastAsia="仿宋" w:cs="仿宋_GB2312"/>
          <w:sz w:val="28"/>
          <w:szCs w:val="28"/>
          <w:lang w:val="en-US" w:eastAsia="zh-CN"/>
        </w:rPr>
        <w:t>00</w:t>
      </w:r>
      <w:r>
        <w:rPr>
          <w:rFonts w:hint="eastAsia" w:ascii="仿宋" w:hAnsi="仿宋" w:eastAsia="仿宋" w:cs="仿宋_GB2312"/>
          <w:sz w:val="28"/>
          <w:szCs w:val="28"/>
        </w:rPr>
        <w:t>分前，在广州市净水有限公司门户网站免费下载。</w:t>
      </w:r>
    </w:p>
    <w:p>
      <w:pPr>
        <w:ind w:firstLine="588" w:firstLineChars="210"/>
        <w:rPr>
          <w:rFonts w:eastAsia="仿宋"/>
        </w:rPr>
      </w:pPr>
      <w:r>
        <w:rPr>
          <w:rFonts w:hint="eastAsia" w:ascii="仿宋" w:hAnsi="仿宋" w:eastAsia="仿宋" w:cs="仿宋_GB2312"/>
          <w:sz w:val="28"/>
          <w:szCs w:val="28"/>
        </w:rPr>
        <w:t>九、询价响应文件递交时间：2021年</w:t>
      </w:r>
      <w:r>
        <w:rPr>
          <w:rFonts w:hint="eastAsia" w:ascii="仿宋" w:hAnsi="仿宋" w:eastAsia="仿宋" w:cs="仿宋_GB2312"/>
          <w:sz w:val="28"/>
          <w:szCs w:val="28"/>
          <w:lang w:val="en-US" w:eastAsia="zh-CN"/>
        </w:rPr>
        <w:t>9</w:t>
      </w:r>
      <w:r>
        <w:rPr>
          <w:rFonts w:hint="eastAsia" w:ascii="仿宋" w:hAnsi="仿宋" w:eastAsia="仿宋" w:cs="仿宋_GB2312"/>
          <w:sz w:val="28"/>
          <w:szCs w:val="28"/>
        </w:rPr>
        <w:t>月</w:t>
      </w:r>
      <w:r>
        <w:rPr>
          <w:rFonts w:hint="eastAsia" w:ascii="仿宋" w:hAnsi="仿宋" w:eastAsia="仿宋" w:cs="仿宋_GB2312"/>
          <w:sz w:val="28"/>
          <w:szCs w:val="28"/>
          <w:lang w:val="en-US" w:eastAsia="zh-CN"/>
        </w:rPr>
        <w:t>23</w:t>
      </w:r>
      <w:r>
        <w:rPr>
          <w:rFonts w:hint="eastAsia" w:ascii="仿宋" w:hAnsi="仿宋" w:eastAsia="仿宋" w:cs="仿宋_GB2312"/>
          <w:sz w:val="28"/>
          <w:szCs w:val="28"/>
        </w:rPr>
        <w:t>日</w:t>
      </w:r>
      <w:r>
        <w:rPr>
          <w:rFonts w:hint="eastAsia" w:ascii="仿宋" w:hAnsi="仿宋" w:eastAsia="仿宋" w:cs="仿宋_GB2312"/>
          <w:sz w:val="28"/>
          <w:szCs w:val="28"/>
          <w:lang w:val="en-US" w:eastAsia="zh-CN"/>
        </w:rPr>
        <w:t>9</w:t>
      </w:r>
      <w:r>
        <w:rPr>
          <w:rFonts w:hint="eastAsia" w:ascii="仿宋" w:hAnsi="仿宋" w:eastAsia="仿宋" w:cs="仿宋_GB2312"/>
          <w:sz w:val="28"/>
          <w:szCs w:val="28"/>
        </w:rPr>
        <w:t>时</w:t>
      </w:r>
      <w:r>
        <w:rPr>
          <w:rFonts w:hint="eastAsia" w:ascii="仿宋" w:hAnsi="仿宋" w:eastAsia="仿宋" w:cs="仿宋_GB2312"/>
          <w:sz w:val="28"/>
          <w:szCs w:val="28"/>
          <w:lang w:val="en-US" w:eastAsia="zh-CN"/>
        </w:rPr>
        <w:t>30</w:t>
      </w:r>
      <w:r>
        <w:rPr>
          <w:rFonts w:hint="eastAsia" w:ascii="仿宋" w:hAnsi="仿宋" w:eastAsia="仿宋" w:cs="仿宋_GB2312"/>
          <w:sz w:val="28"/>
          <w:szCs w:val="28"/>
        </w:rPr>
        <w:t>分至</w:t>
      </w:r>
      <w:r>
        <w:rPr>
          <w:rFonts w:hint="eastAsia" w:ascii="仿宋" w:hAnsi="仿宋" w:eastAsia="仿宋" w:cs="仿宋_GB2312"/>
          <w:sz w:val="28"/>
          <w:szCs w:val="28"/>
          <w:lang w:val="en-US" w:eastAsia="zh-CN"/>
        </w:rPr>
        <w:t>10</w:t>
      </w:r>
      <w:r>
        <w:rPr>
          <w:rFonts w:hint="eastAsia" w:ascii="仿宋" w:hAnsi="仿宋" w:eastAsia="仿宋" w:cs="仿宋_GB2312"/>
          <w:sz w:val="28"/>
          <w:szCs w:val="28"/>
        </w:rPr>
        <w:t>时</w:t>
      </w:r>
      <w:r>
        <w:rPr>
          <w:rFonts w:hint="eastAsia" w:ascii="仿宋" w:hAnsi="仿宋" w:eastAsia="仿宋" w:cs="仿宋_GB2312"/>
          <w:sz w:val="28"/>
          <w:szCs w:val="28"/>
          <w:lang w:val="en-US" w:eastAsia="zh-CN"/>
        </w:rPr>
        <w:t>00</w:t>
      </w:r>
      <w:r>
        <w:rPr>
          <w:rFonts w:hint="eastAsia" w:ascii="仿宋" w:hAnsi="仿宋" w:eastAsia="仿宋" w:cs="仿宋_GB2312"/>
          <w:sz w:val="28"/>
          <w:szCs w:val="28"/>
        </w:rPr>
        <w:t>分；询价响应文件截止时间：2021年</w:t>
      </w:r>
      <w:r>
        <w:rPr>
          <w:rFonts w:hint="eastAsia" w:ascii="仿宋" w:hAnsi="仿宋" w:eastAsia="仿宋" w:cs="仿宋_GB2312"/>
          <w:sz w:val="28"/>
          <w:szCs w:val="28"/>
          <w:lang w:val="en-US" w:eastAsia="zh-CN"/>
        </w:rPr>
        <w:t>9</w:t>
      </w:r>
      <w:r>
        <w:rPr>
          <w:rFonts w:hint="eastAsia" w:ascii="仿宋" w:hAnsi="仿宋" w:eastAsia="仿宋" w:cs="仿宋_GB2312"/>
          <w:sz w:val="28"/>
          <w:szCs w:val="28"/>
        </w:rPr>
        <w:t>月</w:t>
      </w:r>
      <w:r>
        <w:rPr>
          <w:rFonts w:hint="eastAsia" w:ascii="仿宋" w:hAnsi="仿宋" w:eastAsia="仿宋" w:cs="仿宋_GB2312"/>
          <w:sz w:val="28"/>
          <w:szCs w:val="28"/>
          <w:lang w:val="en-US" w:eastAsia="zh-CN"/>
        </w:rPr>
        <w:t>23</w:t>
      </w:r>
      <w:r>
        <w:rPr>
          <w:rFonts w:hint="eastAsia" w:ascii="仿宋" w:hAnsi="仿宋" w:eastAsia="仿宋" w:cs="仿宋_GB2312"/>
          <w:sz w:val="28"/>
          <w:szCs w:val="28"/>
        </w:rPr>
        <w:t>日</w:t>
      </w:r>
      <w:r>
        <w:rPr>
          <w:rFonts w:hint="eastAsia" w:ascii="仿宋" w:hAnsi="仿宋" w:eastAsia="仿宋" w:cs="仿宋_GB2312"/>
          <w:sz w:val="28"/>
          <w:szCs w:val="28"/>
          <w:lang w:val="en-US" w:eastAsia="zh-CN"/>
        </w:rPr>
        <w:t>10</w:t>
      </w:r>
      <w:r>
        <w:rPr>
          <w:rFonts w:hint="eastAsia" w:ascii="仿宋" w:hAnsi="仿宋" w:eastAsia="仿宋" w:cs="仿宋_GB2312"/>
          <w:sz w:val="28"/>
          <w:szCs w:val="28"/>
        </w:rPr>
        <w:t>时</w:t>
      </w:r>
      <w:r>
        <w:rPr>
          <w:rFonts w:hint="eastAsia" w:ascii="仿宋" w:hAnsi="仿宋" w:eastAsia="仿宋" w:cs="仿宋_GB2312"/>
          <w:sz w:val="28"/>
          <w:szCs w:val="28"/>
          <w:lang w:val="en-US" w:eastAsia="zh-CN"/>
        </w:rPr>
        <w:t>00</w:t>
      </w:r>
      <w:r>
        <w:rPr>
          <w:rFonts w:hint="eastAsia" w:ascii="仿宋" w:hAnsi="仿宋" w:eastAsia="仿宋" w:cs="仿宋_GB2312"/>
          <w:sz w:val="28"/>
          <w:szCs w:val="28"/>
        </w:rPr>
        <w:t>分。</w:t>
      </w:r>
      <w:r>
        <w:rPr>
          <w:rFonts w:hint="eastAsia" w:ascii="仿宋_GB2312" w:hAnsi="仿宋_GB2312" w:eastAsia="仿宋_GB2312" w:cs="仿宋_GB2312"/>
          <w:color w:val="000000"/>
          <w:sz w:val="28"/>
          <w:szCs w:val="28"/>
        </w:rPr>
        <w:t>递交响应文件时须提供授权委托人身份证原件备查。</w:t>
      </w:r>
    </w:p>
    <w:p>
      <w:pPr>
        <w:ind w:firstLine="588" w:firstLineChars="210"/>
        <w:rPr>
          <w:rFonts w:hint="eastAsia" w:ascii="仿宋" w:hAnsi="仿宋" w:eastAsia="仿宋" w:cs="仿宋_GB2312"/>
          <w:sz w:val="28"/>
          <w:szCs w:val="28"/>
          <w:lang w:eastAsia="zh-CN"/>
        </w:rPr>
      </w:pPr>
      <w:r>
        <w:rPr>
          <w:rFonts w:hint="eastAsia" w:ascii="仿宋" w:hAnsi="仿宋" w:eastAsia="仿宋" w:cs="仿宋_GB2312"/>
          <w:sz w:val="28"/>
          <w:szCs w:val="28"/>
        </w:rPr>
        <w:t>十、询价响应文件送达地点：广州市天河区临江大道501号广州市净水有限公司招标办</w:t>
      </w:r>
      <w:r>
        <w:rPr>
          <w:rFonts w:hint="eastAsia" w:ascii="仿宋" w:hAnsi="仿宋" w:eastAsia="仿宋" w:cs="仿宋_GB2312"/>
          <w:sz w:val="28"/>
          <w:szCs w:val="28"/>
          <w:lang w:eastAsia="zh-CN"/>
        </w:rPr>
        <w:t>。</w:t>
      </w:r>
      <w:r>
        <w:rPr>
          <w:rFonts w:hint="eastAsia" w:ascii="仿宋_GB2312" w:hAnsi="仿宋_GB2312" w:eastAsia="仿宋_GB2312" w:cs="仿宋_GB2312"/>
          <w:color w:val="000000" w:themeColor="text1"/>
          <w:sz w:val="28"/>
          <w:szCs w:val="28"/>
          <w:lang w:val="zh-CN"/>
          <w14:textFill>
            <w14:solidFill>
              <w14:schemeClr w14:val="tx1"/>
            </w14:solidFill>
          </w14:textFill>
        </w:rPr>
        <w:t>（</w:t>
      </w:r>
      <w:r>
        <w:rPr>
          <w:rFonts w:hint="eastAsia" w:ascii="仿宋_GB2312" w:hAnsi="仿宋_GB2312" w:eastAsia="仿宋_GB2312" w:cs="仿宋_GB2312"/>
          <w:color w:val="000000"/>
          <w:sz w:val="28"/>
          <w:szCs w:val="28"/>
        </w:rPr>
        <w:t>注：基于近期疫情防控形势，授权委托人须出示健康码</w:t>
      </w:r>
      <w:r>
        <w:rPr>
          <w:rFonts w:hint="eastAsia" w:ascii="仿宋_GB2312" w:hAnsi="仿宋_GB2312" w:eastAsia="仿宋_GB2312" w:cs="仿宋_GB2312"/>
          <w:color w:val="000000"/>
          <w:sz w:val="28"/>
          <w:szCs w:val="28"/>
          <w:lang w:val="en-US" w:eastAsia="zh-CN"/>
        </w:rPr>
        <w:t>绿码、14日内的行程码及疫苗接种情况，</w:t>
      </w:r>
      <w:r>
        <w:rPr>
          <w:rFonts w:hint="eastAsia" w:ascii="仿宋_GB2312" w:hAnsi="仿宋_GB2312" w:eastAsia="仿宋_GB2312" w:cs="仿宋_GB2312"/>
          <w:color w:val="000000"/>
          <w:sz w:val="28"/>
          <w:szCs w:val="28"/>
        </w:rPr>
        <w:t>否则不予进入我公司；如以快递形式递交响应文件，须在递交截止时间前送达，不参加见证报价开启程序的报价单位视其认可所有报价</w:t>
      </w:r>
      <w:r>
        <w:rPr>
          <w:rFonts w:hint="eastAsia" w:ascii="仿宋_GB2312" w:hAnsi="仿宋_GB2312" w:eastAsia="仿宋_GB2312" w:cs="仿宋_GB2312"/>
          <w:color w:val="000000" w:themeColor="text1"/>
          <w:sz w:val="28"/>
          <w:szCs w:val="28"/>
          <w:lang w:val="zh-CN"/>
          <w14:textFill>
            <w14:solidFill>
              <w14:schemeClr w14:val="tx1"/>
            </w14:solidFill>
          </w14:textFill>
        </w:rPr>
        <w:t>）</w:t>
      </w:r>
    </w:p>
    <w:p>
      <w:pPr>
        <w:ind w:firstLine="588" w:firstLineChars="210"/>
        <w:rPr>
          <w:rFonts w:ascii="仿宋" w:hAnsi="仿宋" w:eastAsia="仿宋" w:cs="仿宋_GB2312"/>
          <w:sz w:val="28"/>
          <w:szCs w:val="28"/>
        </w:rPr>
      </w:pPr>
      <w:r>
        <w:rPr>
          <w:rFonts w:hint="eastAsia" w:ascii="仿宋" w:hAnsi="仿宋" w:eastAsia="仿宋" w:cs="仿宋_GB2312"/>
          <w:sz w:val="28"/>
          <w:szCs w:val="28"/>
        </w:rPr>
        <w:t>十一、评审时间：2021年</w:t>
      </w:r>
      <w:r>
        <w:rPr>
          <w:rFonts w:hint="eastAsia" w:ascii="仿宋" w:hAnsi="仿宋" w:eastAsia="仿宋" w:cs="仿宋_GB2312"/>
          <w:sz w:val="28"/>
          <w:szCs w:val="28"/>
          <w:lang w:val="en-US" w:eastAsia="zh-CN"/>
        </w:rPr>
        <w:t>9</w:t>
      </w:r>
      <w:r>
        <w:rPr>
          <w:rFonts w:hint="eastAsia" w:ascii="仿宋" w:hAnsi="仿宋" w:eastAsia="仿宋" w:cs="仿宋_GB2312"/>
          <w:sz w:val="28"/>
          <w:szCs w:val="28"/>
        </w:rPr>
        <w:t>月</w:t>
      </w:r>
      <w:r>
        <w:rPr>
          <w:rFonts w:hint="eastAsia" w:ascii="仿宋" w:hAnsi="仿宋" w:eastAsia="仿宋" w:cs="仿宋_GB2312"/>
          <w:sz w:val="28"/>
          <w:szCs w:val="28"/>
          <w:lang w:val="en-US" w:eastAsia="zh-CN"/>
        </w:rPr>
        <w:t>23</w:t>
      </w:r>
      <w:r>
        <w:rPr>
          <w:rFonts w:hint="eastAsia" w:ascii="仿宋" w:hAnsi="仿宋" w:eastAsia="仿宋" w:cs="仿宋_GB2312"/>
          <w:sz w:val="28"/>
          <w:szCs w:val="28"/>
        </w:rPr>
        <w:t>日</w:t>
      </w:r>
      <w:r>
        <w:rPr>
          <w:rFonts w:hint="eastAsia" w:ascii="仿宋" w:hAnsi="仿宋" w:eastAsia="仿宋" w:cs="仿宋_GB2312"/>
          <w:sz w:val="28"/>
          <w:szCs w:val="28"/>
          <w:lang w:val="en-US" w:eastAsia="zh-CN"/>
        </w:rPr>
        <w:t>10</w:t>
      </w:r>
      <w:r>
        <w:rPr>
          <w:rFonts w:hint="eastAsia" w:ascii="仿宋" w:hAnsi="仿宋" w:eastAsia="仿宋" w:cs="仿宋_GB2312"/>
          <w:sz w:val="28"/>
          <w:szCs w:val="28"/>
        </w:rPr>
        <w:t>时</w:t>
      </w:r>
      <w:r>
        <w:rPr>
          <w:rFonts w:hint="eastAsia" w:ascii="仿宋" w:hAnsi="仿宋" w:eastAsia="仿宋" w:cs="仿宋_GB2312"/>
          <w:sz w:val="28"/>
          <w:szCs w:val="28"/>
          <w:lang w:val="en-US" w:eastAsia="zh-CN"/>
        </w:rPr>
        <w:t>00</w:t>
      </w:r>
      <w:r>
        <w:rPr>
          <w:rFonts w:hint="eastAsia" w:ascii="仿宋" w:hAnsi="仿宋" w:eastAsia="仿宋" w:cs="仿宋_GB2312"/>
          <w:sz w:val="28"/>
          <w:szCs w:val="28"/>
        </w:rPr>
        <w:t>分</w:t>
      </w:r>
    </w:p>
    <w:p>
      <w:pPr>
        <w:ind w:firstLine="588" w:firstLineChars="210"/>
        <w:rPr>
          <w:rFonts w:ascii="仿宋" w:hAnsi="仿宋" w:eastAsia="仿宋" w:cs="仿宋_GB2312"/>
          <w:sz w:val="28"/>
          <w:szCs w:val="28"/>
        </w:rPr>
      </w:pPr>
      <w:r>
        <w:rPr>
          <w:rFonts w:hint="eastAsia" w:ascii="仿宋" w:hAnsi="仿宋" w:eastAsia="仿宋" w:cs="仿宋_GB2312"/>
          <w:sz w:val="28"/>
          <w:szCs w:val="28"/>
        </w:rPr>
        <w:t xml:space="preserve">十二、评审地点：广州市净水有限公司六楼招标办                   </w:t>
      </w:r>
    </w:p>
    <w:p>
      <w:pPr>
        <w:ind w:firstLine="588" w:firstLineChars="210"/>
        <w:rPr>
          <w:rFonts w:ascii="仿宋" w:hAnsi="仿宋" w:eastAsia="仿宋" w:cs="仿宋_GB2312"/>
          <w:sz w:val="28"/>
          <w:szCs w:val="28"/>
        </w:rPr>
      </w:pPr>
      <w:r>
        <w:rPr>
          <w:rFonts w:hint="eastAsia" w:ascii="仿宋" w:hAnsi="仿宋" w:eastAsia="仿宋" w:cs="仿宋_GB2312"/>
          <w:sz w:val="28"/>
          <w:szCs w:val="28"/>
        </w:rPr>
        <w:t>十三、联系方式</w:t>
      </w:r>
    </w:p>
    <w:p>
      <w:pPr>
        <w:ind w:firstLine="588" w:firstLineChars="210"/>
        <w:rPr>
          <w:rFonts w:ascii="仿宋" w:hAnsi="仿宋" w:eastAsia="仿宋" w:cs="仿宋_GB2312"/>
          <w:sz w:val="28"/>
          <w:szCs w:val="28"/>
        </w:rPr>
      </w:pPr>
      <w:r>
        <w:rPr>
          <w:rFonts w:hint="eastAsia" w:ascii="仿宋" w:hAnsi="仿宋" w:eastAsia="仿宋" w:cs="仿宋_GB2312"/>
          <w:sz w:val="28"/>
          <w:szCs w:val="28"/>
        </w:rPr>
        <w:t>询价人：广州市净水有限公司</w:t>
      </w:r>
    </w:p>
    <w:p>
      <w:pPr>
        <w:ind w:firstLine="588" w:firstLineChars="210"/>
        <w:rPr>
          <w:rFonts w:ascii="仿宋" w:hAnsi="仿宋" w:eastAsia="仿宋" w:cs="仿宋_GB2312"/>
          <w:sz w:val="28"/>
          <w:szCs w:val="28"/>
        </w:rPr>
      </w:pPr>
      <w:r>
        <w:rPr>
          <w:rFonts w:hint="eastAsia" w:ascii="仿宋" w:hAnsi="仿宋" w:eastAsia="仿宋" w:cs="仿宋_GB2312"/>
          <w:sz w:val="28"/>
          <w:szCs w:val="28"/>
        </w:rPr>
        <w:t xml:space="preserve">联系地址：广州市天河区临江大道501号            </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 联系人：</w:t>
      </w:r>
      <w:r>
        <w:rPr>
          <w:rFonts w:hint="eastAsia" w:ascii="仿宋" w:hAnsi="仿宋" w:eastAsia="仿宋" w:cs="仿宋_GB2312"/>
          <w:sz w:val="28"/>
          <w:szCs w:val="28"/>
          <w:lang w:val="en-US" w:eastAsia="zh-CN"/>
        </w:rPr>
        <w:t>黄</w:t>
      </w:r>
      <w:r>
        <w:rPr>
          <w:rFonts w:hint="eastAsia" w:ascii="仿宋" w:hAnsi="仿宋" w:eastAsia="仿宋" w:cs="仿宋_GB2312"/>
          <w:sz w:val="28"/>
          <w:szCs w:val="28"/>
        </w:rPr>
        <w:t>工             联系方式：020-</w:t>
      </w:r>
      <w:r>
        <w:rPr>
          <w:rFonts w:hint="eastAsia" w:ascii="仿宋" w:hAnsi="仿宋" w:eastAsia="仿宋" w:cs="仿宋_GB2312"/>
          <w:sz w:val="28"/>
          <w:szCs w:val="28"/>
          <w:lang w:val="en-US" w:eastAsia="zh-CN"/>
        </w:rPr>
        <w:t>62315524</w:t>
      </w:r>
      <w:r>
        <w:rPr>
          <w:rFonts w:hint="eastAsia" w:ascii="仿宋" w:hAnsi="仿宋" w:eastAsia="仿宋" w:cs="仿宋_GB2312"/>
          <w:sz w:val="28"/>
          <w:szCs w:val="28"/>
        </w:rPr>
        <w:t xml:space="preserve">   </w:t>
      </w:r>
    </w:p>
    <w:p>
      <w:pPr>
        <w:rPr>
          <w:rFonts w:ascii="仿宋" w:hAnsi="仿宋" w:eastAsia="仿宋" w:cs="仿宋_GB2312"/>
          <w:sz w:val="28"/>
          <w:szCs w:val="28"/>
        </w:rPr>
      </w:pPr>
    </w:p>
    <w:p>
      <w:pPr>
        <w:ind w:firstLine="6020" w:firstLineChars="2150"/>
        <w:rPr>
          <w:rFonts w:ascii="仿宋" w:hAnsi="仿宋" w:eastAsia="仿宋" w:cs="仿宋"/>
          <w:sz w:val="28"/>
          <w:szCs w:val="28"/>
        </w:rPr>
      </w:pPr>
      <w:r>
        <w:rPr>
          <w:rFonts w:hint="eastAsia" w:ascii="仿宋" w:hAnsi="仿宋" w:eastAsia="仿宋" w:cs="仿宋"/>
          <w:sz w:val="28"/>
          <w:szCs w:val="28"/>
        </w:rPr>
        <w:t>广州市净水有限公司</w:t>
      </w:r>
    </w:p>
    <w:p>
      <w:pPr>
        <w:wordWrap w:val="0"/>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2021年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14</w:t>
      </w:r>
      <w:r>
        <w:rPr>
          <w:rFonts w:hint="eastAsia" w:ascii="仿宋" w:hAnsi="仿宋" w:eastAsia="仿宋" w:cs="仿宋"/>
          <w:sz w:val="28"/>
          <w:szCs w:val="28"/>
        </w:rPr>
        <w:t>日</w:t>
      </w:r>
    </w:p>
    <w:p>
      <w:pPr>
        <w:rPr>
          <w:rFonts w:ascii="仿宋" w:hAnsi="仿宋" w:eastAsia="仿宋" w:cs="仿宋_GB2312"/>
          <w:color w:val="000000" w:themeColor="text1"/>
          <w:sz w:val="28"/>
          <w:szCs w:val="28"/>
          <w14:textFill>
            <w14:solidFill>
              <w14:schemeClr w14:val="tx1"/>
            </w14:solidFill>
          </w14:textFill>
        </w:rPr>
        <w:sectPr>
          <w:headerReference r:id="rId3" w:type="default"/>
          <w:footerReference r:id="rId4" w:type="default"/>
          <w:footerReference r:id="rId5" w:type="even"/>
          <w:pgSz w:w="11906" w:h="16838"/>
          <w:pgMar w:top="1134" w:right="1134" w:bottom="1134" w:left="1701" w:header="851" w:footer="992" w:gutter="0"/>
          <w:cols w:space="720" w:num="1"/>
          <w:docGrid w:type="linesAndChars" w:linePitch="312" w:charSpace="0"/>
        </w:sectPr>
      </w:pPr>
    </w:p>
    <w:p>
      <w:pPr>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第二部分 项目内容</w:t>
      </w:r>
    </w:p>
    <w:p>
      <w:pPr>
        <w:spacing w:line="360" w:lineRule="auto"/>
        <w:ind w:firstLine="562" w:firstLineChars="200"/>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一、项目概况</w:t>
      </w:r>
    </w:p>
    <w:p>
      <w:pPr>
        <w:spacing w:line="360" w:lineRule="auto"/>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石井净水厂地块位于广州市城市中心区，属于白云区张村社区，地块周边为机场高速与许广高速等高快速路。为盘活现有土地资源，拓宽产业领域盈利渠道，变“邻避”为“邻利”，目前正按该地块综合开发方案，开展石井净水厂地块控规调整工作，控规调整工作包含控规论证报告，以及对应控制性详细规划所需的专题评估（交通影响评估、环境影响篇章、市政设施影响评估报告）内容。</w:t>
      </w:r>
    </w:p>
    <w:p>
      <w:pPr>
        <w:spacing w:line="360" w:lineRule="auto"/>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根据2021年5月6日市水务局文件《广州市水务局关于进一步加强控制性详细规划阶段涉水管控要求的函》等相关文件</w:t>
      </w:r>
      <w:r>
        <w:rPr>
          <w:rFonts w:ascii="仿宋_GB2312" w:hAnsi="仿宋_GB2312" w:eastAsia="仿宋_GB2312" w:cs="仿宋_GB2312"/>
          <w:color w:val="auto"/>
          <w:sz w:val="28"/>
          <w:szCs w:val="28"/>
          <w:highlight w:val="none"/>
        </w:rPr>
        <w:t>要求</w:t>
      </w:r>
      <w:r>
        <w:rPr>
          <w:rFonts w:hint="eastAsia" w:ascii="仿宋_GB2312" w:hAnsi="仿宋_GB2312" w:eastAsia="仿宋_GB2312" w:cs="仿宋_GB2312"/>
          <w:color w:val="auto"/>
          <w:sz w:val="28"/>
          <w:szCs w:val="28"/>
          <w:highlight w:val="none"/>
        </w:rPr>
        <w:t>，现拟</w:t>
      </w:r>
      <w:r>
        <w:rPr>
          <w:rFonts w:ascii="仿宋_GB2312" w:hAnsi="仿宋_GB2312" w:eastAsia="仿宋_GB2312" w:cs="仿宋_GB2312"/>
          <w:color w:val="auto"/>
          <w:sz w:val="28"/>
          <w:szCs w:val="28"/>
          <w:highlight w:val="none"/>
        </w:rPr>
        <w:t>在控制性详细规划中</w:t>
      </w:r>
      <w:r>
        <w:rPr>
          <w:rFonts w:hint="eastAsia" w:ascii="仿宋_GB2312" w:hAnsi="仿宋_GB2312" w:eastAsia="仿宋_GB2312" w:cs="仿宋_GB2312"/>
          <w:color w:val="auto"/>
          <w:sz w:val="28"/>
          <w:szCs w:val="28"/>
          <w:highlight w:val="none"/>
        </w:rPr>
        <w:t>增加</w:t>
      </w:r>
      <w:r>
        <w:rPr>
          <w:rFonts w:ascii="仿宋_GB2312" w:hAnsi="仿宋_GB2312" w:eastAsia="仿宋_GB2312" w:cs="仿宋_GB2312"/>
          <w:color w:val="auto"/>
          <w:sz w:val="28"/>
          <w:szCs w:val="28"/>
          <w:highlight w:val="none"/>
        </w:rPr>
        <w:t>海绵城市(含防洪排涝风险评估)专篇，作为控规批复及后续规划条件发放的依据。</w:t>
      </w:r>
    </w:p>
    <w:p>
      <w:pPr>
        <w:spacing w:line="360" w:lineRule="auto"/>
        <w:ind w:firstLine="562" w:firstLineChars="200"/>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二、项目技术要求</w:t>
      </w:r>
    </w:p>
    <w:p>
      <w:pPr>
        <w:spacing w:line="360" w:lineRule="auto"/>
        <w:ind w:firstLine="560" w:firstLineChars="200"/>
        <w:rPr>
          <w:rFonts w:ascii="仿宋" w:hAnsi="仿宋" w:eastAsia="仿宋" w:cs="仿宋_GB2312"/>
          <w:color w:val="auto"/>
          <w:sz w:val="28"/>
          <w:szCs w:val="28"/>
          <w:highlight w:val="none"/>
        </w:rPr>
      </w:pPr>
      <w:r>
        <w:rPr>
          <w:rFonts w:hint="eastAsia" w:ascii="仿宋_GB2312" w:hAnsi="仿宋_GB2312" w:eastAsia="仿宋_GB2312" w:cs="仿宋_GB2312"/>
          <w:color w:val="auto"/>
          <w:sz w:val="28"/>
          <w:szCs w:val="28"/>
          <w:highlight w:val="none"/>
        </w:rPr>
        <w:t>1.石井净水厂</w:t>
      </w:r>
      <w:r>
        <w:rPr>
          <w:rFonts w:ascii="仿宋_GB2312" w:hAnsi="仿宋_GB2312" w:eastAsia="仿宋_GB2312" w:cs="仿宋_GB2312"/>
          <w:color w:val="auto"/>
          <w:sz w:val="28"/>
          <w:szCs w:val="28"/>
          <w:highlight w:val="none"/>
        </w:rPr>
        <w:t>地块</w:t>
      </w:r>
      <w:r>
        <w:rPr>
          <w:rFonts w:hint="eastAsia" w:ascii="仿宋_GB2312" w:hAnsi="仿宋_GB2312" w:eastAsia="仿宋_GB2312" w:cs="仿宋_GB2312"/>
          <w:color w:val="auto"/>
          <w:sz w:val="28"/>
          <w:szCs w:val="28"/>
          <w:highlight w:val="none"/>
        </w:rPr>
        <w:t>控制性详细规划阶段</w:t>
      </w:r>
      <w:r>
        <w:rPr>
          <w:rFonts w:ascii="仿宋_GB2312" w:hAnsi="仿宋_GB2312" w:eastAsia="仿宋_GB2312" w:cs="仿宋_GB2312"/>
          <w:color w:val="auto"/>
          <w:sz w:val="28"/>
          <w:szCs w:val="28"/>
          <w:highlight w:val="none"/>
        </w:rPr>
        <w:t>海绵城市(含防洪排涝风险评估)专篇的编制</w:t>
      </w:r>
      <w:r>
        <w:rPr>
          <w:rFonts w:hint="eastAsia" w:ascii="仿宋" w:hAnsi="仿宋" w:eastAsia="仿宋" w:cs="仿宋_GB2312"/>
          <w:color w:val="auto"/>
          <w:sz w:val="28"/>
          <w:szCs w:val="28"/>
          <w:highlight w:val="none"/>
        </w:rPr>
        <w:t>必须符合《中华人民共和国城乡规划法》、《城市规划编制办法》、《广州市城市规划管理标准与准则》、《广州市城乡规划技术规定（试行）》、</w:t>
      </w:r>
      <w:r>
        <w:rPr>
          <w:rFonts w:ascii="仿宋_GB2312" w:hAnsi="仿宋_GB2312" w:eastAsia="仿宋_GB2312" w:cs="仿宋_GB2312"/>
          <w:color w:val="auto"/>
          <w:sz w:val="28"/>
          <w:szCs w:val="28"/>
          <w:highlight w:val="none"/>
        </w:rPr>
        <w:t>《广州市城市开发建设项目海绵城市建设-洪涝安全评估技术指引（试行）》、《广州市水务局关于进一步加强控制性详细规划阶段涉水管控要求的函》、《广州市水务局关于印发海绵城市建设——控制性详细规划阶段洪涝安全评估审查要点的通知》、《广州市海绵城市建设领导小组办公室关于印发广州市海绵城市建设专篇编制要点的通知》</w:t>
      </w:r>
      <w:r>
        <w:rPr>
          <w:rFonts w:hint="eastAsia" w:ascii="仿宋" w:hAnsi="仿宋" w:eastAsia="仿宋" w:cs="仿宋_GB2312"/>
          <w:color w:val="auto"/>
          <w:sz w:val="28"/>
          <w:szCs w:val="28"/>
          <w:highlight w:val="none"/>
        </w:rPr>
        <w:t>等有关国家和地方的法律、法规、规章、标准和技术要求。</w:t>
      </w:r>
    </w:p>
    <w:p>
      <w:pPr>
        <w:pStyle w:val="9"/>
        <w:adjustRightInd w:val="0"/>
        <w:snapToGrid w:val="0"/>
        <w:spacing w:line="360" w:lineRule="auto"/>
        <w:ind w:firstLine="560" w:firstLineChars="200"/>
        <w:jc w:val="left"/>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2.</w:t>
      </w:r>
      <w:r>
        <w:rPr>
          <w:rFonts w:ascii="仿宋_GB2312" w:hAnsi="仿宋_GB2312" w:eastAsia="仿宋_GB2312" w:cs="仿宋_GB2312"/>
          <w:color w:val="auto"/>
          <w:sz w:val="28"/>
          <w:szCs w:val="28"/>
          <w:highlight w:val="none"/>
        </w:rPr>
        <w:t xml:space="preserve"> 海绵城市(含防洪排涝风险评估)</w:t>
      </w:r>
      <w:r>
        <w:rPr>
          <w:rFonts w:hint="eastAsia" w:ascii="仿宋" w:hAnsi="仿宋" w:eastAsia="仿宋" w:cs="仿宋_GB2312"/>
          <w:color w:val="auto"/>
          <w:sz w:val="28"/>
          <w:szCs w:val="28"/>
          <w:highlight w:val="none"/>
        </w:rPr>
        <w:t>专篇内容、深度必须符合并满足规划、水务等主管部门的有关要求，对水务工程进行技术指标控制，落实所需配套项目等。</w:t>
      </w:r>
    </w:p>
    <w:p>
      <w:pPr>
        <w:spacing w:line="360" w:lineRule="auto"/>
        <w:ind w:firstLine="562" w:firstLineChars="200"/>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三、项目商务要求</w:t>
      </w:r>
    </w:p>
    <w:p>
      <w:pPr>
        <w:spacing w:line="360" w:lineRule="auto"/>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1.工期：见合同书格式。</w:t>
      </w:r>
    </w:p>
    <w:p>
      <w:pPr>
        <w:spacing w:line="360" w:lineRule="auto"/>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2.质量要求：</w:t>
      </w:r>
      <w:r>
        <w:rPr>
          <w:rFonts w:ascii="仿宋_GB2312" w:hAnsi="仿宋_GB2312" w:eastAsia="仿宋_GB2312" w:cs="仿宋_GB2312"/>
          <w:color w:val="auto"/>
          <w:sz w:val="28"/>
          <w:szCs w:val="28"/>
          <w:highlight w:val="none"/>
        </w:rPr>
        <w:t>海绵城市(含防洪排涝风险评估)</w:t>
      </w:r>
      <w:r>
        <w:rPr>
          <w:rFonts w:hint="eastAsia" w:ascii="仿宋" w:hAnsi="仿宋" w:eastAsia="仿宋" w:cs="仿宋_GB2312"/>
          <w:color w:val="auto"/>
          <w:sz w:val="28"/>
          <w:szCs w:val="28"/>
          <w:highlight w:val="none"/>
        </w:rPr>
        <w:t>专篇作为</w:t>
      </w:r>
      <w:r>
        <w:rPr>
          <w:rFonts w:ascii="仿宋_GB2312" w:hAnsi="仿宋_GB2312" w:eastAsia="仿宋_GB2312" w:cs="仿宋_GB2312"/>
          <w:color w:val="auto"/>
          <w:sz w:val="28"/>
          <w:szCs w:val="28"/>
          <w:highlight w:val="none"/>
        </w:rPr>
        <w:t>控制性详细规划论证报告的一部分</w:t>
      </w:r>
      <w:r>
        <w:rPr>
          <w:rFonts w:hint="eastAsia" w:ascii="仿宋_GB2312" w:hAnsi="仿宋_GB2312" w:eastAsia="仿宋_GB2312" w:cs="仿宋_GB2312"/>
          <w:color w:val="auto"/>
          <w:sz w:val="28"/>
          <w:szCs w:val="28"/>
          <w:highlight w:val="none"/>
        </w:rPr>
        <w:t>，</w:t>
      </w:r>
      <w:r>
        <w:rPr>
          <w:rFonts w:ascii="仿宋_GB2312" w:hAnsi="仿宋_GB2312" w:eastAsia="仿宋_GB2312" w:cs="仿宋_GB2312"/>
          <w:color w:val="auto"/>
          <w:sz w:val="28"/>
          <w:szCs w:val="28"/>
          <w:highlight w:val="none"/>
        </w:rPr>
        <w:t>需配合石井净水厂地块控制性详细规划的不同阶段需要</w:t>
      </w:r>
      <w:r>
        <w:rPr>
          <w:rFonts w:hint="eastAsia" w:ascii="仿宋_GB2312" w:hAnsi="仿宋_GB2312" w:eastAsia="仿宋_GB2312" w:cs="仿宋_GB2312"/>
          <w:color w:val="auto"/>
          <w:sz w:val="28"/>
          <w:szCs w:val="28"/>
          <w:highlight w:val="none"/>
        </w:rPr>
        <w:t>，</w:t>
      </w:r>
      <w:r>
        <w:rPr>
          <w:rFonts w:ascii="仿宋_GB2312" w:hAnsi="仿宋_GB2312" w:eastAsia="仿宋_GB2312" w:cs="仿宋_GB2312"/>
          <w:color w:val="auto"/>
          <w:sz w:val="28"/>
          <w:szCs w:val="28"/>
          <w:highlight w:val="none"/>
        </w:rPr>
        <w:t>完成控规成果中</w:t>
      </w:r>
      <w:r>
        <w:rPr>
          <w:rFonts w:hint="eastAsia" w:ascii="仿宋_GB2312" w:hAnsi="仿宋_GB2312" w:eastAsia="仿宋_GB2312" w:cs="仿宋_GB2312"/>
          <w:color w:val="auto"/>
          <w:sz w:val="28"/>
          <w:szCs w:val="28"/>
          <w:highlight w:val="none"/>
        </w:rPr>
        <w:t>的</w:t>
      </w:r>
      <w:r>
        <w:rPr>
          <w:rFonts w:ascii="仿宋_GB2312" w:hAnsi="仿宋_GB2312" w:eastAsia="仿宋_GB2312" w:cs="仿宋_GB2312"/>
          <w:color w:val="auto"/>
          <w:sz w:val="28"/>
          <w:szCs w:val="28"/>
          <w:highlight w:val="none"/>
        </w:rPr>
        <w:t>海绵城市(含防洪排涝风险评估)专篇内容</w:t>
      </w:r>
      <w:r>
        <w:rPr>
          <w:rFonts w:hint="eastAsia" w:ascii="仿宋_GB2312" w:hAnsi="仿宋_GB2312" w:eastAsia="仿宋_GB2312" w:cs="仿宋_GB2312"/>
          <w:color w:val="auto"/>
          <w:sz w:val="28"/>
          <w:szCs w:val="28"/>
          <w:highlight w:val="none"/>
        </w:rPr>
        <w:t>，并</w:t>
      </w:r>
      <w:r>
        <w:rPr>
          <w:rFonts w:ascii="仿宋_GB2312" w:hAnsi="仿宋_GB2312" w:eastAsia="仿宋_GB2312" w:cs="仿宋_GB2312"/>
          <w:color w:val="auto"/>
          <w:sz w:val="28"/>
          <w:szCs w:val="28"/>
          <w:highlight w:val="none"/>
        </w:rPr>
        <w:t>按照相关部门意见完善修改至满足要求</w:t>
      </w:r>
      <w:r>
        <w:rPr>
          <w:rFonts w:hint="eastAsia" w:ascii="仿宋_GB2312" w:hAnsi="仿宋_GB2312" w:eastAsia="仿宋_GB2312" w:cs="仿宋_GB2312"/>
          <w:color w:val="auto"/>
          <w:sz w:val="28"/>
          <w:szCs w:val="28"/>
          <w:highlight w:val="none"/>
        </w:rPr>
        <w:t>。</w:t>
      </w:r>
    </w:p>
    <w:p>
      <w:pPr>
        <w:spacing w:line="360" w:lineRule="auto"/>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3.付款方式：见合同书格式。</w:t>
      </w:r>
    </w:p>
    <w:p>
      <w:pPr>
        <w:spacing w:line="360" w:lineRule="auto"/>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4.承包方式：总价包干。</w:t>
      </w:r>
    </w:p>
    <w:p>
      <w:pPr>
        <w:spacing w:line="360" w:lineRule="auto"/>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本合同采用总价包干，工作内容包括完成本合同项下的所有工作（包含但不限于报告编制和报审、修改完善及公示期间相关工作的配合）。整个项目主要工作内容包括：</w:t>
      </w:r>
    </w:p>
    <w:p>
      <w:pPr>
        <w:spacing w:line="360" w:lineRule="auto"/>
        <w:ind w:firstLine="560" w:firstLineChars="200"/>
        <w:rPr>
          <w:rFonts w:ascii="仿宋_GB2312" w:hAnsi="仿宋_GB2312" w:eastAsia="仿宋_GB2312" w:cs="仿宋_GB2312"/>
          <w:color w:val="auto"/>
          <w:sz w:val="28"/>
          <w:szCs w:val="28"/>
          <w:highlight w:val="none"/>
        </w:rPr>
      </w:pPr>
      <w:bookmarkStart w:id="1" w:name="_Toc62667714"/>
      <w:r>
        <w:rPr>
          <w:rFonts w:hint="eastAsia" w:ascii="仿宋_GB2312" w:hAnsi="仿宋_GB2312" w:eastAsia="仿宋_GB2312" w:cs="仿宋_GB2312"/>
          <w:color w:val="auto"/>
          <w:sz w:val="28"/>
          <w:szCs w:val="28"/>
          <w:highlight w:val="none"/>
        </w:rPr>
        <w:t>（1）海绵城市专项规划工作内容主要包括：</w:t>
      </w:r>
    </w:p>
    <w:p>
      <w:pPr>
        <w:spacing w:line="360" w:lineRule="auto"/>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依据《广州市建设项目雨水径流控制办法》（广州市人民政府令第107号）、《广州市建设项目海绵城市建设管控指标分类指引（试行）的通知》(穗水河湖</w:t>
      </w:r>
      <w:r>
        <w:rPr>
          <w:rFonts w:hint="eastAsia" w:ascii="仿宋" w:hAnsi="仿宋" w:eastAsia="仿宋" w:cs="仿宋_GB2312"/>
          <w:color w:val="auto"/>
          <w:sz w:val="28"/>
          <w:szCs w:val="28"/>
          <w:highlight w:val="none"/>
        </w:rPr>
        <w:t>﹝2020﹞</w:t>
      </w:r>
      <w:r>
        <w:rPr>
          <w:rFonts w:hint="eastAsia" w:ascii="仿宋_GB2312" w:hAnsi="仿宋_GB2312" w:eastAsia="仿宋_GB2312" w:cs="仿宋_GB2312"/>
          <w:color w:val="auto"/>
          <w:sz w:val="28"/>
          <w:szCs w:val="28"/>
          <w:highlight w:val="none"/>
        </w:rPr>
        <w:t>7号)、《广州市海绵城市建设领导小组办公室关于印发广州市海绵城市建设专篇编制要点的通知》（穗海绵办</w:t>
      </w:r>
      <w:r>
        <w:rPr>
          <w:rFonts w:hint="eastAsia" w:ascii="仿宋" w:hAnsi="仿宋" w:eastAsia="仿宋" w:cs="仿宋_GB2312"/>
          <w:color w:val="auto"/>
          <w:sz w:val="28"/>
          <w:szCs w:val="28"/>
          <w:highlight w:val="none"/>
        </w:rPr>
        <w:t>﹝2021﹞</w:t>
      </w:r>
      <w:r>
        <w:rPr>
          <w:rFonts w:hint="eastAsia" w:ascii="仿宋_GB2312" w:hAnsi="仿宋_GB2312" w:eastAsia="仿宋_GB2312" w:cs="仿宋_GB2312"/>
          <w:color w:val="auto"/>
          <w:sz w:val="28"/>
          <w:szCs w:val="28"/>
          <w:highlight w:val="none"/>
        </w:rPr>
        <w:t>12号）和各区海绵城市专项规划的有关要求，细化落实各地块的海绵城市相关管控指标和建设方案。</w:t>
      </w:r>
    </w:p>
    <w:bookmarkEnd w:id="1"/>
    <w:p>
      <w:pPr>
        <w:spacing w:line="360" w:lineRule="auto"/>
        <w:ind w:firstLine="560" w:firstLineChars="200"/>
        <w:rPr>
          <w:rFonts w:ascii="仿宋_GB2312" w:hAnsi="仿宋_GB2312" w:eastAsia="仿宋_GB2312" w:cs="仿宋_GB2312"/>
          <w:color w:val="auto"/>
          <w:sz w:val="28"/>
          <w:szCs w:val="28"/>
          <w:highlight w:val="none"/>
        </w:rPr>
      </w:pPr>
      <w:bookmarkStart w:id="2" w:name="_Toc62667715"/>
      <w:bookmarkStart w:id="3" w:name="OLE_LINK1"/>
      <w:bookmarkStart w:id="4" w:name="OLE_LINK2"/>
      <w:r>
        <w:rPr>
          <w:rFonts w:hint="eastAsia" w:ascii="仿宋_GB2312" w:hAnsi="仿宋_GB2312" w:eastAsia="仿宋_GB2312" w:cs="仿宋_GB2312"/>
          <w:color w:val="auto"/>
          <w:sz w:val="28"/>
          <w:szCs w:val="28"/>
          <w:highlight w:val="none"/>
        </w:rPr>
        <w:t>（2）</w:t>
      </w:r>
      <w:bookmarkEnd w:id="2"/>
      <w:r>
        <w:rPr>
          <w:rFonts w:hint="eastAsia" w:ascii="仿宋_GB2312" w:hAnsi="仿宋_GB2312" w:eastAsia="仿宋_GB2312" w:cs="仿宋_GB2312"/>
          <w:color w:val="auto"/>
          <w:sz w:val="28"/>
          <w:szCs w:val="28"/>
          <w:highlight w:val="none"/>
        </w:rPr>
        <w:t>防洪排涝风险评估工作内容主要包括：</w:t>
      </w:r>
    </w:p>
    <w:p>
      <w:pPr>
        <w:spacing w:line="360" w:lineRule="auto"/>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1）基本情况：包括①建设项目概况；②工程区域及流域基本情况；③防洪排涝及排水现状；④排水防涝设施规划及控制指标；⑤工程区域下垫面变化情况；⑥流域历史洪涝灾害情况。</w:t>
      </w:r>
    </w:p>
    <w:p>
      <w:pPr>
        <w:spacing w:line="360" w:lineRule="auto"/>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2）项目所处区域洪涝风险等级评定：包括①洪涝风险等级评定方法；②洪涝风险等级评定结果。</w:t>
      </w:r>
    </w:p>
    <w:p>
      <w:pPr>
        <w:spacing w:line="360" w:lineRule="auto"/>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3）防洪排涝风险评估：包括①外江防洪（潮）标准；②河涌整治防洪标准；③内涝防治标准。</w:t>
      </w:r>
    </w:p>
    <w:p>
      <w:pPr>
        <w:spacing w:line="360" w:lineRule="auto"/>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4）排水工程评估：包括①雨水径流控制标准；②雨水管渠、泵站及附属设施设计标准；③规划排水布局复核；④规划排水体制复核。</w:t>
      </w:r>
    </w:p>
    <w:p>
      <w:pPr>
        <w:spacing w:line="360" w:lineRule="auto"/>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5）海绵城市评估：评估径流削减要求和地块配建调蓄容积需求。</w:t>
      </w:r>
    </w:p>
    <w:p>
      <w:pPr>
        <w:spacing w:line="360" w:lineRule="auto"/>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6）地块竖向评估：评估地块高程是否满足防涝要求，若不满足，给出合理化建议。</w:t>
      </w:r>
    </w:p>
    <w:p>
      <w:pPr>
        <w:spacing w:line="360" w:lineRule="auto"/>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7）供水、污水承载力评估：定量评估地块内规划用水量和污水量，周边市政供水水压、水量及污水管网是否满足承载要求。</w:t>
      </w:r>
    </w:p>
    <w:p>
      <w:pPr>
        <w:spacing w:line="360" w:lineRule="auto"/>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8）结论及建议：按照洪涝安全评估审查要点，提出总结和建议。</w:t>
      </w:r>
    </w:p>
    <w:p>
      <w:pPr>
        <w:spacing w:line="360" w:lineRule="auto"/>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9）附件</w:t>
      </w:r>
      <w:r>
        <w:rPr>
          <w:rFonts w:hint="eastAsia" w:ascii="宋体" w:hAnsi="宋体" w:eastAsia="宋体" w:cs="宋体"/>
          <w:color w:val="auto"/>
          <w:sz w:val="28"/>
          <w:szCs w:val="28"/>
          <w:highlight w:val="none"/>
        </w:rPr>
        <w:t>“</w:t>
      </w:r>
      <w:r>
        <w:rPr>
          <w:rFonts w:hint="eastAsia" w:ascii="仿宋_GB2312" w:hAnsi="仿宋_GB2312" w:eastAsia="仿宋_GB2312" w:cs="仿宋_GB2312"/>
          <w:color w:val="auto"/>
          <w:sz w:val="28"/>
          <w:szCs w:val="28"/>
          <w:highlight w:val="none"/>
        </w:rPr>
        <w:t>三图一表</w:t>
      </w:r>
      <w:r>
        <w:rPr>
          <w:rFonts w:hint="eastAsia" w:ascii="宋体" w:hAnsi="宋体" w:eastAsia="宋体" w:cs="宋体"/>
          <w:color w:val="auto"/>
          <w:sz w:val="28"/>
          <w:szCs w:val="28"/>
          <w:highlight w:val="none"/>
        </w:rPr>
        <w:t>”</w:t>
      </w:r>
      <w:r>
        <w:rPr>
          <w:rFonts w:hint="eastAsia" w:ascii="仿宋_GB2312" w:hAnsi="仿宋_GB2312" w:eastAsia="仿宋_GB2312" w:cs="仿宋_GB2312"/>
          <w:color w:val="auto"/>
          <w:sz w:val="28"/>
          <w:szCs w:val="28"/>
          <w:highlight w:val="none"/>
        </w:rPr>
        <w:t>：提交蓝绿设施布局图、水务设施布局图、地块竖向优化图和洪涝评估特征表。</w:t>
      </w:r>
    </w:p>
    <w:p>
      <w:pPr>
        <w:spacing w:line="360" w:lineRule="auto"/>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w:t>
      </w:r>
      <w:r>
        <w:rPr>
          <w:rFonts w:ascii="仿宋_GB2312" w:hAnsi="仿宋_GB2312" w:eastAsia="仿宋_GB2312" w:cs="仿宋_GB2312"/>
          <w:color w:val="auto"/>
          <w:sz w:val="28"/>
          <w:szCs w:val="28"/>
          <w:highlight w:val="none"/>
        </w:rPr>
        <w:t>海绵城市(含防洪排涝风险评估)专篇内容需</w:t>
      </w:r>
      <w:r>
        <w:rPr>
          <w:rFonts w:hint="eastAsia" w:ascii="仿宋_GB2312" w:hAnsi="仿宋_GB2312" w:eastAsia="仿宋_GB2312" w:cs="仿宋_GB2312"/>
          <w:color w:val="auto"/>
          <w:sz w:val="28"/>
          <w:szCs w:val="28"/>
          <w:highlight w:val="none"/>
        </w:rPr>
        <w:t>满足最新</w:t>
      </w:r>
      <w:r>
        <w:rPr>
          <w:rFonts w:hint="eastAsia" w:ascii="仿宋" w:hAnsi="仿宋" w:eastAsia="仿宋" w:cs="仿宋_GB2312"/>
          <w:color w:val="auto"/>
          <w:sz w:val="28"/>
          <w:szCs w:val="28"/>
          <w:highlight w:val="none"/>
        </w:rPr>
        <w:t>国家和地方的法律、法规、规章、标准和技术要求，以及地方</w:t>
      </w:r>
      <w:r>
        <w:rPr>
          <w:rFonts w:hint="eastAsia" w:ascii="仿宋_GB2312" w:hAnsi="仿宋_GB2312" w:eastAsia="仿宋_GB2312" w:cs="仿宋_GB2312"/>
          <w:color w:val="auto"/>
          <w:sz w:val="28"/>
          <w:szCs w:val="28"/>
          <w:highlight w:val="none"/>
        </w:rPr>
        <w:t>规划、水务等主管部门的对控规阶段</w:t>
      </w:r>
      <w:r>
        <w:rPr>
          <w:rFonts w:ascii="仿宋_GB2312" w:hAnsi="仿宋_GB2312" w:eastAsia="仿宋_GB2312" w:cs="仿宋_GB2312"/>
          <w:color w:val="auto"/>
          <w:sz w:val="28"/>
          <w:szCs w:val="28"/>
          <w:highlight w:val="none"/>
        </w:rPr>
        <w:t>海绵城市(含防洪排涝风险评估)专篇的</w:t>
      </w:r>
      <w:r>
        <w:rPr>
          <w:rFonts w:hint="eastAsia" w:ascii="仿宋_GB2312" w:hAnsi="仿宋_GB2312" w:eastAsia="仿宋_GB2312" w:cs="仿宋_GB2312"/>
          <w:color w:val="auto"/>
          <w:sz w:val="28"/>
          <w:szCs w:val="28"/>
          <w:highlight w:val="none"/>
        </w:rPr>
        <w:t>其它相关要求。</w:t>
      </w:r>
    </w:p>
    <w:bookmarkEnd w:id="3"/>
    <w:bookmarkEnd w:id="4"/>
    <w:p>
      <w:pPr>
        <w:pStyle w:val="2"/>
        <w:rPr>
          <w:color w:val="auto"/>
          <w:highlight w:val="none"/>
        </w:rPr>
      </w:pPr>
    </w:p>
    <w:p>
      <w:pPr>
        <w:widowControl/>
        <w:spacing w:line="560" w:lineRule="exact"/>
        <w:ind w:firstLine="560" w:firstLineChars="200"/>
        <w:jc w:val="left"/>
        <w:rPr>
          <w:rFonts w:ascii="仿宋_GB2312" w:hAnsi="宋体" w:eastAsia="仿宋_GB2312"/>
          <w:sz w:val="28"/>
          <w:szCs w:val="28"/>
        </w:rPr>
      </w:pPr>
    </w:p>
    <w:p>
      <w:pPr>
        <w:widowControl/>
        <w:spacing w:line="560" w:lineRule="exact"/>
        <w:ind w:firstLine="560" w:firstLineChars="200"/>
        <w:jc w:val="left"/>
        <w:rPr>
          <w:rFonts w:ascii="仿宋_GB2312" w:hAnsi="仿宋_GB2312" w:eastAsia="仿宋_GB2312" w:cs="仿宋_GB2312"/>
          <w:sz w:val="28"/>
          <w:szCs w:val="28"/>
          <w:u w:val="single"/>
        </w:rPr>
      </w:pPr>
    </w:p>
    <w:p>
      <w:pPr>
        <w:widowControl/>
        <w:jc w:val="left"/>
        <w:rPr>
          <w:rFonts w:ascii="仿宋_GB2312" w:hAnsi="宋体" w:eastAsia="仿宋_GB2312"/>
          <w:sz w:val="28"/>
          <w:szCs w:val="28"/>
        </w:rPr>
      </w:pPr>
      <w:r>
        <w:rPr>
          <w:rFonts w:ascii="仿宋_GB2312" w:hAnsi="宋体" w:eastAsia="仿宋_GB2312"/>
          <w:sz w:val="28"/>
          <w:szCs w:val="28"/>
        </w:rPr>
        <w:br w:type="page"/>
      </w:r>
    </w:p>
    <w:p>
      <w:pPr>
        <w:pStyle w:val="9"/>
        <w:adjustRightInd w:val="0"/>
        <w:snapToGrid w:val="0"/>
        <w:spacing w:line="300" w:lineRule="auto"/>
        <w:jc w:val="center"/>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lang w:val="zh-CN"/>
        </w:rPr>
        <w:t xml:space="preserve">第三部分 </w:t>
      </w:r>
      <w:r>
        <w:rPr>
          <w:rFonts w:hint="eastAsia" w:ascii="仿宋_GB2312" w:hAnsi="仿宋_GB2312" w:eastAsia="仿宋_GB2312" w:cs="仿宋_GB2312"/>
          <w:b/>
          <w:sz w:val="28"/>
          <w:szCs w:val="28"/>
          <w:highlight w:val="none"/>
        </w:rPr>
        <w:t xml:space="preserve"> 报价须知</w:t>
      </w:r>
    </w:p>
    <w:p>
      <w:pPr>
        <w:pStyle w:val="9"/>
        <w:adjustRightInd w:val="0"/>
        <w:snapToGrid w:val="0"/>
        <w:spacing w:line="300" w:lineRule="auto"/>
        <w:rPr>
          <w:rFonts w:ascii="仿宋" w:hAnsi="仿宋" w:eastAsia="仿宋" w:cs="仿宋_GB2312"/>
          <w:b/>
          <w:sz w:val="28"/>
          <w:szCs w:val="28"/>
          <w:highlight w:val="none"/>
        </w:rPr>
      </w:pPr>
      <w:r>
        <w:rPr>
          <w:rFonts w:hint="eastAsia" w:ascii="仿宋" w:hAnsi="仿宋" w:eastAsia="仿宋" w:cs="仿宋_GB2312"/>
          <w:b/>
          <w:sz w:val="28"/>
          <w:szCs w:val="28"/>
          <w:highlight w:val="none"/>
        </w:rPr>
        <w:t>一、概念释义</w:t>
      </w:r>
    </w:p>
    <w:p>
      <w:pPr>
        <w:pStyle w:val="9"/>
        <w:adjustRightInd w:val="0"/>
        <w:snapToGrid w:val="0"/>
        <w:spacing w:line="300" w:lineRule="auto"/>
        <w:ind w:left="542" w:hanging="560" w:hangingChars="200"/>
        <w:rPr>
          <w:rFonts w:ascii="仿宋" w:hAnsi="仿宋" w:eastAsia="仿宋" w:cs="仿宋_GB2312"/>
          <w:sz w:val="28"/>
          <w:szCs w:val="28"/>
          <w:highlight w:val="none"/>
        </w:rPr>
      </w:pPr>
      <w:r>
        <w:rPr>
          <w:rFonts w:hint="eastAsia" w:ascii="仿宋" w:hAnsi="仿宋" w:eastAsia="仿宋" w:cs="仿宋_GB2312"/>
          <w:sz w:val="28"/>
          <w:szCs w:val="28"/>
          <w:highlight w:val="none"/>
        </w:rPr>
        <w:t>1.“询价人”是指：广州市净水有限公司。</w:t>
      </w:r>
    </w:p>
    <w:p>
      <w:pPr>
        <w:pStyle w:val="9"/>
        <w:tabs>
          <w:tab w:val="left" w:pos="360"/>
        </w:tabs>
        <w:adjustRightInd w:val="0"/>
        <w:snapToGrid w:val="0"/>
        <w:spacing w:line="300" w:lineRule="auto"/>
        <w:ind w:left="542" w:hanging="560" w:hangingChars="200"/>
        <w:rPr>
          <w:rFonts w:ascii="仿宋" w:hAnsi="仿宋" w:eastAsia="仿宋" w:cs="仿宋_GB2312"/>
          <w:kern w:val="0"/>
          <w:sz w:val="28"/>
          <w:szCs w:val="28"/>
          <w:highlight w:val="none"/>
        </w:rPr>
      </w:pPr>
      <w:r>
        <w:rPr>
          <w:rFonts w:hint="eastAsia" w:ascii="仿宋" w:hAnsi="仿宋" w:eastAsia="仿宋" w:cs="仿宋_GB2312"/>
          <w:sz w:val="28"/>
          <w:szCs w:val="28"/>
          <w:highlight w:val="none"/>
        </w:rPr>
        <w:t>2.合格的报价单位:</w:t>
      </w:r>
      <w:r>
        <w:rPr>
          <w:rFonts w:hint="eastAsia" w:ascii="仿宋" w:hAnsi="仿宋" w:eastAsia="仿宋" w:cs="仿宋_GB2312"/>
          <w:kern w:val="0"/>
          <w:sz w:val="28"/>
          <w:szCs w:val="28"/>
          <w:highlight w:val="none"/>
        </w:rPr>
        <w:t>符合询价文件规定资格</w:t>
      </w:r>
      <w:r>
        <w:rPr>
          <w:rFonts w:hint="eastAsia" w:ascii="仿宋" w:hAnsi="仿宋" w:eastAsia="仿宋" w:cs="仿宋_GB2312"/>
          <w:sz w:val="28"/>
          <w:szCs w:val="28"/>
          <w:highlight w:val="none"/>
          <w:lang w:val="zh-CN"/>
        </w:rPr>
        <w:t>要求</w:t>
      </w:r>
      <w:r>
        <w:rPr>
          <w:rFonts w:hint="eastAsia" w:ascii="仿宋" w:hAnsi="仿宋" w:eastAsia="仿宋" w:cs="仿宋_GB2312"/>
          <w:kern w:val="0"/>
          <w:sz w:val="28"/>
          <w:szCs w:val="28"/>
          <w:highlight w:val="none"/>
        </w:rPr>
        <w:t>的报价单位。</w:t>
      </w:r>
    </w:p>
    <w:p>
      <w:pPr>
        <w:pStyle w:val="9"/>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3.“承包人”是指经法定程序确认并授以合同的报价单位。</w:t>
      </w:r>
    </w:p>
    <w:p>
      <w:pPr>
        <w:pStyle w:val="9"/>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4. 合格的工程：满足国家相关法律、法规、规章等规定，并符合本项目相关质量要求、安全文明施工要求的工程。</w:t>
      </w:r>
    </w:p>
    <w:p>
      <w:pPr>
        <w:pStyle w:val="9"/>
        <w:adjustRightInd w:val="0"/>
        <w:snapToGrid w:val="0"/>
        <w:spacing w:line="300" w:lineRule="auto"/>
        <w:ind w:left="420" w:hanging="420"/>
        <w:rPr>
          <w:rFonts w:ascii="仿宋" w:hAnsi="仿宋" w:eastAsia="仿宋" w:cs="仿宋_GB2312"/>
          <w:b/>
          <w:sz w:val="28"/>
          <w:szCs w:val="28"/>
          <w:highlight w:val="none"/>
        </w:rPr>
      </w:pPr>
      <w:r>
        <w:rPr>
          <w:rFonts w:hint="eastAsia" w:ascii="仿宋" w:hAnsi="仿宋" w:eastAsia="仿宋" w:cs="仿宋_GB2312"/>
          <w:b/>
          <w:sz w:val="28"/>
          <w:szCs w:val="28"/>
          <w:highlight w:val="none"/>
        </w:rPr>
        <w:t>二、询价文件</w:t>
      </w:r>
    </w:p>
    <w:p>
      <w:pPr>
        <w:pStyle w:val="9"/>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5．适用范围:本询价文件适用于本报价邀请中所述项目的询价。</w:t>
      </w:r>
    </w:p>
    <w:p>
      <w:pPr>
        <w:pStyle w:val="9"/>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6. 询价文件的构成</w:t>
      </w:r>
    </w:p>
    <w:p>
      <w:pPr>
        <w:pStyle w:val="9"/>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6.1询价文件包括但不限于下列文件:</w:t>
      </w:r>
    </w:p>
    <w:p>
      <w:pPr>
        <w:pStyle w:val="9"/>
        <w:adjustRightInd w:val="0"/>
        <w:snapToGrid w:val="0"/>
        <w:spacing w:line="300" w:lineRule="auto"/>
        <w:ind w:firstLine="360"/>
        <w:rPr>
          <w:rFonts w:ascii="仿宋" w:hAnsi="仿宋" w:eastAsia="仿宋" w:cs="仿宋_GB2312"/>
          <w:sz w:val="28"/>
          <w:szCs w:val="28"/>
          <w:highlight w:val="none"/>
        </w:rPr>
      </w:pPr>
      <w:r>
        <w:rPr>
          <w:rFonts w:hint="eastAsia" w:ascii="仿宋" w:hAnsi="仿宋" w:eastAsia="仿宋" w:cs="仿宋_GB2312"/>
          <w:sz w:val="28"/>
          <w:szCs w:val="28"/>
          <w:highlight w:val="none"/>
        </w:rPr>
        <w:t>1）报价邀请函</w:t>
      </w:r>
    </w:p>
    <w:p>
      <w:pPr>
        <w:pStyle w:val="9"/>
        <w:adjustRightInd w:val="0"/>
        <w:snapToGrid w:val="0"/>
        <w:spacing w:line="300" w:lineRule="auto"/>
        <w:ind w:firstLine="360"/>
        <w:rPr>
          <w:rFonts w:ascii="仿宋" w:hAnsi="仿宋" w:eastAsia="仿宋" w:cs="仿宋_GB2312"/>
          <w:sz w:val="28"/>
          <w:szCs w:val="28"/>
          <w:highlight w:val="none"/>
        </w:rPr>
      </w:pPr>
      <w:r>
        <w:rPr>
          <w:rFonts w:hint="eastAsia" w:ascii="仿宋" w:hAnsi="仿宋" w:eastAsia="仿宋" w:cs="仿宋_GB2312"/>
          <w:sz w:val="28"/>
          <w:szCs w:val="28"/>
          <w:highlight w:val="none"/>
        </w:rPr>
        <w:t>2) 项目内容</w:t>
      </w:r>
    </w:p>
    <w:p>
      <w:pPr>
        <w:pStyle w:val="9"/>
        <w:adjustRightInd w:val="0"/>
        <w:snapToGrid w:val="0"/>
        <w:spacing w:line="300" w:lineRule="auto"/>
        <w:ind w:firstLine="360"/>
        <w:rPr>
          <w:rFonts w:ascii="仿宋" w:hAnsi="仿宋" w:eastAsia="仿宋" w:cs="仿宋_GB2312"/>
          <w:sz w:val="28"/>
          <w:szCs w:val="28"/>
          <w:highlight w:val="none"/>
        </w:rPr>
      </w:pPr>
      <w:r>
        <w:rPr>
          <w:rFonts w:hint="eastAsia" w:ascii="仿宋" w:hAnsi="仿宋" w:eastAsia="仿宋" w:cs="仿宋_GB2312"/>
          <w:sz w:val="28"/>
          <w:szCs w:val="28"/>
          <w:highlight w:val="none"/>
        </w:rPr>
        <w:t>3) 报价单位须知</w:t>
      </w:r>
    </w:p>
    <w:p>
      <w:pPr>
        <w:pStyle w:val="9"/>
        <w:adjustRightInd w:val="0"/>
        <w:snapToGrid w:val="0"/>
        <w:spacing w:line="300" w:lineRule="auto"/>
        <w:ind w:firstLine="360"/>
        <w:rPr>
          <w:rFonts w:ascii="仿宋" w:hAnsi="仿宋" w:eastAsia="仿宋" w:cs="仿宋_GB2312"/>
          <w:sz w:val="28"/>
          <w:szCs w:val="28"/>
          <w:highlight w:val="none"/>
        </w:rPr>
      </w:pPr>
      <w:r>
        <w:rPr>
          <w:rFonts w:hint="eastAsia" w:ascii="仿宋" w:hAnsi="仿宋" w:eastAsia="仿宋" w:cs="仿宋_GB2312"/>
          <w:sz w:val="28"/>
          <w:szCs w:val="28"/>
          <w:highlight w:val="none"/>
        </w:rPr>
        <w:t>4) 合同书格式</w:t>
      </w:r>
    </w:p>
    <w:p>
      <w:pPr>
        <w:pStyle w:val="9"/>
        <w:adjustRightInd w:val="0"/>
        <w:snapToGrid w:val="0"/>
        <w:spacing w:line="300" w:lineRule="auto"/>
        <w:ind w:firstLine="360"/>
        <w:rPr>
          <w:rFonts w:ascii="仿宋" w:hAnsi="仿宋" w:eastAsia="仿宋" w:cs="仿宋_GB2312"/>
          <w:sz w:val="28"/>
          <w:szCs w:val="28"/>
          <w:highlight w:val="none"/>
        </w:rPr>
      </w:pPr>
      <w:r>
        <w:rPr>
          <w:rFonts w:hint="eastAsia" w:ascii="仿宋" w:hAnsi="仿宋" w:eastAsia="仿宋" w:cs="仿宋_GB2312"/>
          <w:sz w:val="28"/>
          <w:szCs w:val="28"/>
          <w:highlight w:val="none"/>
        </w:rPr>
        <w:t>5) 询价响应文件格式</w:t>
      </w:r>
    </w:p>
    <w:p>
      <w:pPr>
        <w:pStyle w:val="9"/>
        <w:adjustRightInd w:val="0"/>
        <w:snapToGrid w:val="0"/>
        <w:spacing w:line="300" w:lineRule="auto"/>
        <w:ind w:firstLine="360"/>
        <w:rPr>
          <w:rFonts w:ascii="仿宋" w:hAnsi="仿宋" w:eastAsia="仿宋" w:cs="仿宋_GB2312"/>
          <w:sz w:val="28"/>
          <w:szCs w:val="28"/>
          <w:highlight w:val="none"/>
        </w:rPr>
      </w:pPr>
      <w:r>
        <w:rPr>
          <w:rFonts w:hint="eastAsia" w:ascii="仿宋" w:hAnsi="仿宋" w:eastAsia="仿宋" w:cs="仿宋_GB2312"/>
          <w:sz w:val="28"/>
          <w:szCs w:val="28"/>
          <w:highlight w:val="none"/>
        </w:rPr>
        <w:t>6) 在询价过程中由询价人发出的修正和补充文件等</w:t>
      </w:r>
    </w:p>
    <w:p>
      <w:pPr>
        <w:pStyle w:val="9"/>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6.2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pPr>
        <w:pStyle w:val="9"/>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7. 询价文件的澄清或修改</w:t>
      </w:r>
    </w:p>
    <w:p>
      <w:pPr>
        <w:pStyle w:val="9"/>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7.1询价文件的澄清是指询价人对询价文件中的遗漏、错误、词义表达不清或对比较复杂的事项进行说明，回答报价单位提出的各种问题。询价文件的修改是指询价人对询价文件中出现的错误进行修订。</w:t>
      </w:r>
    </w:p>
    <w:p>
      <w:pPr>
        <w:pStyle w:val="9"/>
        <w:adjustRightInd w:val="0"/>
        <w:snapToGrid w:val="0"/>
        <w:spacing w:line="300" w:lineRule="auto"/>
        <w:ind w:left="420" w:hanging="420"/>
        <w:rPr>
          <w:rFonts w:hint="eastAsia" w:ascii="仿宋" w:hAnsi="仿宋" w:eastAsia="仿宋" w:cs="仿宋_GB2312"/>
          <w:color w:val="000000"/>
          <w:sz w:val="28"/>
          <w:szCs w:val="28"/>
          <w:highlight w:val="none"/>
          <w:lang w:eastAsia="zh-CN"/>
        </w:rPr>
      </w:pPr>
      <w:r>
        <w:rPr>
          <w:rFonts w:hint="eastAsia" w:ascii="仿宋" w:hAnsi="仿宋" w:eastAsia="仿宋" w:cs="仿宋_GB2312"/>
          <w:color w:val="000000"/>
          <w:sz w:val="28"/>
          <w:szCs w:val="28"/>
          <w:highlight w:val="none"/>
          <w:lang w:eastAsia="zh-CN"/>
        </w:rPr>
        <w:t>7.2任何要求对询价文件进行澄清的报价单位，均应以</w:t>
      </w:r>
      <w:r>
        <w:rPr>
          <w:rFonts w:hint="eastAsia" w:ascii="仿宋" w:hAnsi="仿宋" w:eastAsia="仿宋" w:cs="仿宋_GB2312"/>
          <w:color w:val="000000"/>
          <w:sz w:val="28"/>
          <w:szCs w:val="28"/>
          <w:highlight w:val="none"/>
          <w:lang w:val="en-US" w:eastAsia="zh-CN"/>
        </w:rPr>
        <w:t>纸质</w:t>
      </w:r>
      <w:r>
        <w:rPr>
          <w:rFonts w:hint="eastAsia" w:ascii="仿宋" w:hAnsi="仿宋" w:eastAsia="仿宋" w:cs="仿宋_GB2312"/>
          <w:color w:val="000000"/>
          <w:sz w:val="28"/>
          <w:szCs w:val="28"/>
          <w:highlight w:val="none"/>
          <w:lang w:eastAsia="zh-CN"/>
        </w:rPr>
        <w:t>形式通知询价人。询价人对其收到的</w:t>
      </w:r>
      <w:r>
        <w:rPr>
          <w:rFonts w:hint="eastAsia" w:ascii="仿宋" w:hAnsi="仿宋" w:eastAsia="仿宋" w:cs="仿宋_GB2312"/>
          <w:color w:val="000000"/>
          <w:sz w:val="28"/>
          <w:szCs w:val="28"/>
          <w:highlight w:val="none"/>
          <w:lang w:val="en-US" w:eastAsia="zh-CN"/>
        </w:rPr>
        <w:t>纸质</w:t>
      </w:r>
      <w:r>
        <w:rPr>
          <w:rFonts w:hint="eastAsia" w:ascii="仿宋" w:hAnsi="仿宋" w:eastAsia="仿宋" w:cs="仿宋_GB2312"/>
          <w:color w:val="000000"/>
          <w:sz w:val="28"/>
          <w:szCs w:val="28"/>
          <w:highlight w:val="none"/>
          <w:lang w:eastAsia="zh-CN"/>
        </w:rPr>
        <w:t>的对询价文件的澄清要求均以书面形式予以答复，（答复中不包括问题的来源）。该答复作为询价文件的一部分，对报价单位有约束力。</w:t>
      </w:r>
    </w:p>
    <w:p>
      <w:pPr>
        <w:pStyle w:val="9"/>
        <w:adjustRightInd w:val="0"/>
        <w:snapToGrid w:val="0"/>
        <w:spacing w:line="300" w:lineRule="auto"/>
        <w:ind w:left="420" w:hanging="420"/>
        <w:rPr>
          <w:rFonts w:hint="eastAsia" w:ascii="仿宋" w:hAnsi="仿宋" w:eastAsia="仿宋" w:cs="仿宋_GB2312"/>
          <w:color w:val="000000"/>
          <w:sz w:val="28"/>
          <w:szCs w:val="28"/>
          <w:highlight w:val="none"/>
          <w:lang w:eastAsia="zh-CN"/>
        </w:rPr>
      </w:pPr>
      <w:r>
        <w:rPr>
          <w:rFonts w:hint="eastAsia" w:ascii="仿宋" w:hAnsi="仿宋" w:eastAsia="仿宋" w:cs="仿宋_GB2312"/>
          <w:color w:val="000000"/>
          <w:sz w:val="28"/>
          <w:szCs w:val="28"/>
          <w:highlight w:val="none"/>
          <w:lang w:eastAsia="zh-CN"/>
        </w:rPr>
        <w:t>７.3询价文件的修改或澄清将以书面形式通知所有</w:t>
      </w:r>
      <w:r>
        <w:rPr>
          <w:rFonts w:hint="eastAsia" w:ascii="仿宋" w:hAnsi="仿宋" w:eastAsia="仿宋" w:cs="仿宋_GB2312"/>
          <w:color w:val="000000"/>
          <w:sz w:val="28"/>
          <w:szCs w:val="28"/>
          <w:highlight w:val="none"/>
          <w:lang w:val="en-US" w:eastAsia="zh-CN"/>
        </w:rPr>
        <w:t>获取</w:t>
      </w:r>
      <w:r>
        <w:rPr>
          <w:rFonts w:hint="eastAsia" w:ascii="仿宋" w:hAnsi="仿宋" w:eastAsia="仿宋" w:cs="仿宋_GB2312"/>
          <w:color w:val="000000"/>
          <w:sz w:val="28"/>
          <w:szCs w:val="28"/>
          <w:highlight w:val="none"/>
          <w:lang w:eastAsia="zh-CN"/>
        </w:rPr>
        <w:t>询价文件的报价单位，并对其具有约束力。</w:t>
      </w:r>
    </w:p>
    <w:p>
      <w:pPr>
        <w:pStyle w:val="9"/>
        <w:adjustRightInd w:val="0"/>
        <w:snapToGrid w:val="0"/>
        <w:spacing w:line="300" w:lineRule="auto"/>
        <w:ind w:left="420" w:hanging="420"/>
        <w:rPr>
          <w:rFonts w:hint="eastAsia" w:ascii="仿宋" w:hAnsi="仿宋" w:eastAsia="仿宋" w:cs="仿宋_GB2312"/>
          <w:color w:val="000000"/>
          <w:sz w:val="28"/>
          <w:szCs w:val="28"/>
          <w:highlight w:val="none"/>
          <w:lang w:eastAsia="zh-CN"/>
        </w:rPr>
      </w:pPr>
      <w:r>
        <w:rPr>
          <w:rFonts w:hint="eastAsia" w:ascii="仿宋" w:hAnsi="仿宋" w:eastAsia="仿宋" w:cs="仿宋_GB2312"/>
          <w:color w:val="000000"/>
          <w:sz w:val="28"/>
          <w:szCs w:val="28"/>
          <w:highlight w:val="none"/>
          <w:lang w:eastAsia="zh-CN"/>
        </w:rPr>
        <w:t>7.4询价人可以视询价具体情况，延长递交询价响应文件截止时间，并将变更时间以书面形式通知所有询价文件收受人。</w:t>
      </w:r>
    </w:p>
    <w:p>
      <w:pPr>
        <w:pStyle w:val="9"/>
        <w:adjustRightInd w:val="0"/>
        <w:snapToGrid w:val="0"/>
        <w:spacing w:line="300" w:lineRule="auto"/>
        <w:ind w:left="420" w:hanging="420"/>
        <w:rPr>
          <w:rFonts w:hint="eastAsia" w:ascii="仿宋" w:hAnsi="仿宋" w:eastAsia="仿宋" w:cs="仿宋_GB2312"/>
          <w:b w:val="0"/>
          <w:bCs w:val="0"/>
          <w:color w:val="000000"/>
          <w:sz w:val="28"/>
          <w:szCs w:val="28"/>
          <w:highlight w:val="none"/>
          <w:lang w:val="en-US" w:eastAsia="zh-CN"/>
        </w:rPr>
      </w:pPr>
      <w:r>
        <w:rPr>
          <w:rFonts w:hint="eastAsia" w:ascii="仿宋" w:hAnsi="仿宋" w:eastAsia="仿宋" w:cs="仿宋_GB2312"/>
          <w:color w:val="000000"/>
          <w:sz w:val="28"/>
          <w:szCs w:val="28"/>
          <w:highlight w:val="none"/>
          <w:lang w:val="en-US" w:eastAsia="zh-CN"/>
        </w:rPr>
        <w:t>7.5 书面形式包括但不限于以纸质、电子邮件、门户网站信息公告等形式。</w:t>
      </w:r>
    </w:p>
    <w:p>
      <w:pPr>
        <w:pStyle w:val="9"/>
        <w:adjustRightInd w:val="0"/>
        <w:snapToGrid w:val="0"/>
        <w:spacing w:line="300" w:lineRule="auto"/>
        <w:ind w:left="420" w:hanging="420"/>
        <w:rPr>
          <w:rFonts w:ascii="仿宋" w:hAnsi="仿宋" w:eastAsia="仿宋" w:cs="仿宋_GB2312"/>
          <w:b/>
          <w:sz w:val="28"/>
          <w:szCs w:val="28"/>
          <w:highlight w:val="none"/>
        </w:rPr>
      </w:pPr>
      <w:r>
        <w:rPr>
          <w:rFonts w:hint="eastAsia" w:ascii="仿宋" w:hAnsi="仿宋" w:eastAsia="仿宋" w:cs="仿宋_GB2312"/>
          <w:b/>
          <w:sz w:val="28"/>
          <w:szCs w:val="28"/>
          <w:highlight w:val="none"/>
        </w:rPr>
        <w:t>三、询价响应文件的编制和数量</w:t>
      </w:r>
    </w:p>
    <w:p>
      <w:pPr>
        <w:pStyle w:val="9"/>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8．询价响应费用</w:t>
      </w:r>
    </w:p>
    <w:p>
      <w:pPr>
        <w:pStyle w:val="9"/>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8.1 报价单位应承担所有与准备和参加询价响应有关的费用。不论询价的结果如何，询价人均无义务和责任承担这些费用。</w:t>
      </w:r>
    </w:p>
    <w:p>
      <w:pPr>
        <w:pStyle w:val="9"/>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9．报价的语言及计量</w:t>
      </w:r>
    </w:p>
    <w:p>
      <w:pPr>
        <w:pStyle w:val="9"/>
        <w:adjustRightInd w:val="0"/>
        <w:snapToGrid w:val="0"/>
        <w:spacing w:line="300" w:lineRule="auto"/>
        <w:ind w:left="360" w:hanging="360"/>
        <w:rPr>
          <w:rFonts w:ascii="仿宋" w:hAnsi="仿宋" w:eastAsia="仿宋" w:cs="仿宋_GB2312"/>
          <w:sz w:val="28"/>
          <w:szCs w:val="28"/>
          <w:highlight w:val="none"/>
        </w:rPr>
      </w:pPr>
      <w:r>
        <w:rPr>
          <w:rFonts w:hint="eastAsia" w:ascii="仿宋" w:hAnsi="仿宋" w:eastAsia="仿宋" w:cs="仿宋_GB2312"/>
          <w:sz w:val="28"/>
          <w:szCs w:val="28"/>
          <w:highlight w:val="none"/>
        </w:rPr>
        <w:t>9.1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pPr>
        <w:pStyle w:val="9"/>
        <w:adjustRightInd w:val="0"/>
        <w:snapToGrid w:val="0"/>
        <w:spacing w:line="300" w:lineRule="auto"/>
        <w:ind w:left="360" w:hanging="360"/>
        <w:rPr>
          <w:rFonts w:ascii="仿宋" w:hAnsi="仿宋" w:eastAsia="仿宋" w:cs="仿宋_GB2312"/>
          <w:sz w:val="28"/>
          <w:szCs w:val="28"/>
          <w:highlight w:val="none"/>
        </w:rPr>
      </w:pPr>
      <w:r>
        <w:rPr>
          <w:rFonts w:hint="eastAsia" w:ascii="仿宋" w:hAnsi="仿宋" w:eastAsia="仿宋" w:cs="仿宋_GB2312"/>
          <w:sz w:val="28"/>
          <w:szCs w:val="28"/>
          <w:highlight w:val="none"/>
        </w:rPr>
        <w:t>9.2除非询价文件中另有规定，报价单位在询价响应文件中及其与询价人的所有往来文件中的计量单位均应采用中华人民共和国法定计量单位。</w:t>
      </w:r>
    </w:p>
    <w:p>
      <w:pPr>
        <w:pStyle w:val="9"/>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10．询价响应文件的构成</w:t>
      </w:r>
    </w:p>
    <w:p>
      <w:pPr>
        <w:pStyle w:val="9"/>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10.1报价单位编制的询价响应文件应包括但不少于本询价文件第五部分《询价响应文件格式》的所有内容。</w:t>
      </w:r>
    </w:p>
    <w:p>
      <w:pPr>
        <w:pStyle w:val="9"/>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11. 询价响应文件编制</w:t>
      </w:r>
    </w:p>
    <w:p>
      <w:pPr>
        <w:spacing w:line="300" w:lineRule="auto"/>
        <w:ind w:left="610" w:hanging="630" w:hangingChars="225"/>
        <w:rPr>
          <w:rFonts w:ascii="仿宋" w:hAnsi="仿宋" w:eastAsia="仿宋" w:cs="仿宋_GB2312"/>
          <w:sz w:val="28"/>
          <w:szCs w:val="28"/>
          <w:highlight w:val="none"/>
        </w:rPr>
      </w:pPr>
      <w:r>
        <w:rPr>
          <w:rFonts w:hint="eastAsia" w:ascii="仿宋" w:hAnsi="仿宋" w:eastAsia="仿宋" w:cs="仿宋_GB2312"/>
          <w:sz w:val="28"/>
          <w:szCs w:val="28"/>
          <w:highlight w:val="none"/>
        </w:rPr>
        <w:t>11.1报价单位应按响应文件格式编制询价响应文件。</w:t>
      </w:r>
    </w:p>
    <w:p>
      <w:pPr>
        <w:pStyle w:val="9"/>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11.2报价单位必须对询价响应文件所提供的全部资料的真实性承担法律责任，并无条件接受（询价人）等对其中任何资料进行核实的要求。报价单位必须对询价响应文件所提供的全部资料的真实性承担法律责任。</w:t>
      </w:r>
    </w:p>
    <w:p>
      <w:pPr>
        <w:pStyle w:val="9"/>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11.3如果因为报价单位询价响应文件填报的内容不详，或没有提供询价文件中所要求的全部资料及数据，由此造成的后果，其责任由报价单位承担。</w:t>
      </w:r>
    </w:p>
    <w:p>
      <w:pPr>
        <w:pStyle w:val="9"/>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12. 报价</w:t>
      </w:r>
    </w:p>
    <w:p>
      <w:pPr>
        <w:autoSpaceDE w:val="0"/>
        <w:autoSpaceDN w:val="0"/>
        <w:adjustRightInd w:val="0"/>
        <w:snapToGrid w:val="0"/>
        <w:spacing w:line="300" w:lineRule="auto"/>
        <w:ind w:left="542" w:right="-148" w:hanging="560" w:hangingChars="200"/>
        <w:rPr>
          <w:rFonts w:ascii="仿宋" w:hAnsi="仿宋" w:eastAsia="仿宋" w:cs="仿宋_GB2312"/>
          <w:sz w:val="28"/>
          <w:szCs w:val="28"/>
          <w:highlight w:val="none"/>
        </w:rPr>
      </w:pPr>
      <w:r>
        <w:rPr>
          <w:rFonts w:hint="eastAsia" w:ascii="仿宋" w:hAnsi="仿宋" w:eastAsia="仿宋" w:cs="仿宋_GB2312"/>
          <w:sz w:val="28"/>
          <w:szCs w:val="28"/>
          <w:highlight w:val="none"/>
        </w:rPr>
        <w:t>12.1如询价文件无特殊规定，报价以人民币填报。</w:t>
      </w:r>
    </w:p>
    <w:p>
      <w:pPr>
        <w:autoSpaceDE w:val="0"/>
        <w:autoSpaceDN w:val="0"/>
        <w:adjustRightInd w:val="0"/>
        <w:snapToGrid w:val="0"/>
        <w:spacing w:line="300" w:lineRule="auto"/>
        <w:ind w:left="542" w:right="-148" w:hanging="560" w:hangingChars="200"/>
        <w:rPr>
          <w:rFonts w:ascii="仿宋" w:hAnsi="仿宋" w:eastAsia="仿宋" w:cs="仿宋_GB2312"/>
          <w:sz w:val="28"/>
          <w:szCs w:val="28"/>
          <w:highlight w:val="none"/>
        </w:rPr>
      </w:pPr>
      <w:r>
        <w:rPr>
          <w:rFonts w:hint="eastAsia" w:ascii="仿宋" w:hAnsi="仿宋" w:eastAsia="仿宋" w:cs="仿宋_GB2312"/>
          <w:sz w:val="28"/>
          <w:szCs w:val="28"/>
          <w:highlight w:val="none"/>
        </w:rPr>
        <w:t>12.2报价应为包括设计图纸和工程量清单项目所发生的人工费、材料费、机械费、管理费、利润、项目措施费、规费、税金、配合费、预留金以及施工合同包含的所有风险、责任等各项应有费用。</w:t>
      </w:r>
    </w:p>
    <w:p>
      <w:pPr>
        <w:pStyle w:val="9"/>
        <w:adjustRightInd w:val="0"/>
        <w:snapToGrid w:val="0"/>
        <w:spacing w:line="300" w:lineRule="auto"/>
        <w:rPr>
          <w:rFonts w:hint="eastAsia" w:ascii="仿宋" w:hAnsi="仿宋" w:eastAsia="仿宋" w:cs="仿宋_GB2312"/>
          <w:sz w:val="28"/>
          <w:szCs w:val="28"/>
          <w:highlight w:val="none"/>
        </w:rPr>
      </w:pPr>
      <w:r>
        <w:rPr>
          <w:rFonts w:hint="eastAsia" w:ascii="仿宋" w:hAnsi="仿宋" w:eastAsia="仿宋" w:cs="仿宋_GB2312"/>
          <w:sz w:val="28"/>
          <w:szCs w:val="28"/>
          <w:highlight w:val="none"/>
        </w:rPr>
        <w:t>12.3任何有选择性报价的报价，将被视为无效报价。</w:t>
      </w:r>
    </w:p>
    <w:p>
      <w:pPr>
        <w:pStyle w:val="9"/>
        <w:adjustRightInd w:val="0"/>
        <w:snapToGrid w:val="0"/>
        <w:spacing w:line="300" w:lineRule="auto"/>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12.4报价人不得存在以下情形之一：</w:t>
      </w:r>
    </w:p>
    <w:p>
      <w:pPr>
        <w:pStyle w:val="9"/>
        <w:adjustRightInd w:val="0"/>
        <w:snapToGrid w:val="0"/>
        <w:spacing w:line="300" w:lineRule="auto"/>
        <w:ind w:left="562" w:leftChars="1" w:hanging="560" w:hangingChars="200"/>
        <w:rPr>
          <w:rFonts w:hint="eastAsia" w:ascii="仿宋" w:hAnsi="仿宋" w:eastAsia="仿宋" w:cs="仿宋_GB2312"/>
          <w:kern w:val="0"/>
          <w:sz w:val="28"/>
          <w:szCs w:val="28"/>
          <w:highlight w:val="none"/>
        </w:rPr>
      </w:pPr>
      <w:r>
        <w:rPr>
          <w:rFonts w:hint="eastAsia" w:ascii="仿宋" w:hAnsi="仿宋" w:eastAsia="仿宋" w:cs="仿宋_GB2312"/>
          <w:kern w:val="0"/>
          <w:sz w:val="28"/>
          <w:szCs w:val="28"/>
          <w:highlight w:val="none"/>
        </w:rPr>
        <w:t>（1）与询价人存在利害关系且可能影响询价公正性；</w:t>
      </w:r>
    </w:p>
    <w:p>
      <w:pPr>
        <w:pStyle w:val="9"/>
        <w:adjustRightInd w:val="0"/>
        <w:snapToGrid w:val="0"/>
        <w:spacing w:line="300" w:lineRule="auto"/>
        <w:ind w:left="562" w:leftChars="1" w:hanging="560" w:hangingChars="200"/>
        <w:rPr>
          <w:rFonts w:hint="eastAsia" w:ascii="仿宋" w:hAnsi="仿宋" w:eastAsia="仿宋" w:cs="仿宋_GB2312"/>
          <w:kern w:val="0"/>
          <w:sz w:val="28"/>
          <w:szCs w:val="28"/>
          <w:highlight w:val="none"/>
        </w:rPr>
      </w:pPr>
      <w:r>
        <w:rPr>
          <w:rFonts w:hint="eastAsia" w:ascii="仿宋" w:hAnsi="仿宋" w:eastAsia="仿宋" w:cs="仿宋_GB2312"/>
          <w:kern w:val="0"/>
          <w:sz w:val="28"/>
          <w:szCs w:val="28"/>
          <w:highlight w:val="none"/>
        </w:rPr>
        <w:t>（2）法定代表人或单位负责人为同一个人或者存在控股、管理关系的不同单位,同时参加同一项目或同一子项目；</w:t>
      </w:r>
    </w:p>
    <w:p>
      <w:pPr>
        <w:pStyle w:val="9"/>
        <w:adjustRightInd w:val="0"/>
        <w:snapToGrid w:val="0"/>
        <w:spacing w:line="300" w:lineRule="auto"/>
        <w:ind w:left="562" w:leftChars="1" w:hanging="560" w:hangingChars="200"/>
        <w:rPr>
          <w:rFonts w:hint="eastAsia" w:ascii="仿宋" w:hAnsi="仿宋" w:eastAsia="仿宋" w:cs="仿宋_GB2312"/>
          <w:kern w:val="0"/>
          <w:sz w:val="28"/>
          <w:szCs w:val="28"/>
          <w:highlight w:val="none"/>
        </w:rPr>
      </w:pPr>
      <w:r>
        <w:rPr>
          <w:rFonts w:hint="eastAsia" w:ascii="仿宋" w:hAnsi="仿宋" w:eastAsia="仿宋" w:cs="仿宋_GB2312"/>
          <w:kern w:val="0"/>
          <w:sz w:val="28"/>
          <w:szCs w:val="28"/>
          <w:highlight w:val="none"/>
        </w:rPr>
        <w:t>（3）为本询价项目提供过设计、编制技术规范和其他文件的咨询服务；</w:t>
      </w:r>
    </w:p>
    <w:p>
      <w:pPr>
        <w:pStyle w:val="9"/>
        <w:adjustRightInd w:val="0"/>
        <w:snapToGrid w:val="0"/>
        <w:spacing w:line="300" w:lineRule="auto"/>
        <w:ind w:left="562" w:leftChars="1" w:hanging="560" w:hangingChars="200"/>
        <w:rPr>
          <w:rFonts w:hint="eastAsia" w:ascii="仿宋" w:hAnsi="仿宋" w:eastAsia="仿宋" w:cs="仿宋_GB2312"/>
          <w:kern w:val="0"/>
          <w:sz w:val="28"/>
          <w:szCs w:val="28"/>
          <w:highlight w:val="none"/>
        </w:rPr>
      </w:pPr>
      <w:r>
        <w:rPr>
          <w:rFonts w:hint="eastAsia" w:ascii="仿宋" w:hAnsi="仿宋" w:eastAsia="仿宋" w:cs="仿宋_GB2312"/>
          <w:kern w:val="0"/>
          <w:sz w:val="28"/>
          <w:szCs w:val="28"/>
          <w:highlight w:val="none"/>
        </w:rPr>
        <w:t>（4）被依法取消投标资格；</w:t>
      </w:r>
    </w:p>
    <w:p>
      <w:pPr>
        <w:pStyle w:val="9"/>
        <w:adjustRightInd w:val="0"/>
        <w:snapToGrid w:val="0"/>
        <w:spacing w:line="300" w:lineRule="auto"/>
        <w:ind w:left="562" w:leftChars="1" w:hanging="560" w:hangingChars="200"/>
        <w:rPr>
          <w:rFonts w:hint="eastAsia" w:ascii="仿宋" w:hAnsi="仿宋" w:eastAsia="仿宋" w:cs="仿宋_GB2312"/>
          <w:kern w:val="0"/>
          <w:sz w:val="28"/>
          <w:szCs w:val="28"/>
          <w:highlight w:val="none"/>
        </w:rPr>
      </w:pPr>
      <w:r>
        <w:rPr>
          <w:rFonts w:hint="eastAsia" w:ascii="仿宋" w:hAnsi="仿宋" w:eastAsia="仿宋" w:cs="仿宋_GB2312"/>
          <w:kern w:val="0"/>
          <w:sz w:val="28"/>
          <w:szCs w:val="28"/>
          <w:highlight w:val="none"/>
        </w:rPr>
        <w:t>（5）被责令停产停业、暂扣或者吊销许可证、暂扣或者吊销执照；</w:t>
      </w:r>
    </w:p>
    <w:p>
      <w:pPr>
        <w:pStyle w:val="9"/>
        <w:adjustRightInd w:val="0"/>
        <w:snapToGrid w:val="0"/>
        <w:spacing w:line="300" w:lineRule="auto"/>
        <w:ind w:left="562" w:leftChars="1" w:hanging="560" w:hangingChars="200"/>
        <w:rPr>
          <w:rFonts w:hint="eastAsia" w:ascii="仿宋" w:hAnsi="仿宋" w:eastAsia="仿宋" w:cs="仿宋_GB2312"/>
          <w:kern w:val="0"/>
          <w:sz w:val="28"/>
          <w:szCs w:val="28"/>
          <w:highlight w:val="none"/>
        </w:rPr>
      </w:pPr>
      <w:r>
        <w:rPr>
          <w:rFonts w:hint="eastAsia" w:ascii="仿宋" w:hAnsi="仿宋" w:eastAsia="仿宋" w:cs="仿宋_GB2312"/>
          <w:kern w:val="0"/>
          <w:sz w:val="28"/>
          <w:szCs w:val="28"/>
          <w:highlight w:val="none"/>
        </w:rPr>
        <w:t>（6）进入清算程序，或被宣告破产，或其他丧失履约能力的情形；</w:t>
      </w:r>
    </w:p>
    <w:p>
      <w:pPr>
        <w:pStyle w:val="9"/>
        <w:adjustRightInd w:val="0"/>
        <w:snapToGrid w:val="0"/>
        <w:spacing w:line="300" w:lineRule="auto"/>
        <w:ind w:left="562" w:leftChars="1" w:hanging="560" w:hangingChars="200"/>
        <w:rPr>
          <w:rFonts w:hint="eastAsia" w:ascii="仿宋" w:hAnsi="仿宋" w:eastAsia="仿宋" w:cs="仿宋_GB2312"/>
          <w:kern w:val="0"/>
          <w:sz w:val="28"/>
          <w:szCs w:val="28"/>
          <w:highlight w:val="none"/>
        </w:rPr>
      </w:pPr>
      <w:r>
        <w:rPr>
          <w:rFonts w:hint="eastAsia" w:ascii="仿宋" w:hAnsi="仿宋" w:eastAsia="仿宋" w:cs="仿宋_GB2312"/>
          <w:kern w:val="0"/>
          <w:sz w:val="28"/>
          <w:szCs w:val="28"/>
          <w:highlight w:val="none"/>
        </w:rPr>
        <w:t>（7）在参加本项目前3年内在存在重大违法记录；</w:t>
      </w:r>
    </w:p>
    <w:p>
      <w:pPr>
        <w:pStyle w:val="9"/>
        <w:adjustRightInd w:val="0"/>
        <w:snapToGrid w:val="0"/>
        <w:spacing w:line="300" w:lineRule="auto"/>
        <w:ind w:left="562" w:leftChars="1" w:hanging="560" w:hangingChars="200"/>
        <w:rPr>
          <w:rFonts w:hint="eastAsia" w:ascii="仿宋" w:hAnsi="仿宋" w:eastAsia="仿宋" w:cs="仿宋_GB2312"/>
          <w:kern w:val="0"/>
          <w:sz w:val="28"/>
          <w:szCs w:val="28"/>
          <w:highlight w:val="none"/>
        </w:rPr>
      </w:pPr>
      <w:r>
        <w:rPr>
          <w:rFonts w:hint="eastAsia" w:ascii="仿宋" w:hAnsi="仿宋" w:eastAsia="仿宋" w:cs="仿宋_GB2312"/>
          <w:kern w:val="0"/>
          <w:sz w:val="28"/>
          <w:szCs w:val="28"/>
          <w:highlight w:val="none"/>
        </w:rPr>
        <w:t>（8）被“全国企业信用信息公示系统”（网址：http://www.gsxt.gov.cn/）列入经营异常名录和严重违法失信企业名单；</w:t>
      </w:r>
    </w:p>
    <w:p>
      <w:pPr>
        <w:pStyle w:val="9"/>
        <w:adjustRightInd w:val="0"/>
        <w:snapToGrid w:val="0"/>
        <w:spacing w:line="300" w:lineRule="auto"/>
        <w:ind w:left="562" w:leftChars="1" w:hanging="560" w:hangingChars="200"/>
        <w:rPr>
          <w:rFonts w:hint="eastAsia" w:ascii="仿宋" w:hAnsi="仿宋" w:eastAsia="仿宋" w:cs="仿宋_GB2312"/>
          <w:kern w:val="0"/>
          <w:sz w:val="28"/>
          <w:szCs w:val="28"/>
          <w:highlight w:val="none"/>
        </w:rPr>
      </w:pPr>
      <w:r>
        <w:rPr>
          <w:rFonts w:hint="eastAsia" w:ascii="仿宋" w:hAnsi="仿宋" w:eastAsia="仿宋" w:cs="仿宋_GB2312"/>
          <w:kern w:val="0"/>
          <w:sz w:val="28"/>
          <w:szCs w:val="28"/>
          <w:highlight w:val="none"/>
        </w:rPr>
        <w:t>（9）被《信用中国》网站（www.creditchina.gov.cn）公示存在失信惩戒记录；</w:t>
      </w:r>
    </w:p>
    <w:p>
      <w:pPr>
        <w:pStyle w:val="9"/>
        <w:adjustRightInd w:val="0"/>
        <w:snapToGrid w:val="0"/>
        <w:spacing w:line="300" w:lineRule="auto"/>
        <w:ind w:left="562" w:leftChars="1" w:hanging="560" w:hangingChars="200"/>
        <w:rPr>
          <w:rFonts w:hint="eastAsia" w:ascii="仿宋" w:hAnsi="仿宋" w:eastAsia="仿宋" w:cs="仿宋_GB2312"/>
          <w:kern w:val="0"/>
          <w:sz w:val="28"/>
          <w:szCs w:val="28"/>
          <w:highlight w:val="none"/>
        </w:rPr>
      </w:pPr>
      <w:r>
        <w:rPr>
          <w:rFonts w:hint="eastAsia" w:ascii="仿宋" w:hAnsi="仿宋" w:eastAsia="仿宋" w:cs="仿宋_GB2312"/>
          <w:kern w:val="0"/>
          <w:sz w:val="28"/>
          <w:szCs w:val="28"/>
          <w:highlight w:val="none"/>
        </w:rPr>
        <w:t xml:space="preserve">（10）本项目截止时间前的半年中，在询价人组织的招标、询价活动中被查实弄虚作假、相互串通投标的。 </w:t>
      </w:r>
    </w:p>
    <w:p>
      <w:pPr>
        <w:pStyle w:val="9"/>
        <w:adjustRightInd w:val="0"/>
        <w:snapToGrid w:val="0"/>
        <w:spacing w:line="300" w:lineRule="auto"/>
        <w:ind w:left="562" w:leftChars="1" w:hanging="560" w:hangingChars="200"/>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13. 联合体报价</w:t>
      </w:r>
    </w:p>
    <w:p>
      <w:pPr>
        <w:pStyle w:val="9"/>
        <w:adjustRightInd w:val="0"/>
        <w:snapToGrid w:val="0"/>
        <w:spacing w:line="300" w:lineRule="auto"/>
        <w:ind w:left="562" w:leftChars="1" w:hanging="560" w:hangingChars="200"/>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13.1本项目</w:t>
      </w:r>
      <w:r>
        <w:rPr>
          <w:rFonts w:hint="eastAsia" w:ascii="仿宋" w:hAnsi="仿宋" w:eastAsia="仿宋" w:cs="仿宋_GB2312"/>
          <w:kern w:val="0"/>
          <w:sz w:val="28"/>
          <w:szCs w:val="28"/>
          <w:highlight w:val="none"/>
          <w:u w:val="single"/>
        </w:rPr>
        <w:t>不接受</w:t>
      </w:r>
      <w:r>
        <w:rPr>
          <w:rFonts w:hint="eastAsia" w:ascii="仿宋" w:hAnsi="仿宋" w:eastAsia="仿宋" w:cs="仿宋_GB2312"/>
          <w:kern w:val="0"/>
          <w:sz w:val="28"/>
          <w:szCs w:val="28"/>
          <w:highlight w:val="none"/>
        </w:rPr>
        <w:t>联合体参加报价。</w:t>
      </w:r>
    </w:p>
    <w:p>
      <w:pPr>
        <w:pStyle w:val="9"/>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14. 报价单位资格证明文件</w:t>
      </w:r>
    </w:p>
    <w:p>
      <w:pPr>
        <w:pStyle w:val="9"/>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14.1报价单位应按询价文件的要求，提交证明其有资格参加询价和成交后有履行合同能力的文件，并作为其询价响应文件的组成部分，内容详见询价文件第五部分《询价响应文件格式》中的“资格证明文件”。</w:t>
      </w:r>
    </w:p>
    <w:p>
      <w:pPr>
        <w:pStyle w:val="9"/>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14.2资格证明文件必须真实有效，复印件必须加盖单位印章。</w:t>
      </w:r>
    </w:p>
    <w:p>
      <w:pPr>
        <w:pStyle w:val="9"/>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15. 报价有效期</w:t>
      </w:r>
    </w:p>
    <w:p>
      <w:pPr>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15.1询价响应文件应在</w:t>
      </w:r>
      <w:r>
        <w:rPr>
          <w:rFonts w:hint="eastAsia" w:ascii="仿宋" w:hAnsi="仿宋" w:eastAsia="仿宋" w:cs="仿宋_GB2312"/>
          <w:sz w:val="28"/>
          <w:szCs w:val="28"/>
          <w:highlight w:val="none"/>
          <w:lang w:val="en-US" w:eastAsia="zh-CN"/>
        </w:rPr>
        <w:t>询价会</w:t>
      </w:r>
      <w:r>
        <w:rPr>
          <w:rFonts w:hint="eastAsia" w:ascii="仿宋" w:hAnsi="仿宋" w:eastAsia="仿宋" w:cs="仿宋_GB2312"/>
          <w:sz w:val="28"/>
          <w:szCs w:val="28"/>
          <w:highlight w:val="none"/>
        </w:rPr>
        <w:t>之日起</w:t>
      </w:r>
      <w:r>
        <w:rPr>
          <w:rFonts w:hint="eastAsia" w:ascii="仿宋" w:hAnsi="仿宋" w:eastAsia="仿宋" w:cs="仿宋_GB2312"/>
          <w:sz w:val="28"/>
          <w:szCs w:val="28"/>
          <w:highlight w:val="none"/>
          <w:u w:val="single"/>
        </w:rPr>
        <w:t>90</w:t>
      </w:r>
      <w:r>
        <w:rPr>
          <w:rFonts w:hint="eastAsia" w:ascii="仿宋" w:hAnsi="仿宋" w:eastAsia="仿宋" w:cs="仿宋_GB2312"/>
          <w:sz w:val="28"/>
          <w:szCs w:val="28"/>
          <w:highlight w:val="none"/>
        </w:rPr>
        <w:t>天内保持有效。报价有效期比规定时间短的将被作为非实质性响应询价文件而予以拒绝。</w:t>
      </w:r>
    </w:p>
    <w:p>
      <w:pPr>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15.2特殊情况下，询价人可于报价有效期期满之前，要求报价单位同意延长报价有效期，要求与答复均应为书面形式。</w:t>
      </w:r>
    </w:p>
    <w:p>
      <w:pPr>
        <w:autoSpaceDE w:val="0"/>
        <w:autoSpaceDN w:val="0"/>
        <w:adjustRightInd w:val="0"/>
        <w:snapToGrid w:val="0"/>
        <w:spacing w:line="300" w:lineRule="auto"/>
        <w:ind w:left="542" w:right="32" w:hanging="560" w:hangingChars="200"/>
        <w:rPr>
          <w:rFonts w:ascii="仿宋" w:hAnsi="仿宋" w:eastAsia="仿宋" w:cs="仿宋_GB2312"/>
          <w:sz w:val="28"/>
          <w:szCs w:val="28"/>
          <w:highlight w:val="none"/>
        </w:rPr>
      </w:pPr>
      <w:r>
        <w:rPr>
          <w:rFonts w:hint="eastAsia" w:ascii="仿宋" w:hAnsi="仿宋" w:eastAsia="仿宋" w:cs="仿宋_GB2312"/>
          <w:sz w:val="28"/>
          <w:szCs w:val="28"/>
          <w:highlight w:val="none"/>
        </w:rPr>
        <w:t>16. 询价响应文件的数量和签署</w:t>
      </w:r>
    </w:p>
    <w:p>
      <w:pPr>
        <w:autoSpaceDE w:val="0"/>
        <w:autoSpaceDN w:val="0"/>
        <w:adjustRightInd w:val="0"/>
        <w:snapToGrid w:val="0"/>
        <w:spacing w:line="300" w:lineRule="auto"/>
        <w:ind w:left="610" w:right="32"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16.1 报价单位应编制询价响应文件一式</w:t>
      </w:r>
      <w:r>
        <w:rPr>
          <w:rFonts w:hint="eastAsia" w:ascii="仿宋" w:hAnsi="仿宋" w:eastAsia="仿宋" w:cs="仿宋_GB2312"/>
          <w:kern w:val="0"/>
          <w:sz w:val="28"/>
          <w:szCs w:val="28"/>
          <w:highlight w:val="none"/>
          <w:u w:val="none"/>
          <w:lang w:val="en-US" w:eastAsia="zh-CN"/>
        </w:rPr>
        <w:t>二</w:t>
      </w:r>
      <w:r>
        <w:rPr>
          <w:rFonts w:hint="eastAsia" w:ascii="仿宋" w:hAnsi="仿宋" w:eastAsia="仿宋" w:cs="仿宋_GB2312"/>
          <w:kern w:val="0"/>
          <w:sz w:val="28"/>
          <w:szCs w:val="28"/>
          <w:highlight w:val="none"/>
        </w:rPr>
        <w:t>份，其中正本一份和副本一份，询价响应文件的副本可采用正本的复印件。每套询价响应文件须清楚地标明“正本”、“副本”。若副本与正本不符，以正本为准。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10" w:right="32"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16.2 询价响应文件的正本需打印或用不褪色墨水书写，并由法定代表人或经其正式授权的代表签字或加盖私章。授权代表须出具书面授权证明，其《法定代表人授权书》应附在询价响应文件中。</w:t>
      </w:r>
    </w:p>
    <w:p>
      <w:pPr>
        <w:pStyle w:val="9"/>
        <w:adjustRightInd w:val="0"/>
        <w:snapToGrid w:val="0"/>
        <w:spacing w:line="300" w:lineRule="auto"/>
        <w:ind w:left="610"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16.3 询价响应文件中的任何重要的插字、涂改和增删，必须由法定代表人或经其正式授权的代表在旁边签字或盖私章才有效。</w:t>
      </w:r>
    </w:p>
    <w:p>
      <w:pPr>
        <w:pStyle w:val="9"/>
        <w:adjustRightInd w:val="0"/>
        <w:snapToGrid w:val="0"/>
        <w:spacing w:line="300" w:lineRule="auto"/>
        <w:ind w:left="610"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16.4电报、电话、传真形式的询价响应文件概不接受。</w:t>
      </w:r>
    </w:p>
    <w:p>
      <w:pPr>
        <w:autoSpaceDE w:val="0"/>
        <w:autoSpaceDN w:val="0"/>
        <w:adjustRightInd w:val="0"/>
        <w:snapToGrid w:val="0"/>
        <w:spacing w:line="300" w:lineRule="auto"/>
        <w:ind w:left="544" w:right="32" w:hanging="562" w:hangingChars="200"/>
        <w:rPr>
          <w:rFonts w:ascii="仿宋" w:hAnsi="仿宋" w:eastAsia="仿宋" w:cs="仿宋_GB2312"/>
          <w:b/>
          <w:sz w:val="28"/>
          <w:szCs w:val="28"/>
          <w:highlight w:val="none"/>
        </w:rPr>
      </w:pPr>
      <w:r>
        <w:rPr>
          <w:rFonts w:hint="eastAsia" w:ascii="仿宋" w:hAnsi="仿宋" w:eastAsia="仿宋" w:cs="仿宋_GB2312"/>
          <w:b/>
          <w:sz w:val="28"/>
          <w:szCs w:val="28"/>
          <w:highlight w:val="none"/>
        </w:rPr>
        <w:t>四、询价响应文件的递交</w:t>
      </w:r>
    </w:p>
    <w:p>
      <w:pPr>
        <w:autoSpaceDE w:val="0"/>
        <w:autoSpaceDN w:val="0"/>
        <w:adjustRightInd w:val="0"/>
        <w:snapToGrid w:val="0"/>
        <w:spacing w:line="300" w:lineRule="auto"/>
        <w:ind w:left="542" w:right="32" w:hanging="560" w:hangingChars="200"/>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17. 询价响应文件的密封和标记</w:t>
      </w:r>
    </w:p>
    <w:p>
      <w:pPr>
        <w:pStyle w:val="9"/>
        <w:adjustRightInd w:val="0"/>
        <w:snapToGrid w:val="0"/>
        <w:spacing w:line="300" w:lineRule="auto"/>
        <w:ind w:left="610"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17.1报价单位应将询价响应文件正本和副本用单独的信封密封，注明“正本”或“副本”字样。</w:t>
      </w:r>
    </w:p>
    <w:p>
      <w:pPr>
        <w:pStyle w:val="9"/>
        <w:adjustRightInd w:val="0"/>
        <w:snapToGrid w:val="0"/>
        <w:spacing w:line="300" w:lineRule="auto"/>
        <w:ind w:left="610"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17.2每一密封信封均应：</w:t>
      </w:r>
    </w:p>
    <w:p>
      <w:pPr>
        <w:pStyle w:val="9"/>
        <w:adjustRightInd w:val="0"/>
        <w:snapToGrid w:val="0"/>
        <w:spacing w:line="300" w:lineRule="auto"/>
        <w:ind w:left="1439" w:leftChars="343" w:hanging="719" w:hangingChars="257"/>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（1）标明项目编号、项目名称，并注明“正本”或“副本”字样；</w:t>
      </w:r>
    </w:p>
    <w:p>
      <w:pPr>
        <w:pStyle w:val="9"/>
        <w:adjustRightInd w:val="0"/>
        <w:snapToGrid w:val="0"/>
        <w:spacing w:line="300" w:lineRule="auto"/>
        <w:ind w:left="1439" w:leftChars="343" w:hanging="719" w:hangingChars="257"/>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（2）注明“于（递交询价响应文件截止时间）之前不准启封”的字样。</w:t>
      </w:r>
    </w:p>
    <w:p>
      <w:pPr>
        <w:pStyle w:val="9"/>
        <w:adjustRightInd w:val="0"/>
        <w:snapToGrid w:val="0"/>
        <w:spacing w:line="300" w:lineRule="auto"/>
        <w:ind w:left="610"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17.3如果信封未按本须知第17.1条和第17.2条要求密封的，询价人对误投或过早启封概不负责。</w:t>
      </w:r>
    </w:p>
    <w:p>
      <w:pPr>
        <w:pStyle w:val="9"/>
        <w:adjustRightInd w:val="0"/>
        <w:snapToGrid w:val="0"/>
        <w:spacing w:line="300" w:lineRule="auto"/>
        <w:ind w:left="610"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17.4询价响应文件未密封的或在递交截止时间后递交的，询价人将拒绝接收。</w:t>
      </w:r>
    </w:p>
    <w:p>
      <w:pPr>
        <w:tabs>
          <w:tab w:val="left" w:pos="8280"/>
        </w:tabs>
        <w:autoSpaceDE w:val="0"/>
        <w:autoSpaceDN w:val="0"/>
        <w:adjustRightInd w:val="0"/>
        <w:snapToGrid w:val="0"/>
        <w:spacing w:line="300" w:lineRule="auto"/>
        <w:ind w:left="542" w:right="32" w:hanging="560" w:hangingChars="200"/>
        <w:rPr>
          <w:rFonts w:ascii="仿宋" w:hAnsi="仿宋" w:eastAsia="仿宋" w:cs="仿宋_GB2312"/>
          <w:sz w:val="28"/>
          <w:szCs w:val="28"/>
          <w:highlight w:val="none"/>
        </w:rPr>
      </w:pPr>
      <w:r>
        <w:rPr>
          <w:rFonts w:hint="eastAsia" w:ascii="仿宋" w:hAnsi="仿宋" w:eastAsia="仿宋" w:cs="仿宋_GB2312"/>
          <w:sz w:val="28"/>
          <w:szCs w:val="28"/>
          <w:highlight w:val="none"/>
        </w:rPr>
        <w:t>18. 询价响应文件递交截止时间</w:t>
      </w:r>
    </w:p>
    <w:p>
      <w:pPr>
        <w:pStyle w:val="9"/>
        <w:adjustRightInd w:val="0"/>
        <w:snapToGrid w:val="0"/>
        <w:spacing w:line="300" w:lineRule="auto"/>
        <w:ind w:left="610"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18.1询价人在《报价邀请函》中规定的地点和递交询价响应文件截止时间之前接收询价响应文件，超过截止时点后的询价响应文件将被拒绝。</w:t>
      </w:r>
    </w:p>
    <w:p>
      <w:pPr>
        <w:pStyle w:val="9"/>
        <w:adjustRightInd w:val="0"/>
        <w:snapToGrid w:val="0"/>
        <w:spacing w:line="300" w:lineRule="auto"/>
        <w:ind w:left="610"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18.2询价人可以通过修改询价文件自行决定酌情延长询价响应文件递交截止时间。在此情况下，询价人和报价单位受询价响应文件递交截止时间制约的所有权利和义务均应延长至新的截止期。</w:t>
      </w:r>
    </w:p>
    <w:p>
      <w:pPr>
        <w:pStyle w:val="9"/>
        <w:adjustRightInd w:val="0"/>
        <w:snapToGrid w:val="0"/>
        <w:spacing w:line="300" w:lineRule="auto"/>
        <w:ind w:right="32"/>
        <w:rPr>
          <w:rFonts w:ascii="仿宋" w:hAnsi="仿宋" w:eastAsia="仿宋" w:cs="仿宋_GB2312"/>
          <w:sz w:val="28"/>
          <w:szCs w:val="28"/>
          <w:highlight w:val="none"/>
        </w:rPr>
      </w:pPr>
      <w:r>
        <w:rPr>
          <w:rFonts w:hint="eastAsia" w:ascii="仿宋" w:hAnsi="仿宋" w:eastAsia="仿宋" w:cs="仿宋_GB2312"/>
          <w:sz w:val="28"/>
          <w:szCs w:val="28"/>
          <w:highlight w:val="none"/>
        </w:rPr>
        <w:t>19. 询价响应文件的修改和撤回</w:t>
      </w:r>
    </w:p>
    <w:p>
      <w:pPr>
        <w:pStyle w:val="9"/>
        <w:adjustRightInd w:val="0"/>
        <w:snapToGrid w:val="0"/>
        <w:spacing w:line="300" w:lineRule="auto"/>
        <w:ind w:left="610"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19.1报价单位在递交询价响应文件截止时间前，可以对所递交的询价响应文件进行补充、修改或者撤回，并书面通知询价人。补充、修改的内容应当按询价文件要求签署、盖章，并作为询价响应文件的组成部分。</w:t>
      </w:r>
    </w:p>
    <w:p>
      <w:pPr>
        <w:autoSpaceDE w:val="0"/>
        <w:autoSpaceDN w:val="0"/>
        <w:adjustRightInd w:val="0"/>
        <w:snapToGrid w:val="0"/>
        <w:spacing w:before="3" w:line="300" w:lineRule="auto"/>
        <w:ind w:left="677" w:right="32" w:hanging="700" w:hangingChars="250"/>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19.2 报价单位在递交询价响应文件后，可以撤回其报价，但报价单位必须在规定的询价响应文件递交截止时间前以书面形式告知</w:t>
      </w:r>
      <w:r>
        <w:rPr>
          <w:rFonts w:hint="eastAsia" w:ascii="仿宋" w:hAnsi="仿宋" w:eastAsia="仿宋" w:cs="仿宋_GB2312"/>
          <w:sz w:val="28"/>
          <w:szCs w:val="28"/>
          <w:highlight w:val="none"/>
          <w:u w:val="none"/>
        </w:rPr>
        <w:t>（询价人）</w:t>
      </w:r>
      <w:r>
        <w:rPr>
          <w:rFonts w:hint="eastAsia" w:ascii="仿宋" w:hAnsi="仿宋" w:eastAsia="仿宋" w:cs="仿宋_GB2312"/>
          <w:kern w:val="0"/>
          <w:sz w:val="28"/>
          <w:szCs w:val="28"/>
          <w:highlight w:val="none"/>
        </w:rPr>
        <w:t>。从询价响应文件递交截止时间至报价单位承诺的报价有效期内，报价单位不得撤回其报价。</w:t>
      </w:r>
    </w:p>
    <w:p>
      <w:pPr>
        <w:pStyle w:val="9"/>
        <w:adjustRightInd w:val="0"/>
        <w:snapToGrid w:val="0"/>
        <w:spacing w:line="300" w:lineRule="auto"/>
        <w:ind w:left="420" w:right="32" w:hanging="420"/>
        <w:rPr>
          <w:rFonts w:ascii="仿宋" w:hAnsi="仿宋" w:eastAsia="仿宋" w:cs="仿宋_GB2312"/>
          <w:sz w:val="28"/>
          <w:szCs w:val="28"/>
          <w:highlight w:val="none"/>
        </w:rPr>
      </w:pPr>
      <w:r>
        <w:rPr>
          <w:rFonts w:hint="eastAsia" w:ascii="仿宋" w:hAnsi="仿宋" w:eastAsia="仿宋" w:cs="仿宋_GB2312"/>
          <w:sz w:val="28"/>
          <w:szCs w:val="28"/>
          <w:highlight w:val="none"/>
        </w:rPr>
        <w:t>19.3 报价单位所提交的询价响应文件在询价结束后，无论成交与否都不退还。</w:t>
      </w:r>
    </w:p>
    <w:p>
      <w:pPr>
        <w:pStyle w:val="9"/>
        <w:adjustRightInd w:val="0"/>
        <w:snapToGrid w:val="0"/>
        <w:spacing w:line="300" w:lineRule="auto"/>
        <w:rPr>
          <w:rFonts w:ascii="仿宋" w:hAnsi="仿宋" w:eastAsia="仿宋" w:cs="仿宋_GB2312"/>
          <w:b/>
          <w:sz w:val="28"/>
          <w:szCs w:val="28"/>
          <w:highlight w:val="none"/>
        </w:rPr>
      </w:pPr>
      <w:r>
        <w:rPr>
          <w:rFonts w:hint="eastAsia" w:ascii="仿宋" w:hAnsi="仿宋" w:eastAsia="仿宋" w:cs="仿宋_GB2312"/>
          <w:b/>
          <w:sz w:val="28"/>
          <w:szCs w:val="28"/>
          <w:highlight w:val="none"/>
        </w:rPr>
        <w:t>五、评审</w:t>
      </w:r>
    </w:p>
    <w:p>
      <w:pPr>
        <w:pStyle w:val="9"/>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20. 询价小组</w:t>
      </w:r>
    </w:p>
    <w:p>
      <w:pPr>
        <w:autoSpaceDE w:val="0"/>
        <w:autoSpaceDN w:val="0"/>
        <w:adjustRightInd w:val="0"/>
        <w:snapToGrid w:val="0"/>
        <w:spacing w:line="300" w:lineRule="auto"/>
        <w:ind w:left="610" w:right="32" w:hanging="630" w:hangingChars="225"/>
        <w:rPr>
          <w:rFonts w:ascii="仿宋" w:hAnsi="仿宋" w:eastAsia="仿宋" w:cs="仿宋_GB2312"/>
          <w:kern w:val="0"/>
          <w:sz w:val="28"/>
          <w:szCs w:val="28"/>
          <w:highlight w:val="none"/>
        </w:rPr>
      </w:pPr>
      <w:r>
        <w:rPr>
          <w:rFonts w:hint="eastAsia" w:ascii="仿宋" w:hAnsi="仿宋" w:eastAsia="仿宋" w:cs="仿宋_GB2312"/>
          <w:sz w:val="28"/>
          <w:szCs w:val="28"/>
          <w:highlight w:val="none"/>
        </w:rPr>
        <w:t xml:space="preserve">20.1 </w:t>
      </w:r>
      <w:r>
        <w:rPr>
          <w:rFonts w:hint="eastAsia" w:ascii="仿宋" w:hAnsi="仿宋" w:eastAsia="仿宋" w:cs="仿宋_GB2312"/>
          <w:kern w:val="0"/>
          <w:sz w:val="28"/>
          <w:szCs w:val="28"/>
          <w:highlight w:val="none"/>
        </w:rPr>
        <w:t>评审由</w:t>
      </w:r>
      <w:r>
        <w:rPr>
          <w:rFonts w:hint="eastAsia" w:ascii="仿宋" w:hAnsi="仿宋" w:eastAsia="仿宋" w:cs="仿宋_GB2312"/>
          <w:sz w:val="28"/>
          <w:szCs w:val="28"/>
          <w:highlight w:val="none"/>
          <w:u w:val="none"/>
        </w:rPr>
        <w:t>询价人</w:t>
      </w:r>
      <w:r>
        <w:rPr>
          <w:rFonts w:hint="eastAsia" w:ascii="仿宋" w:hAnsi="仿宋" w:eastAsia="仿宋" w:cs="仿宋_GB2312"/>
          <w:kern w:val="0"/>
          <w:sz w:val="28"/>
          <w:szCs w:val="28"/>
          <w:highlight w:val="none"/>
        </w:rPr>
        <w:t>组建的询价小组负责。</w:t>
      </w:r>
    </w:p>
    <w:p>
      <w:pPr>
        <w:tabs>
          <w:tab w:val="left" w:pos="360"/>
        </w:tabs>
        <w:autoSpaceDE w:val="0"/>
        <w:autoSpaceDN w:val="0"/>
        <w:adjustRightInd w:val="0"/>
        <w:snapToGrid w:val="0"/>
        <w:spacing w:line="300" w:lineRule="auto"/>
        <w:ind w:left="610" w:right="32"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20.2询价小组在评审过程中出现意见不一致时，遵循少数服从多数原则。</w:t>
      </w:r>
    </w:p>
    <w:p>
      <w:pPr>
        <w:autoSpaceDE w:val="0"/>
        <w:autoSpaceDN w:val="0"/>
        <w:adjustRightInd w:val="0"/>
        <w:snapToGrid w:val="0"/>
        <w:spacing w:line="300" w:lineRule="auto"/>
        <w:ind w:left="610" w:right="32" w:hanging="630" w:hangingChars="225"/>
        <w:rPr>
          <w:rFonts w:hint="eastAsia" w:ascii="仿宋" w:hAnsi="仿宋" w:eastAsia="仿宋" w:cs="仿宋_GB2312"/>
          <w:kern w:val="0"/>
          <w:sz w:val="28"/>
          <w:szCs w:val="28"/>
          <w:highlight w:val="none"/>
        </w:rPr>
      </w:pPr>
      <w:r>
        <w:rPr>
          <w:rFonts w:hint="eastAsia" w:ascii="仿宋" w:hAnsi="仿宋" w:eastAsia="仿宋" w:cs="仿宋_GB2312"/>
          <w:kern w:val="0"/>
          <w:sz w:val="28"/>
          <w:szCs w:val="28"/>
          <w:highlight w:val="none"/>
        </w:rPr>
        <w:t>20.3询价小组依法根据询价文件的规定对询价响应文件进行评审,并据此推荐成交候选人。</w:t>
      </w:r>
    </w:p>
    <w:p>
      <w:pPr>
        <w:pStyle w:val="2"/>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20.4拆封询价响应文件时，出现下列情形之一的，不参与评审：</w:t>
      </w:r>
    </w:p>
    <w:p>
      <w:pPr>
        <w:pStyle w:val="2"/>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（1）响应文件没密封完整的，或封面未注明报价单位名称、项目名称、日期等项目信息的；</w:t>
      </w:r>
    </w:p>
    <w:p>
      <w:pPr>
        <w:pStyle w:val="2"/>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（2）响应文件中的法定代表人或授权代理人与报价响应文件登记表的信息不一致的。</w:t>
      </w:r>
    </w:p>
    <w:p>
      <w:pPr>
        <w:pStyle w:val="2"/>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（3）不同报价单位响应文件中存在两处以上异常一致的情形。</w:t>
      </w:r>
    </w:p>
    <w:p>
      <w:pPr>
        <w:autoSpaceDE w:val="0"/>
        <w:autoSpaceDN w:val="0"/>
        <w:adjustRightInd w:val="0"/>
        <w:snapToGrid w:val="0"/>
        <w:spacing w:line="300" w:lineRule="auto"/>
        <w:ind w:left="610" w:right="32"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21.资格性、符合性评审</w:t>
      </w:r>
    </w:p>
    <w:p>
      <w:pPr>
        <w:autoSpaceDE w:val="0"/>
        <w:autoSpaceDN w:val="0"/>
        <w:adjustRightInd w:val="0"/>
        <w:snapToGrid w:val="0"/>
        <w:spacing w:line="300" w:lineRule="auto"/>
        <w:ind w:left="610" w:right="32"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21.1参加询价的报价单位</w:t>
      </w:r>
      <w:r>
        <w:rPr>
          <w:rFonts w:hint="eastAsia" w:ascii="仿宋" w:hAnsi="仿宋" w:eastAsia="仿宋" w:cs="仿宋_GB2312"/>
          <w:kern w:val="0"/>
          <w:sz w:val="28"/>
          <w:szCs w:val="28"/>
          <w:highlight w:val="none"/>
          <w:lang w:val="en-US" w:eastAsia="zh-CN"/>
        </w:rPr>
        <w:t>经自行报名</w:t>
      </w:r>
      <w:r>
        <w:rPr>
          <w:rFonts w:hint="eastAsia" w:ascii="仿宋" w:hAnsi="仿宋" w:eastAsia="仿宋" w:cs="仿宋_GB2312"/>
          <w:kern w:val="0"/>
          <w:sz w:val="28"/>
          <w:szCs w:val="28"/>
          <w:highlight w:val="none"/>
        </w:rPr>
        <w:t>产生。由询价小组对参加询价的报价单位进行资格性、符合性评审。</w:t>
      </w:r>
    </w:p>
    <w:p>
      <w:pPr>
        <w:autoSpaceDE w:val="0"/>
        <w:autoSpaceDN w:val="0"/>
        <w:adjustRightInd w:val="0"/>
        <w:snapToGrid w:val="0"/>
        <w:spacing w:line="300" w:lineRule="auto"/>
        <w:ind w:left="610" w:right="32"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21.2在询价过程中对询价文件未能实质响应的报价单位不足三家时，询价小组可以从其他符合相应资格条件的报价单位名单中补充；补充后仍不足三家或者没有可供补充的合格报价单位的，询价人可以从已选出的候选报价单位中确定承包人。</w:t>
      </w:r>
    </w:p>
    <w:p>
      <w:pPr>
        <w:autoSpaceDE w:val="0"/>
        <w:autoSpaceDN w:val="0"/>
        <w:adjustRightInd w:val="0"/>
        <w:snapToGrid w:val="0"/>
        <w:spacing w:line="300" w:lineRule="auto"/>
        <w:ind w:left="610" w:right="32"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21.3 在询价过程中，响应报价单位提交的澄清文件由响应报价单位法人代表或授权代表签署后生效，响应报价单位应受其约束。</w:t>
      </w:r>
    </w:p>
    <w:p>
      <w:pPr>
        <w:autoSpaceDE w:val="0"/>
        <w:autoSpaceDN w:val="0"/>
        <w:adjustRightInd w:val="0"/>
        <w:snapToGrid w:val="0"/>
        <w:spacing w:line="300" w:lineRule="auto"/>
        <w:ind w:left="610" w:right="32" w:hanging="630" w:hangingChars="225"/>
        <w:rPr>
          <w:rFonts w:hint="eastAsia" w:ascii="仿宋" w:hAnsi="仿宋" w:eastAsia="仿宋" w:cs="仿宋_GB2312"/>
          <w:b/>
          <w:bCs/>
          <w:kern w:val="0"/>
          <w:sz w:val="28"/>
          <w:szCs w:val="28"/>
          <w:highlight w:val="none"/>
        </w:rPr>
      </w:pPr>
      <w:r>
        <w:rPr>
          <w:rFonts w:hint="eastAsia" w:ascii="仿宋" w:hAnsi="仿宋" w:eastAsia="仿宋" w:cs="仿宋_GB2312"/>
          <w:kern w:val="0"/>
          <w:sz w:val="28"/>
          <w:szCs w:val="28"/>
          <w:highlight w:val="none"/>
        </w:rPr>
        <w:t xml:space="preserve">21.4 </w:t>
      </w:r>
      <w:r>
        <w:rPr>
          <w:rFonts w:hint="eastAsia" w:ascii="仿宋" w:hAnsi="仿宋" w:eastAsia="仿宋" w:cs="仿宋_GB2312"/>
          <w:b w:val="0"/>
          <w:bCs w:val="0"/>
          <w:kern w:val="0"/>
          <w:sz w:val="28"/>
          <w:szCs w:val="28"/>
          <w:highlight w:val="none"/>
        </w:rPr>
        <w:t>询价小组进行综合评议。对提供工程质量、服务均能满足询价文件规定最低要求的报价单位归列为推荐成交的候选对象，询价人依照候选报价单位的报价顺序，以有效报价最低者确定为第一备选单位，以有效报价次低者为第二备选单位。</w:t>
      </w:r>
    </w:p>
    <w:p>
      <w:pPr>
        <w:autoSpaceDE w:val="0"/>
        <w:autoSpaceDN w:val="0"/>
        <w:adjustRightInd w:val="0"/>
        <w:snapToGrid w:val="0"/>
        <w:spacing w:line="300" w:lineRule="auto"/>
        <w:ind w:left="610" w:right="32"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22.报价的评审</w:t>
      </w:r>
    </w:p>
    <w:p>
      <w:pPr>
        <w:autoSpaceDE w:val="0"/>
        <w:autoSpaceDN w:val="0"/>
        <w:adjustRightInd w:val="0"/>
        <w:snapToGrid w:val="0"/>
        <w:spacing w:line="300" w:lineRule="auto"/>
        <w:ind w:left="610"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22.1询价小组将详细分析、核对每一份报价表，看其是否有计算上或累加上的算术误差，并加以修正。修正误差的原则如下：</w:t>
      </w:r>
    </w:p>
    <w:p>
      <w:pPr>
        <w:numPr>
          <w:ilvl w:val="1"/>
          <w:numId w:val="1"/>
        </w:numPr>
        <w:tabs>
          <w:tab w:val="left" w:pos="180"/>
          <w:tab w:val="left" w:pos="360"/>
          <w:tab w:val="left" w:pos="1260"/>
        </w:tabs>
        <w:snapToGrid w:val="0"/>
        <w:spacing w:line="300" w:lineRule="auto"/>
        <w:ind w:left="0" w:firstLine="0"/>
        <w:jc w:val="left"/>
        <w:rPr>
          <w:rFonts w:ascii="仿宋" w:hAnsi="仿宋" w:eastAsia="仿宋" w:cs="仿宋_GB2312"/>
          <w:sz w:val="28"/>
          <w:szCs w:val="28"/>
          <w:highlight w:val="none"/>
        </w:rPr>
      </w:pPr>
      <w:r>
        <w:rPr>
          <w:rFonts w:hint="eastAsia" w:ascii="仿宋" w:hAnsi="仿宋" w:eastAsia="仿宋" w:cs="仿宋_GB2312"/>
          <w:sz w:val="28"/>
          <w:szCs w:val="28"/>
          <w:highlight w:val="none"/>
        </w:rPr>
        <w:t>大写金额与小写金额不一致的，以大写金额为准；</w:t>
      </w:r>
    </w:p>
    <w:p>
      <w:pPr>
        <w:numPr>
          <w:ilvl w:val="1"/>
          <w:numId w:val="1"/>
        </w:numPr>
        <w:tabs>
          <w:tab w:val="left" w:pos="180"/>
          <w:tab w:val="left" w:pos="360"/>
          <w:tab w:val="left" w:pos="1260"/>
        </w:tabs>
        <w:snapToGrid w:val="0"/>
        <w:spacing w:line="300" w:lineRule="auto"/>
        <w:ind w:left="0" w:firstLine="0"/>
        <w:jc w:val="left"/>
        <w:rPr>
          <w:rFonts w:ascii="仿宋" w:hAnsi="仿宋" w:eastAsia="仿宋" w:cs="仿宋_GB2312"/>
          <w:sz w:val="28"/>
          <w:szCs w:val="28"/>
          <w:highlight w:val="none"/>
        </w:rPr>
      </w:pPr>
      <w:r>
        <w:rPr>
          <w:rFonts w:hint="eastAsia" w:ascii="仿宋" w:hAnsi="仿宋" w:eastAsia="仿宋" w:cs="仿宋_GB2312"/>
          <w:sz w:val="28"/>
          <w:szCs w:val="28"/>
          <w:highlight w:val="none"/>
        </w:rPr>
        <w:t>总价金额与按单价汇总金额不一致的，以单价为准，修正总价（单价小数点明显错位的除外）；</w:t>
      </w:r>
    </w:p>
    <w:p>
      <w:pPr>
        <w:autoSpaceDE w:val="0"/>
        <w:autoSpaceDN w:val="0"/>
        <w:adjustRightInd w:val="0"/>
        <w:snapToGrid w:val="0"/>
        <w:spacing w:line="300" w:lineRule="auto"/>
        <w:ind w:left="610"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22.2询价小组按上述修正误差的原则调整的价格对其报价人具有约束力。如果报价人不接受修正后的价格，其报价将被拒绝。</w:t>
      </w:r>
    </w:p>
    <w:p>
      <w:pPr>
        <w:autoSpaceDE w:val="0"/>
        <w:autoSpaceDN w:val="0"/>
        <w:adjustRightInd w:val="0"/>
        <w:snapToGrid w:val="0"/>
        <w:spacing w:line="25" w:lineRule="atLeast"/>
        <w:ind w:left="610"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22.3超过最高限价的报价将被拒绝。</w:t>
      </w:r>
    </w:p>
    <w:p>
      <w:pPr>
        <w:spacing w:line="25" w:lineRule="atLeast"/>
        <w:rPr>
          <w:rFonts w:ascii="仿宋" w:hAnsi="仿宋" w:eastAsia="仿宋" w:cs="仿宋_GB2312"/>
          <w:b/>
          <w:sz w:val="28"/>
          <w:szCs w:val="28"/>
          <w:highlight w:val="none"/>
        </w:rPr>
      </w:pPr>
      <w:r>
        <w:rPr>
          <w:rFonts w:hint="eastAsia" w:ascii="仿宋" w:hAnsi="仿宋" w:eastAsia="仿宋" w:cs="仿宋_GB2312"/>
          <w:b/>
          <w:sz w:val="28"/>
          <w:szCs w:val="28"/>
          <w:highlight w:val="none"/>
        </w:rPr>
        <w:t>六、确定承包人</w:t>
      </w:r>
    </w:p>
    <w:p>
      <w:pPr>
        <w:autoSpaceDE w:val="0"/>
        <w:autoSpaceDN w:val="0"/>
        <w:adjustRightInd w:val="0"/>
        <w:snapToGrid w:val="0"/>
        <w:spacing w:line="25" w:lineRule="atLeast"/>
        <w:ind w:left="610"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23.确定承包人原则</w:t>
      </w:r>
    </w:p>
    <w:p>
      <w:pPr>
        <w:autoSpaceDE w:val="0"/>
        <w:autoSpaceDN w:val="0"/>
        <w:adjustRightInd w:val="0"/>
        <w:snapToGrid w:val="0"/>
        <w:spacing w:line="300" w:lineRule="auto"/>
        <w:ind w:left="610" w:right="32" w:hanging="63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23.1根据符合询价人需求、质量和服务且报价最低的原则确定承包人。</w:t>
      </w:r>
    </w:p>
    <w:p>
      <w:pPr>
        <w:autoSpaceDE w:val="0"/>
        <w:autoSpaceDN w:val="0"/>
        <w:adjustRightInd w:val="0"/>
        <w:snapToGrid w:val="0"/>
        <w:spacing w:line="300" w:lineRule="auto"/>
        <w:ind w:left="610" w:right="32" w:hanging="630" w:hangingChars="225"/>
        <w:rPr>
          <w:rFonts w:ascii="仿宋" w:hAnsi="仿宋" w:eastAsia="仿宋" w:cs="仿宋_GB2312"/>
          <w:kern w:val="0"/>
          <w:sz w:val="28"/>
          <w:szCs w:val="28"/>
          <w:highlight w:val="none"/>
        </w:rPr>
      </w:pPr>
      <w:r>
        <w:rPr>
          <w:rFonts w:hint="eastAsia" w:ascii="仿宋" w:hAnsi="仿宋" w:eastAsia="仿宋" w:cs="仿宋_GB2312"/>
          <w:sz w:val="28"/>
          <w:szCs w:val="28"/>
          <w:highlight w:val="none"/>
        </w:rPr>
        <w:t>23.2承包人确定后，询价人</w:t>
      </w:r>
      <w:r>
        <w:rPr>
          <w:rFonts w:hint="eastAsia" w:ascii="仿宋" w:hAnsi="仿宋" w:eastAsia="仿宋" w:cs="仿宋_GB2312"/>
          <w:kern w:val="0"/>
          <w:sz w:val="28"/>
          <w:szCs w:val="28"/>
          <w:highlight w:val="none"/>
        </w:rPr>
        <w:t>向承包人发出《发包通知书》，</w:t>
      </w:r>
      <w:r>
        <w:rPr>
          <w:rFonts w:hint="eastAsia" w:ascii="仿宋" w:hAnsi="仿宋" w:eastAsia="仿宋" w:cs="仿宋_GB2312"/>
          <w:sz w:val="28"/>
          <w:szCs w:val="28"/>
          <w:highlight w:val="none"/>
        </w:rPr>
        <w:t>对承包人和询价人具有同等法律效力</w:t>
      </w:r>
      <w:r>
        <w:rPr>
          <w:rFonts w:hint="eastAsia" w:ascii="仿宋" w:hAnsi="仿宋" w:eastAsia="仿宋" w:cs="仿宋_GB2312"/>
          <w:kern w:val="0"/>
          <w:sz w:val="28"/>
          <w:szCs w:val="28"/>
          <w:highlight w:val="none"/>
        </w:rPr>
        <w:t>。</w:t>
      </w:r>
    </w:p>
    <w:p>
      <w:pPr>
        <w:pStyle w:val="9"/>
        <w:adjustRightInd w:val="0"/>
        <w:snapToGrid w:val="0"/>
        <w:spacing w:line="300" w:lineRule="auto"/>
        <w:rPr>
          <w:rFonts w:ascii="仿宋" w:hAnsi="仿宋" w:eastAsia="仿宋" w:cs="仿宋_GB2312"/>
          <w:b/>
          <w:sz w:val="28"/>
          <w:szCs w:val="28"/>
          <w:highlight w:val="none"/>
        </w:rPr>
      </w:pPr>
      <w:r>
        <w:rPr>
          <w:rFonts w:hint="eastAsia" w:ascii="仿宋" w:hAnsi="仿宋" w:eastAsia="仿宋" w:cs="仿宋_GB2312"/>
          <w:b/>
          <w:sz w:val="28"/>
          <w:szCs w:val="28"/>
          <w:highlight w:val="none"/>
        </w:rPr>
        <w:t>七、 合同的订立和履行</w:t>
      </w:r>
    </w:p>
    <w:p>
      <w:pPr>
        <w:autoSpaceDE w:val="0"/>
        <w:autoSpaceDN w:val="0"/>
        <w:adjustRightInd w:val="0"/>
        <w:snapToGrid w:val="0"/>
        <w:spacing w:line="300" w:lineRule="auto"/>
        <w:ind w:right="32"/>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24. 合同的订立</w:t>
      </w:r>
    </w:p>
    <w:p>
      <w:pPr>
        <w:autoSpaceDE w:val="0"/>
        <w:autoSpaceDN w:val="0"/>
        <w:adjustRightInd w:val="0"/>
        <w:snapToGrid w:val="0"/>
        <w:spacing w:line="300" w:lineRule="auto"/>
        <w:ind w:left="677" w:right="32" w:hanging="700" w:hangingChars="250"/>
        <w:rPr>
          <w:rFonts w:ascii="仿宋" w:hAnsi="仿宋" w:eastAsia="仿宋" w:cs="仿宋_GB2312"/>
          <w:sz w:val="28"/>
          <w:szCs w:val="28"/>
          <w:highlight w:val="none"/>
        </w:rPr>
      </w:pPr>
      <w:r>
        <w:rPr>
          <w:rFonts w:hint="eastAsia" w:ascii="仿宋" w:hAnsi="仿宋" w:eastAsia="仿宋" w:cs="仿宋_GB2312"/>
          <w:kern w:val="0"/>
          <w:sz w:val="28"/>
          <w:szCs w:val="28"/>
          <w:highlight w:val="none"/>
        </w:rPr>
        <w:t>24.1 询价人与成交、承包人自《发包通知书》发出之日起三十日内，按询价文件要求和承包人询价响应文件承诺签订承包合同，但</w:t>
      </w:r>
      <w:r>
        <w:rPr>
          <w:rFonts w:hint="eastAsia" w:ascii="仿宋" w:hAnsi="仿宋" w:eastAsia="仿宋" w:cs="仿宋_GB2312"/>
          <w:sz w:val="28"/>
          <w:szCs w:val="28"/>
          <w:highlight w:val="none"/>
        </w:rPr>
        <w:t>不得超出询价文件和承包人询价响应文件的范围、也不得再行订立背离合同实质性内容的其他协议。</w:t>
      </w:r>
      <w:r>
        <w:rPr>
          <w:rFonts w:hint="eastAsia" w:ascii="仿宋" w:hAnsi="仿宋" w:eastAsia="仿宋" w:cs="仿宋_GB2312"/>
          <w:color w:val="000000"/>
          <w:sz w:val="28"/>
          <w:szCs w:val="28"/>
          <w:highlight w:val="none"/>
          <w:lang w:val="en-US" w:eastAsia="zh-CN"/>
        </w:rPr>
        <w:t>因</w:t>
      </w:r>
      <w:r>
        <w:rPr>
          <w:rFonts w:hint="eastAsia" w:ascii="仿宋" w:hAnsi="仿宋" w:eastAsia="仿宋" w:cs="仿宋_GB2312"/>
          <w:color w:val="000000"/>
          <w:sz w:val="28"/>
          <w:szCs w:val="28"/>
          <w:highlight w:val="none"/>
        </w:rPr>
        <w:t>承包人原因导致未按规定时限签订合同的，</w:t>
      </w:r>
      <w:r>
        <w:rPr>
          <w:rFonts w:hint="eastAsia" w:ascii="仿宋" w:hAnsi="仿宋" w:eastAsia="仿宋" w:cs="仿宋_GB2312"/>
          <w:color w:val="000000"/>
          <w:sz w:val="28"/>
          <w:szCs w:val="28"/>
          <w:highlight w:val="none"/>
          <w:lang w:val="en-US" w:eastAsia="zh-CN"/>
        </w:rPr>
        <w:t>发包人有权视为其自动放弃该项目承包资格</w:t>
      </w:r>
      <w:r>
        <w:rPr>
          <w:rFonts w:hint="eastAsia" w:ascii="仿宋" w:hAnsi="仿宋" w:eastAsia="仿宋" w:cs="仿宋_GB2312"/>
          <w:color w:val="000000"/>
          <w:sz w:val="28"/>
          <w:szCs w:val="28"/>
          <w:highlight w:val="none"/>
        </w:rPr>
        <w:t>。</w:t>
      </w:r>
    </w:p>
    <w:p>
      <w:pPr>
        <w:adjustRightInd w:val="0"/>
        <w:snapToGrid w:val="0"/>
        <w:spacing w:line="300" w:lineRule="auto"/>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25. 合同的履行</w:t>
      </w:r>
    </w:p>
    <w:p>
      <w:pPr>
        <w:autoSpaceDE w:val="0"/>
        <w:autoSpaceDN w:val="0"/>
        <w:adjustRightInd w:val="0"/>
        <w:snapToGrid w:val="0"/>
        <w:spacing w:line="300" w:lineRule="auto"/>
        <w:ind w:left="677" w:right="32" w:hanging="700" w:hangingChars="250"/>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25.1承包合同订立后，合同各方不得擅自变更、中止或者终止合同。承包合同需要变更的，询价人应将有关合同变更内容，以书面形式报公司</w:t>
      </w:r>
      <w:r>
        <w:rPr>
          <w:rFonts w:hint="eastAsia" w:ascii="仿宋" w:hAnsi="仿宋" w:eastAsia="仿宋" w:cs="仿宋_GB2312"/>
          <w:kern w:val="0"/>
          <w:sz w:val="28"/>
          <w:szCs w:val="28"/>
          <w:highlight w:val="none"/>
          <w:lang w:val="en-US" w:eastAsia="zh-CN"/>
        </w:rPr>
        <w:t>招标</w:t>
      </w:r>
      <w:r>
        <w:rPr>
          <w:rFonts w:hint="eastAsia" w:ascii="仿宋" w:hAnsi="仿宋" w:eastAsia="仿宋" w:cs="仿宋_GB2312"/>
          <w:kern w:val="0"/>
          <w:sz w:val="28"/>
          <w:szCs w:val="28"/>
          <w:highlight w:val="none"/>
        </w:rPr>
        <w:t>办备案；因特殊情况需要中止或终止合同的，询价人应将中止或终止合同的理由以及相应措施，以书面形式报公司</w:t>
      </w:r>
      <w:r>
        <w:rPr>
          <w:rFonts w:hint="eastAsia" w:ascii="仿宋" w:hAnsi="仿宋" w:eastAsia="仿宋" w:cs="仿宋_GB2312"/>
          <w:kern w:val="0"/>
          <w:sz w:val="28"/>
          <w:szCs w:val="28"/>
          <w:highlight w:val="none"/>
          <w:lang w:val="en-US" w:eastAsia="zh-CN"/>
        </w:rPr>
        <w:t>招标</w:t>
      </w:r>
      <w:r>
        <w:rPr>
          <w:rFonts w:hint="eastAsia" w:ascii="仿宋" w:hAnsi="仿宋" w:eastAsia="仿宋" w:cs="仿宋_GB2312"/>
          <w:kern w:val="0"/>
          <w:sz w:val="28"/>
          <w:szCs w:val="28"/>
          <w:highlight w:val="none"/>
        </w:rPr>
        <w:t>办。</w:t>
      </w:r>
    </w:p>
    <w:p>
      <w:pPr>
        <w:autoSpaceDE w:val="0"/>
        <w:autoSpaceDN w:val="0"/>
        <w:adjustRightInd w:val="0"/>
        <w:snapToGrid w:val="0"/>
        <w:spacing w:line="300" w:lineRule="auto"/>
        <w:ind w:left="677" w:right="32" w:hanging="700" w:hangingChars="250"/>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25.2 承包人因不可抗力或者自身原因不能履行承包合同的，询价人</w:t>
      </w:r>
      <w:r>
        <w:rPr>
          <w:rFonts w:hint="eastAsia" w:ascii="仿宋" w:hAnsi="仿宋" w:eastAsia="仿宋" w:cs="仿宋_GB2312"/>
          <w:sz w:val="28"/>
          <w:szCs w:val="28"/>
          <w:highlight w:val="none"/>
        </w:rPr>
        <w:t>可以与排位在承包人之后第一位的成交候选报价单位签订承包</w:t>
      </w:r>
      <w:r>
        <w:rPr>
          <w:rFonts w:hint="eastAsia" w:ascii="仿宋" w:hAnsi="仿宋" w:eastAsia="仿宋" w:cs="仿宋_GB2312"/>
          <w:kern w:val="0"/>
          <w:sz w:val="28"/>
          <w:szCs w:val="28"/>
          <w:highlight w:val="none"/>
        </w:rPr>
        <w:t>合同，以此类推。</w:t>
      </w:r>
    </w:p>
    <w:p>
      <w:pPr>
        <w:autoSpaceDE w:val="0"/>
        <w:autoSpaceDN w:val="0"/>
        <w:adjustRightInd w:val="0"/>
        <w:snapToGrid w:val="0"/>
        <w:spacing w:line="300" w:lineRule="auto"/>
        <w:ind w:left="420" w:right="32" w:hanging="420"/>
        <w:rPr>
          <w:rFonts w:ascii="仿宋" w:hAnsi="仿宋" w:eastAsia="仿宋" w:cs="仿宋_GB2312"/>
          <w:b/>
          <w:kern w:val="0"/>
          <w:sz w:val="28"/>
          <w:szCs w:val="28"/>
          <w:highlight w:val="none"/>
        </w:rPr>
      </w:pPr>
      <w:r>
        <w:rPr>
          <w:rFonts w:hint="eastAsia" w:ascii="仿宋" w:hAnsi="仿宋" w:eastAsia="仿宋" w:cs="仿宋_GB2312"/>
          <w:b/>
          <w:kern w:val="0"/>
          <w:sz w:val="28"/>
          <w:szCs w:val="28"/>
          <w:highlight w:val="none"/>
        </w:rPr>
        <w:t>八、质疑</w:t>
      </w:r>
    </w:p>
    <w:p>
      <w:pPr>
        <w:snapToGrid w:val="0"/>
        <w:spacing w:line="300" w:lineRule="auto"/>
        <w:ind w:left="420" w:right="32" w:hanging="420"/>
        <w:rPr>
          <w:rFonts w:hint="eastAsia"/>
          <w:highlight w:val="none"/>
        </w:rPr>
      </w:pPr>
      <w:r>
        <w:rPr>
          <w:rFonts w:hint="eastAsia" w:ascii="仿宋" w:hAnsi="仿宋" w:eastAsia="仿宋" w:cs="仿宋_GB2312"/>
          <w:sz w:val="28"/>
          <w:szCs w:val="28"/>
          <w:highlight w:val="none"/>
        </w:rPr>
        <w:t>26. 如果报价人认为询价文件或询价过程或询价结果使其权益受到损害的，</w:t>
      </w:r>
      <w:r>
        <w:rPr>
          <w:rFonts w:hint="eastAsia" w:ascii="仿宋" w:hAnsi="仿宋" w:eastAsia="仿宋" w:cs="仿宋_GB2312"/>
          <w:color w:val="000000" w:themeColor="text1"/>
          <w:sz w:val="28"/>
          <w:szCs w:val="28"/>
          <w14:textFill>
            <w14:solidFill>
              <w14:schemeClr w14:val="tx1"/>
            </w14:solidFill>
          </w14:textFill>
        </w:rPr>
        <w:t>可向询价人提出书面质疑。询价人应在规定时间内给予答复。</w:t>
      </w:r>
    </w:p>
    <w:p>
      <w:pPr>
        <w:pStyle w:val="9"/>
        <w:adjustRightInd w:val="0"/>
        <w:snapToGrid w:val="0"/>
        <w:spacing w:line="300" w:lineRule="auto"/>
        <w:jc w:val="center"/>
        <w:rPr>
          <w:rFonts w:hint="eastAsia" w:ascii="仿宋" w:hAnsi="仿宋" w:eastAsia="仿宋" w:cs="仿宋_GB2312"/>
          <w:b/>
          <w:color w:val="000000" w:themeColor="text1"/>
          <w:sz w:val="28"/>
          <w:szCs w:val="28"/>
          <w:lang w:val="zh-CN"/>
          <w14:textFill>
            <w14:solidFill>
              <w14:schemeClr w14:val="tx1"/>
            </w14:solidFill>
          </w14:textFill>
        </w:rPr>
      </w:pPr>
    </w:p>
    <w:p>
      <w:pPr>
        <w:widowControl/>
        <w:jc w:val="left"/>
        <w:rPr>
          <w:sz w:val="28"/>
          <w:szCs w:val="28"/>
        </w:rPr>
      </w:pPr>
      <w:r>
        <w:rPr>
          <w:sz w:val="28"/>
          <w:szCs w:val="28"/>
        </w:rPr>
        <w:br w:type="page"/>
      </w:r>
    </w:p>
    <w:p>
      <w:pPr>
        <w:pStyle w:val="3"/>
      </w:pPr>
      <w:bookmarkStart w:id="5" w:name="_Toc152042358"/>
      <w:bookmarkStart w:id="6" w:name="_Toc247085739"/>
      <w:bookmarkStart w:id="7" w:name="_Toc179632599"/>
      <w:bookmarkStart w:id="8" w:name="_Toc152045581"/>
      <w:bookmarkStart w:id="9" w:name="_Toc144974548"/>
      <w:bookmarkStart w:id="10" w:name="_Toc371433002"/>
      <w:r>
        <w:rPr>
          <w:rFonts w:hint="eastAsia"/>
        </w:rPr>
        <w:t>附件一报价记录表</w:t>
      </w:r>
      <w:bookmarkEnd w:id="5"/>
      <w:bookmarkEnd w:id="6"/>
      <w:bookmarkEnd w:id="7"/>
      <w:bookmarkEnd w:id="8"/>
      <w:bookmarkEnd w:id="9"/>
      <w:bookmarkEnd w:id="10"/>
    </w:p>
    <w:p>
      <w:pPr>
        <w:spacing w:line="400" w:lineRule="exact"/>
        <w:jc w:val="center"/>
        <w:rPr>
          <w:rFonts w:ascii="仿宋" w:hAnsi="仿宋" w:eastAsia="仿宋" w:cs="仿宋_GB2312"/>
          <w:bCs/>
          <w:color w:val="000000"/>
          <w:sz w:val="28"/>
          <w:szCs w:val="28"/>
          <w:u w:val="single"/>
        </w:rPr>
      </w:pPr>
      <w:r>
        <w:rPr>
          <w:rFonts w:hint="eastAsia" w:ascii="仿宋" w:hAnsi="仿宋" w:eastAsia="仿宋" w:cs="仿宋_GB2312"/>
          <w:bCs/>
          <w:color w:val="000000"/>
          <w:sz w:val="28"/>
          <w:szCs w:val="28"/>
          <w:u w:val="single"/>
        </w:rPr>
        <w:t>广州市净水有限公司石井净水厂地块控制性详细规划阶段海绵城市</w:t>
      </w:r>
    </w:p>
    <w:p>
      <w:pPr>
        <w:spacing w:line="400" w:lineRule="exact"/>
        <w:jc w:val="center"/>
        <w:rPr>
          <w:rFonts w:ascii="仿宋" w:hAnsi="仿宋" w:eastAsia="仿宋" w:cs="仿宋_GB2312"/>
          <w:color w:val="000000"/>
          <w:sz w:val="28"/>
          <w:szCs w:val="28"/>
        </w:rPr>
      </w:pPr>
      <w:r>
        <w:rPr>
          <w:rFonts w:hint="eastAsia" w:ascii="仿宋" w:hAnsi="仿宋" w:eastAsia="仿宋" w:cs="仿宋_GB2312"/>
          <w:bCs/>
          <w:color w:val="000000"/>
          <w:sz w:val="28"/>
          <w:szCs w:val="28"/>
          <w:u w:val="single"/>
        </w:rPr>
        <w:t>（含防洪排涝风险评估）专篇编制</w:t>
      </w:r>
      <w:r>
        <w:rPr>
          <w:rFonts w:hint="eastAsia" w:ascii="仿宋" w:hAnsi="仿宋" w:eastAsia="仿宋" w:cs="仿宋_GB2312"/>
          <w:bCs/>
          <w:color w:val="000000"/>
          <w:sz w:val="28"/>
          <w:szCs w:val="28"/>
          <w:u w:val="single"/>
          <w:lang w:eastAsia="zh-CN"/>
        </w:rPr>
        <w:t>（</w:t>
      </w:r>
      <w:r>
        <w:rPr>
          <w:rFonts w:hint="eastAsia" w:ascii="仿宋" w:hAnsi="仿宋" w:eastAsia="仿宋" w:cs="仿宋_GB2312"/>
          <w:bCs/>
          <w:color w:val="000000"/>
          <w:sz w:val="28"/>
          <w:szCs w:val="28"/>
          <w:u w:val="single"/>
          <w:lang w:val="en-US" w:eastAsia="zh-CN"/>
        </w:rPr>
        <w:t>第二次</w:t>
      </w:r>
      <w:r>
        <w:rPr>
          <w:rFonts w:hint="eastAsia" w:ascii="仿宋" w:hAnsi="仿宋" w:eastAsia="仿宋" w:cs="仿宋_GB2312"/>
          <w:bCs/>
          <w:color w:val="000000"/>
          <w:sz w:val="28"/>
          <w:szCs w:val="28"/>
          <w:u w:val="single"/>
          <w:lang w:eastAsia="zh-CN"/>
        </w:rPr>
        <w:t>）</w:t>
      </w:r>
      <w:r>
        <w:rPr>
          <w:rFonts w:hint="eastAsia" w:ascii="仿宋" w:hAnsi="仿宋" w:eastAsia="仿宋" w:cs="仿宋_GB2312"/>
          <w:color w:val="000000"/>
          <w:sz w:val="28"/>
          <w:szCs w:val="28"/>
        </w:rPr>
        <w:t>报价记录表</w:t>
      </w:r>
    </w:p>
    <w:p>
      <w:pPr>
        <w:spacing w:line="500" w:lineRule="exact"/>
        <w:jc w:val="center"/>
        <w:rPr>
          <w:rFonts w:ascii="仿宋" w:hAnsi="仿宋" w:eastAsia="仿宋" w:cs="仿宋_GB2312"/>
          <w:color w:val="000000"/>
        </w:rPr>
      </w:pPr>
      <w:r>
        <w:rPr>
          <w:rFonts w:hint="eastAsia" w:ascii="仿宋" w:hAnsi="仿宋" w:eastAsia="仿宋" w:cs="仿宋_GB2312"/>
          <w:color w:val="000000"/>
          <w:szCs w:val="21"/>
        </w:rPr>
        <w:t>报价文件开启时间：年月日时分</w:t>
      </w:r>
    </w:p>
    <w:tbl>
      <w:tblPr>
        <w:tblStyle w:val="20"/>
        <w:tblW w:w="0" w:type="auto"/>
        <w:jc w:val="center"/>
        <w:tblLayout w:type="fixed"/>
        <w:tblCellMar>
          <w:top w:w="0" w:type="dxa"/>
          <w:left w:w="108" w:type="dxa"/>
          <w:bottom w:w="0" w:type="dxa"/>
          <w:right w:w="108" w:type="dxa"/>
        </w:tblCellMar>
      </w:tblPr>
      <w:tblGrid>
        <w:gridCol w:w="690"/>
        <w:gridCol w:w="3422"/>
        <w:gridCol w:w="1268"/>
        <w:gridCol w:w="1582"/>
        <w:gridCol w:w="1918"/>
      </w:tblGrid>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序号</w:t>
            </w:r>
          </w:p>
        </w:tc>
        <w:tc>
          <w:tcPr>
            <w:tcW w:w="34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报价单位</w:t>
            </w:r>
          </w:p>
        </w:tc>
        <w:tc>
          <w:tcPr>
            <w:tcW w:w="1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密封情况</w:t>
            </w:r>
          </w:p>
        </w:tc>
        <w:tc>
          <w:tcPr>
            <w:tcW w:w="15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报价（元）</w:t>
            </w:r>
          </w:p>
        </w:tc>
        <w:tc>
          <w:tcPr>
            <w:tcW w:w="19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签名</w:t>
            </w: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71"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bl>
    <w:p>
      <w:pPr>
        <w:spacing w:line="440" w:lineRule="exact"/>
        <w:rPr>
          <w:rFonts w:ascii="仿宋" w:hAnsi="仿宋" w:eastAsia="仿宋" w:cs="仿宋_GB2312"/>
          <w:color w:val="000000"/>
        </w:rPr>
      </w:pPr>
    </w:p>
    <w:p>
      <w:pPr>
        <w:spacing w:line="440" w:lineRule="exact"/>
        <w:rPr>
          <w:rFonts w:ascii="仿宋" w:hAnsi="仿宋" w:eastAsia="仿宋" w:cs="仿宋_GB2312"/>
          <w:color w:val="000000"/>
          <w:u w:val="single"/>
        </w:rPr>
      </w:pPr>
      <w:r>
        <w:rPr>
          <w:rFonts w:hint="eastAsia" w:ascii="仿宋" w:hAnsi="仿宋" w:eastAsia="仿宋" w:cs="仿宋_GB2312"/>
          <w:color w:val="000000"/>
        </w:rPr>
        <w:t xml:space="preserve">经办人：               记录人：          </w:t>
      </w:r>
    </w:p>
    <w:p>
      <w:pPr>
        <w:widowControl/>
        <w:jc w:val="left"/>
        <w:rPr>
          <w:sz w:val="28"/>
          <w:szCs w:val="28"/>
        </w:rPr>
      </w:pPr>
      <w:r>
        <w:rPr>
          <w:sz w:val="28"/>
          <w:szCs w:val="28"/>
        </w:rPr>
        <w:br w:type="page"/>
      </w:r>
    </w:p>
    <w:p>
      <w:pPr>
        <w:spacing w:line="440" w:lineRule="exact"/>
        <w:rPr>
          <w:rFonts w:ascii="仿宋" w:hAnsi="仿宋" w:eastAsia="仿宋" w:cs="仿宋_GB2312"/>
          <w:color w:val="000000"/>
          <w:sz w:val="28"/>
          <w:szCs w:val="28"/>
        </w:rPr>
      </w:pPr>
      <w:r>
        <w:rPr>
          <w:rFonts w:hint="eastAsia" w:ascii="仿宋" w:hAnsi="仿宋" w:eastAsia="仿宋" w:cs="仿宋_GB2312"/>
          <w:b/>
          <w:bCs/>
          <w:color w:val="000000"/>
          <w:sz w:val="32"/>
          <w:szCs w:val="32"/>
        </w:rPr>
        <w:t>附件二</w:t>
      </w:r>
    </w:p>
    <w:p>
      <w:pPr>
        <w:spacing w:line="360" w:lineRule="auto"/>
        <w:jc w:val="center"/>
        <w:rPr>
          <w:rFonts w:ascii="仿宋" w:hAnsi="仿宋" w:eastAsia="仿宋"/>
          <w:b/>
          <w:color w:val="000000"/>
          <w:sz w:val="36"/>
          <w:szCs w:val="36"/>
        </w:rPr>
      </w:pPr>
      <w:r>
        <w:rPr>
          <w:rFonts w:hint="eastAsia" w:ascii="仿宋" w:hAnsi="仿宋" w:eastAsia="仿宋"/>
          <w:b/>
          <w:bCs/>
          <w:color w:val="000000"/>
          <w:sz w:val="36"/>
          <w:szCs w:val="36"/>
        </w:rPr>
        <w:t>广州市净水有限公司</w:t>
      </w:r>
      <w:r>
        <w:rPr>
          <w:rFonts w:hint="eastAsia" w:ascii="仿宋" w:hAnsi="仿宋" w:eastAsia="仿宋"/>
          <w:b/>
          <w:color w:val="000000"/>
          <w:sz w:val="36"/>
          <w:szCs w:val="36"/>
        </w:rPr>
        <w:t>非公开招标项目</w:t>
      </w:r>
    </w:p>
    <w:p>
      <w:pPr>
        <w:spacing w:line="360" w:lineRule="auto"/>
        <w:jc w:val="center"/>
        <w:rPr>
          <w:rFonts w:ascii="仿宋" w:hAnsi="仿宋" w:eastAsia="仿宋"/>
          <w:b/>
          <w:color w:val="000000"/>
          <w:sz w:val="36"/>
          <w:szCs w:val="36"/>
        </w:rPr>
      </w:pPr>
      <w:r>
        <w:rPr>
          <w:rFonts w:hint="eastAsia" w:ascii="仿宋" w:hAnsi="仿宋" w:eastAsia="仿宋"/>
          <w:b/>
          <w:color w:val="000000"/>
          <w:sz w:val="36"/>
          <w:szCs w:val="36"/>
        </w:rPr>
        <w:t>询价评审记录表</w:t>
      </w:r>
    </w:p>
    <w:p>
      <w:pPr>
        <w:spacing w:line="360" w:lineRule="auto"/>
        <w:ind w:left="1200" w:leftChars="0" w:hanging="1200" w:hangingChars="500"/>
        <w:rPr>
          <w:rFonts w:hint="eastAsia" w:ascii="仿宋" w:hAnsi="仿宋" w:eastAsia="仿宋"/>
          <w:color w:val="000000"/>
          <w:sz w:val="24"/>
          <w:lang w:eastAsia="zh-CN"/>
        </w:rPr>
      </w:pPr>
      <w:r>
        <w:rPr>
          <w:rFonts w:hint="eastAsia" w:ascii="仿宋" w:hAnsi="仿宋" w:eastAsia="仿宋"/>
          <w:color w:val="000000"/>
          <w:sz w:val="24"/>
        </w:rPr>
        <w:t>项目名称:广州市净水有限公司石井净水厂地块控制性详细规划阶段海绵城市（含防洪排涝风险评估）专篇编制</w:t>
      </w:r>
      <w:r>
        <w:rPr>
          <w:rFonts w:hint="eastAsia" w:ascii="仿宋" w:hAnsi="仿宋" w:eastAsia="仿宋"/>
          <w:color w:val="000000"/>
          <w:sz w:val="24"/>
          <w:lang w:eastAsia="zh-CN"/>
        </w:rPr>
        <w:t>（</w:t>
      </w:r>
      <w:r>
        <w:rPr>
          <w:rFonts w:hint="eastAsia" w:ascii="仿宋" w:hAnsi="仿宋" w:eastAsia="仿宋"/>
          <w:color w:val="000000"/>
          <w:sz w:val="24"/>
          <w:lang w:val="en-US" w:eastAsia="zh-CN"/>
        </w:rPr>
        <w:t>第二次</w:t>
      </w:r>
      <w:r>
        <w:rPr>
          <w:rFonts w:hint="eastAsia" w:ascii="仿宋" w:hAnsi="仿宋" w:eastAsia="仿宋"/>
          <w:color w:val="000000"/>
          <w:sz w:val="24"/>
          <w:lang w:eastAsia="zh-CN"/>
        </w:rPr>
        <w:t>）</w:t>
      </w:r>
    </w:p>
    <w:tbl>
      <w:tblPr>
        <w:tblStyle w:val="20"/>
        <w:tblW w:w="10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137"/>
        <w:gridCol w:w="1078"/>
        <w:gridCol w:w="958"/>
        <w:gridCol w:w="1005"/>
        <w:gridCol w:w="1005"/>
        <w:gridCol w:w="1008"/>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jc w:val="center"/>
        </w:trPr>
        <w:tc>
          <w:tcPr>
            <w:tcW w:w="601" w:type="dxa"/>
            <w:vMerge w:val="restart"/>
            <w:tcBorders>
              <w:top w:val="double" w:color="auto" w:sz="4" w:space="0"/>
              <w:left w:val="doub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序号</w:t>
            </w:r>
          </w:p>
        </w:tc>
        <w:tc>
          <w:tcPr>
            <w:tcW w:w="4137" w:type="dxa"/>
            <w:vMerge w:val="restart"/>
            <w:tcBorders>
              <w:top w:val="double" w:color="auto" w:sz="4" w:space="0"/>
              <w:left w:val="single" w:color="auto" w:sz="4" w:space="0"/>
              <w:right w:val="single" w:color="auto" w:sz="4" w:space="0"/>
            </w:tcBorders>
            <w:vAlign w:val="center"/>
          </w:tcPr>
          <w:p>
            <w:pPr>
              <w:jc w:val="center"/>
              <w:rPr>
                <w:rFonts w:ascii="仿宋" w:hAnsi="仿宋" w:eastAsia="仿宋"/>
                <w:color w:val="000000"/>
                <w:sz w:val="24"/>
              </w:rPr>
            </w:pPr>
            <w:r>
              <w:rPr>
                <w:rFonts w:hint="eastAsia"/>
                <w:b/>
                <w:sz w:val="24"/>
              </w:rPr>
              <w:t>项目资料</w:t>
            </w:r>
          </w:p>
        </w:tc>
        <w:tc>
          <w:tcPr>
            <w:tcW w:w="1078" w:type="dxa"/>
            <w:vMerge w:val="restart"/>
            <w:tcBorders>
              <w:top w:val="double" w:color="auto" w:sz="4" w:space="0"/>
              <w:left w:val="single" w:color="auto" w:sz="4" w:space="0"/>
              <w:right w:val="single" w:color="auto" w:sz="4" w:space="0"/>
            </w:tcBorders>
            <w:vAlign w:val="center"/>
          </w:tcPr>
          <w:p>
            <w:pPr>
              <w:jc w:val="center"/>
              <w:rPr>
                <w:rFonts w:ascii="仿宋" w:hAnsi="仿宋" w:eastAsia="仿宋"/>
                <w:color w:val="000000"/>
                <w:sz w:val="24"/>
              </w:rPr>
            </w:pPr>
            <w:r>
              <w:rPr>
                <w:rFonts w:hint="eastAsia"/>
                <w:b/>
                <w:sz w:val="24"/>
              </w:rPr>
              <w:t>提交资料要求</w:t>
            </w:r>
          </w:p>
        </w:tc>
        <w:tc>
          <w:tcPr>
            <w:tcW w:w="3976" w:type="dxa"/>
            <w:gridSpan w:val="4"/>
            <w:tcBorders>
              <w:top w:val="double" w:color="auto" w:sz="4" w:space="0"/>
              <w:left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审核情况</w:t>
            </w:r>
          </w:p>
        </w:tc>
        <w:tc>
          <w:tcPr>
            <w:tcW w:w="803" w:type="dxa"/>
            <w:tcBorders>
              <w:top w:val="double" w:color="auto" w:sz="4" w:space="0"/>
              <w:left w:val="single" w:color="auto" w:sz="4" w:space="0"/>
              <w:bottom w:val="single" w:color="auto" w:sz="4" w:space="0"/>
              <w:right w:val="double" w:color="auto" w:sz="4" w:space="0"/>
            </w:tcBorders>
            <w:vAlign w:val="center"/>
          </w:tcPr>
          <w:p>
            <w:pPr>
              <w:jc w:val="center"/>
              <w:rPr>
                <w:rFonts w:ascii="仿宋" w:hAnsi="仿宋" w:eastAsia="仿宋"/>
                <w:color w:val="000000"/>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601" w:type="dxa"/>
            <w:vMerge w:val="continue"/>
            <w:tcBorders>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4137" w:type="dxa"/>
            <w:vMerge w:val="continue"/>
            <w:tcBorders>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78" w:type="dxa"/>
            <w:vMerge w:val="continue"/>
            <w:tcBorders>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18"/>
                <w:szCs w:val="18"/>
              </w:rPr>
            </w:pPr>
          </w:p>
        </w:tc>
        <w:tc>
          <w:tcPr>
            <w:tcW w:w="100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18"/>
                <w:szCs w:val="1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1</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lang w:val="en-US" w:eastAsia="zh-CN"/>
              </w:rPr>
              <w:t>符合报名条件资格要求</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2</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lang w:val="en-US" w:eastAsia="zh-CN"/>
              </w:rPr>
              <w:t>企业</w:t>
            </w:r>
            <w:r>
              <w:rPr>
                <w:rFonts w:hint="eastAsia" w:ascii="宋体" w:hAnsi="宋体"/>
                <w:sz w:val="24"/>
              </w:rPr>
              <w:t>法定代表人</w:t>
            </w:r>
            <w:r>
              <w:rPr>
                <w:rFonts w:hint="eastAsia" w:ascii="宋体" w:hAnsi="宋体"/>
                <w:sz w:val="24"/>
                <w:lang w:val="en-US" w:eastAsia="zh-CN"/>
              </w:rPr>
              <w:t>资格证明书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3</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lang w:val="en-US" w:eastAsia="zh-CN"/>
              </w:rPr>
              <w:t>法定代表人授权委托书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宋体" w:hAnsi="宋体"/>
                <w:color w:val="FF0000"/>
                <w:sz w:val="24"/>
              </w:rPr>
            </w:pPr>
          </w:p>
          <w:p>
            <w:pPr>
              <w:tabs>
                <w:tab w:val="left" w:pos="0"/>
              </w:tabs>
              <w:rPr>
                <w:rFonts w:ascii="宋体" w:hAnsi="宋体"/>
                <w:color w:val="FF0000"/>
                <w:sz w:val="24"/>
              </w:rPr>
            </w:pPr>
          </w:p>
          <w:p>
            <w:pPr>
              <w:tabs>
                <w:tab w:val="left" w:pos="0"/>
              </w:tabs>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4</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lang w:val="en-US" w:eastAsia="zh-CN"/>
              </w:rPr>
              <w:t>关于资格的声明函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5</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color w:val="000000"/>
                <w:sz w:val="24"/>
              </w:rPr>
            </w:pPr>
            <w:r>
              <w:rPr>
                <w:rFonts w:hint="eastAsia" w:ascii="宋体" w:hAnsi="宋体"/>
                <w:sz w:val="24"/>
              </w:rPr>
              <w:t>拟委派的项目负责人情况表</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lang w:val="en-US" w:eastAsia="zh-CN"/>
              </w:rPr>
              <w:t>原</w:t>
            </w:r>
            <w:r>
              <w:rPr>
                <w:rFonts w:hint="eastAsia" w:ascii="宋体" w:hAnsi="宋体"/>
                <w:sz w:val="24"/>
              </w:rPr>
              <w:t>件</w:t>
            </w:r>
          </w:p>
        </w:tc>
        <w:tc>
          <w:tcPr>
            <w:tcW w:w="9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6</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报价意向承诺及声明函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7</w:t>
            </w:r>
          </w:p>
        </w:tc>
        <w:tc>
          <w:tcPr>
            <w:tcW w:w="4137" w:type="dxa"/>
            <w:tcBorders>
              <w:top w:val="single" w:color="auto" w:sz="4" w:space="0"/>
              <w:left w:val="double" w:color="auto" w:sz="4" w:space="0"/>
              <w:bottom w:val="single" w:color="auto" w:sz="4" w:space="0"/>
              <w:right w:val="single" w:color="auto" w:sz="4" w:space="0"/>
            </w:tcBorders>
            <w:vAlign w:val="center"/>
          </w:tcPr>
          <w:p>
            <w:pPr>
              <w:rPr>
                <w:rFonts w:hint="default" w:eastAsiaTheme="minorEastAsia"/>
                <w:lang w:val="en-US" w:eastAsia="zh-CN"/>
              </w:rPr>
            </w:pPr>
            <w:r>
              <w:rPr>
                <w:rFonts w:hint="eastAsia"/>
                <w:lang w:val="en-US" w:eastAsia="zh-CN"/>
              </w:rPr>
              <w:t>响应承诺书</w:t>
            </w:r>
          </w:p>
        </w:tc>
        <w:tc>
          <w:tcPr>
            <w:tcW w:w="1078" w:type="dxa"/>
            <w:tcBorders>
              <w:top w:val="single" w:color="auto" w:sz="4" w:space="0"/>
              <w:left w:val="double" w:color="auto" w:sz="4" w:space="0"/>
              <w:bottom w:val="single" w:color="auto" w:sz="4" w:space="0"/>
              <w:right w:val="single" w:color="auto" w:sz="4" w:space="0"/>
            </w:tcBorders>
            <w:vAlign w:val="center"/>
          </w:tcPr>
          <w:p>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34" w:hRule="atLeas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结论</w:t>
            </w:r>
          </w:p>
        </w:tc>
        <w:tc>
          <w:tcPr>
            <w:tcW w:w="958"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double" w:color="auto" w:sz="4" w:space="0"/>
            </w:tcBorders>
            <w:vAlign w:val="center"/>
          </w:tcPr>
          <w:p/>
        </w:tc>
        <w:tc>
          <w:tcPr>
            <w:tcW w:w="1005" w:type="dxa"/>
            <w:tcBorders>
              <w:top w:val="single" w:color="auto" w:sz="4" w:space="0"/>
              <w:left w:val="single" w:color="auto" w:sz="4" w:space="0"/>
              <w:bottom w:val="single" w:color="auto" w:sz="4" w:space="0"/>
              <w:right w:val="double" w:color="auto" w:sz="4" w:space="0"/>
            </w:tcBorders>
            <w:vAlign w:val="center"/>
          </w:tcPr>
          <w:p/>
        </w:tc>
        <w:tc>
          <w:tcPr>
            <w:tcW w:w="1008" w:type="dxa"/>
            <w:tcBorders>
              <w:top w:val="single" w:color="auto" w:sz="4" w:space="0"/>
              <w:left w:val="single" w:color="auto" w:sz="4" w:space="0"/>
              <w:bottom w:val="single" w:color="auto" w:sz="4" w:space="0"/>
              <w:right w:val="double" w:color="auto" w:sz="4" w:space="0"/>
            </w:tcBorders>
            <w:vAlign w:val="center"/>
          </w:tcPr>
          <w:p/>
        </w:tc>
        <w:tc>
          <w:tcPr>
            <w:tcW w:w="803" w:type="dxa"/>
            <w:tcBorders>
              <w:top w:val="single" w:color="auto" w:sz="4" w:space="0"/>
              <w:left w:val="single" w:color="auto" w:sz="4" w:space="0"/>
              <w:bottom w:val="single" w:color="auto" w:sz="4" w:space="0"/>
              <w:right w:val="double" w:color="auto" w:sz="4" w:space="0"/>
            </w:tcBorders>
            <w:vAlign w:val="center"/>
          </w:tcPr>
          <w:p/>
        </w:tc>
      </w:tr>
    </w:tbl>
    <w:p>
      <w:pPr>
        <w:ind w:left="840" w:hanging="840" w:hangingChars="400"/>
        <w:rPr>
          <w:rFonts w:ascii="仿宋" w:hAnsi="仿宋" w:eastAsia="仿宋"/>
          <w:color w:val="000000"/>
        </w:rPr>
      </w:pPr>
      <w:r>
        <w:rPr>
          <w:rFonts w:hint="eastAsia" w:ascii="仿宋" w:hAnsi="仿宋" w:eastAsia="仿宋"/>
          <w:color w:val="000000"/>
        </w:rPr>
        <w:t>备注：1、审核情况填写“符合”或“不符合；或者打“√”或“×”。</w:t>
      </w:r>
    </w:p>
    <w:p>
      <w:pPr>
        <w:numPr>
          <w:ilvl w:val="0"/>
          <w:numId w:val="2"/>
        </w:numPr>
        <w:ind w:firstLine="630" w:firstLineChars="300"/>
        <w:rPr>
          <w:rFonts w:ascii="仿宋" w:hAnsi="仿宋" w:eastAsia="仿宋"/>
          <w:color w:val="000000"/>
        </w:rPr>
      </w:pPr>
      <w:r>
        <w:rPr>
          <w:rFonts w:hint="eastAsia" w:ascii="仿宋" w:hAnsi="仿宋" w:eastAsia="仿宋"/>
          <w:color w:val="000000"/>
        </w:rPr>
        <w:t>本表所有审核情况均为符合的，结论为报名成功。若有一项或以上审核情况为不符合的，结论为报名不成功。</w:t>
      </w:r>
    </w:p>
    <w:p>
      <w:pPr>
        <w:widowControl/>
        <w:jc w:val="left"/>
        <w:rPr>
          <w:sz w:val="28"/>
          <w:szCs w:val="28"/>
        </w:rPr>
      </w:pPr>
      <w:r>
        <w:rPr>
          <w:sz w:val="28"/>
          <w:szCs w:val="28"/>
        </w:rPr>
        <w:br w:type="page"/>
      </w:r>
    </w:p>
    <w:p>
      <w:pP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b/>
          <w:bCs/>
          <w:color w:val="000000" w:themeColor="text1"/>
          <w:sz w:val="32"/>
          <w:szCs w:val="32"/>
          <w14:textFill>
            <w14:solidFill>
              <w14:schemeClr w14:val="tx1"/>
            </w14:solidFill>
          </w14:textFill>
        </w:rPr>
        <w:t>附件三</w:t>
      </w:r>
    </w:p>
    <w:p>
      <w:pPr>
        <w:tabs>
          <w:tab w:val="left" w:pos="5740"/>
        </w:tabs>
        <w:autoSpaceDE w:val="0"/>
        <w:autoSpaceDN w:val="0"/>
        <w:adjustRightInd w:val="0"/>
        <w:jc w:val="center"/>
        <w:rPr>
          <w:rFonts w:ascii="仿宋" w:hAnsi="仿宋" w:eastAsia="仿宋"/>
          <w:b/>
          <w:color w:val="000000" w:themeColor="text1"/>
          <w:sz w:val="44"/>
          <w:szCs w:val="44"/>
          <w14:textFill>
            <w14:solidFill>
              <w14:schemeClr w14:val="tx1"/>
            </w14:solidFill>
          </w14:textFill>
        </w:rPr>
      </w:pPr>
      <w:r>
        <w:rPr>
          <w:rFonts w:hint="eastAsia" w:ascii="仿宋" w:hAnsi="仿宋" w:eastAsia="仿宋" w:cs="宋体"/>
          <w:b/>
          <w:bCs/>
          <w:color w:val="000000" w:themeColor="text1"/>
          <w:kern w:val="0"/>
          <w:sz w:val="44"/>
          <w:szCs w:val="44"/>
          <w14:textFill>
            <w14:solidFill>
              <w14:schemeClr w14:val="tx1"/>
            </w14:solidFill>
          </w14:textFill>
        </w:rPr>
        <w:t>广州市净水有限公司非公开招标</w:t>
      </w:r>
      <w:r>
        <w:rPr>
          <w:rFonts w:hint="eastAsia" w:ascii="仿宋" w:hAnsi="仿宋" w:eastAsia="仿宋"/>
          <w:b/>
          <w:color w:val="000000" w:themeColor="text1"/>
          <w:sz w:val="44"/>
          <w:szCs w:val="44"/>
          <w14:textFill>
            <w14:solidFill>
              <w14:schemeClr w14:val="tx1"/>
            </w14:solidFill>
          </w14:textFill>
        </w:rPr>
        <w:t>项目</w:t>
      </w:r>
    </w:p>
    <w:p>
      <w:pPr>
        <w:tabs>
          <w:tab w:val="left" w:pos="5740"/>
        </w:tabs>
        <w:autoSpaceDE w:val="0"/>
        <w:autoSpaceDN w:val="0"/>
        <w:adjustRightInd w:val="0"/>
        <w:jc w:val="center"/>
        <w:rPr>
          <w:rFonts w:ascii="仿宋" w:hAnsi="仿宋" w:eastAsia="仿宋" w:cs="宋体"/>
          <w:b/>
          <w:bCs/>
          <w:color w:val="000000" w:themeColor="text1"/>
          <w:kern w:val="0"/>
          <w:sz w:val="44"/>
          <w:szCs w:val="44"/>
          <w14:textFill>
            <w14:solidFill>
              <w14:schemeClr w14:val="tx1"/>
            </w14:solidFill>
          </w14:textFill>
        </w:rPr>
      </w:pPr>
      <w:r>
        <w:rPr>
          <w:rFonts w:hint="eastAsia" w:ascii="仿宋" w:hAnsi="仿宋" w:eastAsia="仿宋" w:cs="宋体"/>
          <w:b/>
          <w:bCs/>
          <w:color w:val="000000" w:themeColor="text1"/>
          <w:kern w:val="0"/>
          <w:sz w:val="44"/>
          <w:szCs w:val="44"/>
          <w14:textFill>
            <w14:solidFill>
              <w14:schemeClr w14:val="tx1"/>
            </w14:solidFill>
          </w14:textFill>
        </w:rPr>
        <w:t>发包通知书</w:t>
      </w:r>
    </w:p>
    <w:p>
      <w:pPr>
        <w:autoSpaceDE w:val="0"/>
        <w:autoSpaceDN w:val="0"/>
        <w:adjustRightInd w:val="0"/>
        <w:spacing w:after="400"/>
        <w:jc w:val="center"/>
        <w:rPr>
          <w:rFonts w:ascii="仿宋" w:hAnsi="仿宋" w:eastAsia="仿宋" w:cs="STSong-Light"/>
          <w:color w:val="000000" w:themeColor="text1"/>
          <w:kern w:val="0"/>
          <w:sz w:val="32"/>
          <w:szCs w:val="32"/>
          <w14:textFill>
            <w14:solidFill>
              <w14:schemeClr w14:val="tx1"/>
            </w14:solidFill>
          </w14:textFill>
        </w:rPr>
      </w:pPr>
    </w:p>
    <w:p>
      <w:pPr>
        <w:autoSpaceDE w:val="0"/>
        <w:autoSpaceDN w:val="0"/>
        <w:adjustRightInd w:val="0"/>
        <w:spacing w:after="300"/>
        <w:jc w:val="center"/>
        <w:rPr>
          <w:rFonts w:ascii="仿宋" w:hAnsi="仿宋" w:eastAsia="仿宋" w:cs="STSong-Light"/>
          <w:b/>
          <w:color w:val="000000" w:themeColor="text1"/>
          <w:kern w:val="0"/>
          <w:sz w:val="32"/>
          <w:szCs w:val="32"/>
          <w14:textFill>
            <w14:solidFill>
              <w14:schemeClr w14:val="tx1"/>
            </w14:solidFill>
          </w14:textFill>
        </w:rPr>
      </w:pPr>
      <w:r>
        <w:rPr>
          <w:rFonts w:hint="eastAsia" w:ascii="仿宋_GB2312" w:hAnsi="STSong-Light" w:eastAsia="仿宋_GB2312" w:cs="STSong-Light"/>
          <w:color w:val="000000"/>
          <w:kern w:val="0"/>
          <w:sz w:val="32"/>
          <w:szCs w:val="32"/>
        </w:rPr>
        <w:t>广净（非公招）字</w:t>
      </w:r>
      <w:r>
        <w:rPr>
          <w:rFonts w:ascii="仿宋_GB2312" w:hAnsi="STSong-Light" w:eastAsia="仿宋_GB2312" w:cs="STSong-Light"/>
          <w:color w:val="000000"/>
          <w:kern w:val="0"/>
          <w:sz w:val="32"/>
          <w:szCs w:val="32"/>
        </w:rPr>
        <w:t xml:space="preserve"> [20</w:t>
      </w:r>
      <w:r>
        <w:rPr>
          <w:rFonts w:hint="eastAsia" w:ascii="仿宋_GB2312" w:hAnsi="宋体" w:eastAsia="仿宋_GB2312" w:cs="STSong-Light"/>
          <w:color w:val="000000"/>
          <w:kern w:val="0"/>
          <w:sz w:val="32"/>
          <w:szCs w:val="32"/>
        </w:rPr>
        <w:t>××</w:t>
      </w:r>
      <w:r>
        <w:rPr>
          <w:rFonts w:ascii="仿宋_GB2312" w:hAnsi="STSong-Light" w:eastAsia="仿宋_GB2312" w:cs="STSong-Light"/>
          <w:color w:val="000000"/>
          <w:kern w:val="0"/>
          <w:sz w:val="32"/>
          <w:szCs w:val="32"/>
        </w:rPr>
        <w:t xml:space="preserve">] </w:t>
      </w:r>
      <w:r>
        <w:rPr>
          <w:rFonts w:hint="eastAsia" w:ascii="仿宋_GB2312" w:hAnsi="STSong-Light" w:eastAsia="仿宋_GB2312" w:cs="STSong-Light"/>
          <w:color w:val="000000"/>
          <w:kern w:val="0"/>
          <w:sz w:val="32"/>
          <w:szCs w:val="32"/>
        </w:rPr>
        <w:t>第</w:t>
      </w:r>
      <w:r>
        <w:rPr>
          <w:rFonts w:ascii="仿宋_GB2312" w:hAnsi="STSong-Light" w:eastAsia="仿宋_GB2312" w:cs="STSong-Light"/>
          <w:color w:val="000000"/>
          <w:kern w:val="0"/>
          <w:sz w:val="32"/>
          <w:szCs w:val="32"/>
        </w:rPr>
        <w:t xml:space="preserve"> [</w:t>
      </w:r>
      <w:r>
        <w:rPr>
          <w:rFonts w:hint="eastAsia" w:ascii="仿宋_GB2312" w:hAnsi="宋体" w:eastAsia="仿宋_GB2312" w:cs="STSong-Light"/>
          <w:color w:val="000000"/>
          <w:kern w:val="0"/>
          <w:sz w:val="32"/>
          <w:szCs w:val="32"/>
        </w:rPr>
        <w:t>×××</w:t>
      </w:r>
      <w:r>
        <w:rPr>
          <w:rFonts w:ascii="仿宋_GB2312" w:hAnsi="STSong-Light" w:eastAsia="仿宋_GB2312" w:cs="STSong-Light"/>
          <w:color w:val="000000"/>
          <w:kern w:val="0"/>
          <w:sz w:val="32"/>
          <w:szCs w:val="32"/>
        </w:rPr>
        <w:t xml:space="preserve">] </w:t>
      </w:r>
      <w:r>
        <w:rPr>
          <w:rFonts w:hint="eastAsia" w:ascii="仿宋_GB2312" w:hAnsi="STSong-Light" w:eastAsia="仿宋_GB2312" w:cs="STSong-Light"/>
          <w:color w:val="000000"/>
          <w:kern w:val="0"/>
          <w:sz w:val="32"/>
          <w:szCs w:val="32"/>
        </w:rPr>
        <w:t>号</w:t>
      </w:r>
    </w:p>
    <w:p>
      <w:pPr>
        <w:autoSpaceDE w:val="0"/>
        <w:autoSpaceDN w:val="0"/>
        <w:adjustRightInd w:val="0"/>
        <w:spacing w:after="300"/>
        <w:jc w:val="left"/>
        <w:rPr>
          <w:rFonts w:ascii="仿宋" w:hAnsi="仿宋" w:eastAsia="仿宋" w:cs="STSong-Light"/>
          <w:color w:val="000000" w:themeColor="text1"/>
          <w:kern w:val="0"/>
          <w:sz w:val="32"/>
          <w:szCs w:val="32"/>
          <w14:textFill>
            <w14:solidFill>
              <w14:schemeClr w14:val="tx1"/>
            </w14:solidFill>
          </w14:textFill>
        </w:rPr>
      </w:pPr>
      <w:r>
        <w:rPr>
          <w:rFonts w:hint="eastAsia" w:ascii="仿宋" w:hAnsi="仿宋" w:eastAsia="仿宋" w:cs="STSong-Light"/>
          <w:color w:val="000000" w:themeColor="text1"/>
          <w:kern w:val="0"/>
          <w:sz w:val="32"/>
          <w:szCs w:val="32"/>
          <w14:textFill>
            <w14:solidFill>
              <w14:schemeClr w14:val="tx1"/>
            </w14:solidFill>
          </w14:textFill>
        </w:rPr>
        <w:t>承包单位</w:t>
      </w:r>
      <w:r>
        <w:rPr>
          <w:rFonts w:ascii="仿宋" w:hAnsi="仿宋" w:eastAsia="仿宋" w:cs="STSong-Light"/>
          <w:color w:val="000000" w:themeColor="text1"/>
          <w:kern w:val="0"/>
          <w:sz w:val="32"/>
          <w:szCs w:val="32"/>
          <w14:textFill>
            <w14:solidFill>
              <w14:schemeClr w14:val="tx1"/>
            </w14:solidFill>
          </w14:textFill>
        </w:rPr>
        <w:t>(全称):</w:t>
      </w:r>
    </w:p>
    <w:p>
      <w:pPr>
        <w:autoSpaceDE w:val="0"/>
        <w:autoSpaceDN w:val="0"/>
        <w:adjustRightInd w:val="0"/>
        <w:spacing w:after="300" w:line="500" w:lineRule="atLeast"/>
        <w:jc w:val="left"/>
        <w:rPr>
          <w:rFonts w:ascii="仿宋" w:hAnsi="仿宋" w:eastAsia="仿宋" w:cs="STSong-Light"/>
          <w:color w:val="000000" w:themeColor="text1"/>
          <w:kern w:val="0"/>
          <w:sz w:val="32"/>
          <w:szCs w:val="32"/>
          <w14:textFill>
            <w14:solidFill>
              <w14:schemeClr w14:val="tx1"/>
            </w14:solidFill>
          </w14:textFill>
        </w:rPr>
      </w:pPr>
      <w:r>
        <w:rPr>
          <w:rFonts w:ascii="仿宋" w:hAnsi="仿宋" w:eastAsia="仿宋" w:cs="STSong-Light"/>
          <w:color w:val="000000" w:themeColor="text1"/>
          <w:kern w:val="0"/>
          <w:sz w:val="32"/>
          <w:szCs w:val="32"/>
          <w14:textFill>
            <w14:solidFill>
              <w14:schemeClr w14:val="tx1"/>
            </w14:solidFill>
          </w14:textFill>
        </w:rPr>
        <w:t xml:space="preserve">    经询价小组评审推荐，确定你单位为</w:t>
      </w:r>
      <w:r>
        <w:rPr>
          <w:rFonts w:hint="eastAsia" w:ascii="仿宋" w:hAnsi="仿宋" w:eastAsia="仿宋" w:cs="STSong-Light"/>
          <w:color w:val="000000" w:themeColor="text1"/>
          <w:kern w:val="0"/>
          <w:sz w:val="32"/>
          <w:szCs w:val="32"/>
          <w14:textFill>
            <w14:solidFill>
              <w14:schemeClr w14:val="tx1"/>
            </w14:solidFill>
          </w14:textFill>
        </w:rPr>
        <w:t>广州市净水有限公司石井净水厂地块控制性详细规划阶段海绵城市（含防洪排涝风险评估）专篇编制的承包单位，承包内容为询价文件所规定的发包内容，报价为人民币×拾×万×仟×佰元（￥元）。</w:t>
      </w:r>
    </w:p>
    <w:p>
      <w:pPr>
        <w:autoSpaceDE w:val="0"/>
        <w:autoSpaceDN w:val="0"/>
        <w:adjustRightInd w:val="0"/>
        <w:spacing w:after="200"/>
        <w:jc w:val="left"/>
        <w:rPr>
          <w:rFonts w:ascii="仿宋" w:hAnsi="仿宋" w:eastAsia="仿宋" w:cs="STSong-Light"/>
          <w:color w:val="000000" w:themeColor="text1"/>
          <w:kern w:val="0"/>
          <w:sz w:val="32"/>
          <w:szCs w:val="32"/>
          <w14:textFill>
            <w14:solidFill>
              <w14:schemeClr w14:val="tx1"/>
            </w14:solidFill>
          </w14:textFill>
        </w:rPr>
      </w:pPr>
      <w:r>
        <w:rPr>
          <w:rFonts w:hint="eastAsia" w:ascii="仿宋" w:hAnsi="仿宋" w:eastAsia="仿宋" w:cs="STSong-Light"/>
          <w:color w:val="000000" w:themeColor="text1"/>
          <w:kern w:val="0"/>
          <w:sz w:val="32"/>
          <w:szCs w:val="32"/>
          <w14:textFill>
            <w14:solidFill>
              <w14:schemeClr w14:val="tx1"/>
            </w14:solidFill>
          </w14:textFill>
        </w:rPr>
        <w:t>其中：</w:t>
      </w:r>
    </w:p>
    <w:p>
      <w:pPr>
        <w:autoSpaceDE w:val="0"/>
        <w:autoSpaceDN w:val="0"/>
        <w:adjustRightInd w:val="0"/>
        <w:spacing w:after="500"/>
        <w:jc w:val="left"/>
        <w:rPr>
          <w:rFonts w:ascii="仿宋" w:hAnsi="仿宋" w:eastAsia="仿宋" w:cs="STSong-Light"/>
          <w:color w:val="000000" w:themeColor="text1"/>
          <w:kern w:val="0"/>
          <w:sz w:val="32"/>
          <w:szCs w:val="32"/>
          <w14:textFill>
            <w14:solidFill>
              <w14:schemeClr w14:val="tx1"/>
            </w14:solidFill>
          </w14:textFill>
        </w:rPr>
      </w:pPr>
      <w:r>
        <w:rPr>
          <w:rFonts w:ascii="仿宋" w:hAnsi="仿宋" w:eastAsia="仿宋" w:cs="STSong-Light"/>
          <w:color w:val="000000" w:themeColor="text1"/>
          <w:kern w:val="0"/>
          <w:sz w:val="32"/>
          <w:szCs w:val="32"/>
          <w14:textFill>
            <w14:solidFill>
              <w14:schemeClr w14:val="tx1"/>
            </w14:solidFill>
          </w14:textFill>
        </w:rPr>
        <w:t xml:space="preserve">      项目负责人姓名： </w:t>
      </w:r>
    </w:p>
    <w:p>
      <w:pPr>
        <w:autoSpaceDE w:val="0"/>
        <w:autoSpaceDN w:val="0"/>
        <w:adjustRightInd w:val="0"/>
        <w:spacing w:before="600" w:after="200"/>
        <w:ind w:left="5760"/>
        <w:jc w:val="left"/>
        <w:rPr>
          <w:rFonts w:ascii="仿宋" w:hAnsi="仿宋" w:eastAsia="仿宋" w:cs="STSong-Light"/>
          <w:color w:val="000000" w:themeColor="text1"/>
          <w:kern w:val="0"/>
          <w:sz w:val="32"/>
          <w:szCs w:val="32"/>
          <w14:textFill>
            <w14:solidFill>
              <w14:schemeClr w14:val="tx1"/>
            </w14:solidFill>
          </w14:textFill>
        </w:rPr>
      </w:pPr>
      <w:r>
        <w:rPr>
          <w:rFonts w:hint="eastAsia" w:ascii="仿宋" w:hAnsi="仿宋" w:eastAsia="仿宋" w:cs="STSong-Light"/>
          <w:color w:val="000000" w:themeColor="text1"/>
          <w:kern w:val="0"/>
          <w:sz w:val="32"/>
          <w:szCs w:val="32"/>
          <w14:textFill>
            <w14:solidFill>
              <w14:schemeClr w14:val="tx1"/>
            </w14:solidFill>
          </w14:textFill>
        </w:rPr>
        <w:t>发包单位（盖章）：</w:t>
      </w:r>
    </w:p>
    <w:p>
      <w:pPr>
        <w:autoSpaceDE w:val="0"/>
        <w:autoSpaceDN w:val="0"/>
        <w:adjustRightInd w:val="0"/>
        <w:spacing w:after="200"/>
        <w:jc w:val="left"/>
        <w:rPr>
          <w:rFonts w:ascii="仿宋" w:hAnsi="仿宋" w:eastAsia="仿宋" w:cs="STSong-Light"/>
          <w:color w:val="000000" w:themeColor="text1"/>
          <w:kern w:val="0"/>
          <w:sz w:val="32"/>
          <w:szCs w:val="32"/>
          <w14:textFill>
            <w14:solidFill>
              <w14:schemeClr w14:val="tx1"/>
            </w14:solidFill>
          </w14:textFill>
        </w:rPr>
      </w:pPr>
      <w:r>
        <w:rPr>
          <w:rFonts w:ascii="仿宋" w:hAnsi="仿宋" w:eastAsia="仿宋" w:cs="STSong-Light"/>
          <w:color w:val="000000" w:themeColor="text1"/>
          <w:kern w:val="0"/>
          <w:sz w:val="32"/>
          <w:szCs w:val="32"/>
          <w14:textFill>
            <w14:solidFill>
              <w14:schemeClr w14:val="tx1"/>
            </w14:solidFill>
          </w14:textFill>
        </w:rPr>
        <w:t xml:space="preserve">                                        年  月  日</w:t>
      </w:r>
    </w:p>
    <w:p>
      <w:pPr>
        <w:autoSpaceDE w:val="0"/>
        <w:autoSpaceDN w:val="0"/>
        <w:adjustRightInd w:val="0"/>
        <w:snapToGrid w:val="0"/>
        <w:spacing w:line="300" w:lineRule="auto"/>
        <w:ind w:left="420" w:right="32" w:hanging="420"/>
        <w:rPr>
          <w:rFonts w:ascii="仿宋" w:hAnsi="仿宋" w:eastAsia="仿宋" w:cs="仿宋_GB2312"/>
          <w:color w:val="000000"/>
          <w:sz w:val="28"/>
          <w:szCs w:val="28"/>
        </w:rPr>
      </w:pPr>
    </w:p>
    <w:p>
      <w:pPr>
        <w:widowControl/>
        <w:jc w:val="left"/>
        <w:rPr>
          <w:sz w:val="28"/>
          <w:szCs w:val="28"/>
        </w:rPr>
      </w:pPr>
      <w:r>
        <w:rPr>
          <w:sz w:val="28"/>
          <w:szCs w:val="28"/>
        </w:rPr>
        <w:br w:type="page"/>
      </w:r>
    </w:p>
    <w:p>
      <w:pPr>
        <w:pStyle w:val="17"/>
        <w:numPr>
          <w:ilvl w:val="0"/>
          <w:numId w:val="3"/>
        </w:numPr>
      </w:pPr>
      <w:r>
        <w:rPr>
          <w:rFonts w:hint="eastAsia"/>
        </w:rPr>
        <w:t>合同书格式</w:t>
      </w:r>
    </w:p>
    <w:p/>
    <w:p/>
    <w:p>
      <w:pPr>
        <w:jc w:val="center"/>
        <w:rPr>
          <w:rFonts w:hint="default" w:eastAsiaTheme="minorEastAsia"/>
          <w:sz w:val="32"/>
          <w:szCs w:val="32"/>
          <w:lang w:val="en-US" w:eastAsia="zh-CN"/>
        </w:rPr>
      </w:pPr>
      <w:r>
        <w:rPr>
          <w:rFonts w:hint="eastAsia"/>
          <w:sz w:val="32"/>
          <w:szCs w:val="32"/>
          <w:lang w:val="en-US" w:eastAsia="zh-CN"/>
        </w:rPr>
        <w:t>委托服务合同</w:t>
      </w:r>
    </w:p>
    <w:p/>
    <w:p>
      <w:pPr>
        <w:rPr>
          <w:rFonts w:ascii="仿宋_GB2312" w:hAnsi="仿宋_GB2312" w:eastAsia="仿宋_GB2312" w:cs="仿宋_GB2312"/>
          <w:sz w:val="28"/>
          <w:szCs w:val="28"/>
        </w:rPr>
      </w:pPr>
    </w:p>
    <w:p>
      <w:pPr>
        <w:ind w:firstLine="228" w:firstLineChars="95"/>
        <w:rPr>
          <w:rFonts w:ascii="宋体" w:hAnsi="宋体"/>
          <w:color w:val="000000"/>
          <w:sz w:val="24"/>
        </w:rPr>
      </w:pPr>
    </w:p>
    <w:p>
      <w:pPr>
        <w:adjustRightInd w:val="0"/>
        <w:spacing w:line="360" w:lineRule="auto"/>
        <w:ind w:firstLine="480" w:firstLineChars="200"/>
        <w:jc w:val="left"/>
        <w:textAlignment w:val="baseline"/>
        <w:rPr>
          <w:rFonts w:ascii="宋体" w:hAnsi="宋体" w:cs="宋体"/>
          <w:color w:val="000000"/>
          <w:sz w:val="24"/>
          <w:szCs w:val="24"/>
          <w:u w:val="single"/>
        </w:rPr>
      </w:pPr>
      <w:r>
        <w:rPr>
          <w:rFonts w:hint="eastAsia" w:ascii="宋体" w:hAnsi="宋体" w:cs="宋体"/>
          <w:color w:val="000000"/>
          <w:sz w:val="24"/>
          <w:szCs w:val="24"/>
        </w:rPr>
        <w:t>甲方（发包人） ：</w:t>
      </w:r>
      <w:r>
        <w:rPr>
          <w:rFonts w:hint="eastAsia" w:ascii="宋体" w:hAnsi="宋体" w:cs="宋体"/>
          <w:color w:val="000000"/>
          <w:sz w:val="24"/>
          <w:szCs w:val="24"/>
          <w:u w:val="single"/>
        </w:rPr>
        <w:t>广州市</w:t>
      </w:r>
      <w:r>
        <w:rPr>
          <w:rFonts w:hint="eastAsia" w:ascii="宋体" w:hAnsi="宋体" w:cs="宋体"/>
          <w:bCs/>
          <w:color w:val="000000"/>
          <w:sz w:val="24"/>
          <w:szCs w:val="24"/>
          <w:u w:val="single"/>
        </w:rPr>
        <w:t>净水有限公司</w:t>
      </w:r>
    </w:p>
    <w:p>
      <w:pPr>
        <w:adjustRightInd w:val="0"/>
        <w:spacing w:line="360" w:lineRule="auto"/>
        <w:ind w:firstLine="480" w:firstLineChars="200"/>
        <w:jc w:val="left"/>
        <w:textAlignment w:val="baseline"/>
        <w:rPr>
          <w:rFonts w:ascii="宋体" w:hAnsi="宋体" w:cs="宋体"/>
          <w:color w:val="000000"/>
          <w:sz w:val="24"/>
          <w:szCs w:val="24"/>
          <w:u w:val="single"/>
        </w:rPr>
      </w:pPr>
      <w:r>
        <w:rPr>
          <w:rFonts w:hint="eastAsia" w:ascii="宋体" w:hAnsi="宋体" w:cs="宋体"/>
          <w:color w:val="000000"/>
          <w:sz w:val="24"/>
          <w:szCs w:val="24"/>
        </w:rPr>
        <w:t>乙方（承包人） ：</w:t>
      </w:r>
    </w:p>
    <w:p>
      <w:pPr>
        <w:adjustRightInd w:val="0"/>
        <w:spacing w:line="360" w:lineRule="auto"/>
        <w:ind w:firstLine="228" w:firstLineChars="95"/>
        <w:jc w:val="left"/>
        <w:textAlignment w:val="baseline"/>
        <w:rPr>
          <w:rFonts w:ascii="宋体" w:hAnsi="宋体" w:eastAsia="宋体" w:cs="宋体"/>
          <w:color w:val="000000"/>
          <w:sz w:val="24"/>
          <w:szCs w:val="24"/>
        </w:rPr>
      </w:pPr>
    </w:p>
    <w:p>
      <w:pPr>
        <w:pStyle w:val="9"/>
        <w:spacing w:line="360" w:lineRule="auto"/>
        <w:ind w:firstLine="480" w:firstLineChars="200"/>
        <w:rPr>
          <w:rFonts w:hAnsi="宋体" w:cs="宋体"/>
          <w:color w:val="000000"/>
          <w:sz w:val="24"/>
          <w:szCs w:val="24"/>
        </w:rPr>
      </w:pPr>
      <w:r>
        <w:rPr>
          <w:rFonts w:hint="eastAsia" w:hAnsi="宋体" w:cs="宋体"/>
          <w:color w:val="000000"/>
          <w:sz w:val="24"/>
          <w:szCs w:val="24"/>
        </w:rPr>
        <w:t>甲方就</w:t>
      </w:r>
      <w:r>
        <w:rPr>
          <w:rFonts w:hAnsi="宋体" w:cs="宋体"/>
          <w:color w:val="000000"/>
          <w:sz w:val="24"/>
          <w:szCs w:val="24"/>
          <w:u w:val="single"/>
        </w:rPr>
        <w:t>石井净水厂地块控制性详细规划阶段海绵城市（含防洪排涝风险评估）专篇编制</w:t>
      </w:r>
      <w:r>
        <w:rPr>
          <w:rFonts w:hint="eastAsia" w:hAnsi="宋体" w:cs="宋体"/>
          <w:color w:val="000000"/>
          <w:sz w:val="24"/>
          <w:szCs w:val="24"/>
        </w:rPr>
        <w:t>委托乙方提供相应工作成果。经双方协商一致，签订本合同。</w:t>
      </w:r>
    </w:p>
    <w:p>
      <w:pPr>
        <w:adjustRightInd w:val="0"/>
        <w:spacing w:line="360" w:lineRule="auto"/>
        <w:jc w:val="left"/>
        <w:textAlignment w:val="baseline"/>
        <w:rPr>
          <w:rFonts w:ascii="宋体" w:hAnsi="宋体" w:cs="宋体"/>
          <w:b/>
          <w:color w:val="000000"/>
          <w:sz w:val="24"/>
          <w:szCs w:val="24"/>
        </w:rPr>
      </w:pPr>
      <w:r>
        <w:rPr>
          <w:rFonts w:hint="eastAsia" w:ascii="宋体" w:hAnsi="宋体" w:cs="宋体"/>
          <w:b/>
          <w:bCs/>
          <w:color w:val="000000"/>
          <w:sz w:val="24"/>
          <w:szCs w:val="24"/>
        </w:rPr>
        <w:t>第一条</w:t>
      </w:r>
      <w:r>
        <w:rPr>
          <w:rFonts w:hint="eastAsia" w:ascii="宋体" w:hAnsi="宋体" w:cs="宋体"/>
          <w:b/>
          <w:color w:val="000000"/>
          <w:sz w:val="24"/>
          <w:szCs w:val="24"/>
        </w:rPr>
        <w:t xml:space="preserve">  签订依据 </w:t>
      </w:r>
    </w:p>
    <w:p>
      <w:pPr>
        <w:overflowPunct w:val="0"/>
        <w:adjustRightInd w:val="0"/>
        <w:spacing w:line="360" w:lineRule="auto"/>
        <w:ind w:firstLine="480" w:firstLineChars="200"/>
        <w:jc w:val="left"/>
        <w:textAlignment w:val="baseline"/>
        <w:rPr>
          <w:rFonts w:ascii="宋体" w:hAnsi="宋体" w:cs="宋体"/>
          <w:sz w:val="24"/>
          <w:szCs w:val="24"/>
        </w:rPr>
      </w:pPr>
      <w:r>
        <w:rPr>
          <w:rFonts w:hint="eastAsia" w:ascii="宋体" w:hAnsi="宋体" w:cs="宋体"/>
          <w:sz w:val="24"/>
          <w:szCs w:val="24"/>
        </w:rPr>
        <w:t>1.1《中华人民共和国民法典》、《中华人民共和国城乡规划法》、《中华人民共和国建筑法》、《建设工程勘察设计管理条例》、《广州市城乡规划条例》</w:t>
      </w:r>
    </w:p>
    <w:p>
      <w:pPr>
        <w:overflowPunct w:val="0"/>
        <w:adjustRightInd w:val="0"/>
        <w:spacing w:line="360" w:lineRule="auto"/>
        <w:ind w:firstLine="480" w:firstLineChars="200"/>
        <w:jc w:val="left"/>
        <w:textAlignment w:val="baseline"/>
        <w:rPr>
          <w:rFonts w:ascii="宋体" w:hAnsi="宋体" w:cs="宋体"/>
          <w:sz w:val="24"/>
          <w:szCs w:val="24"/>
        </w:rPr>
      </w:pPr>
      <w:r>
        <w:rPr>
          <w:rFonts w:hint="eastAsia" w:ascii="宋体" w:hAnsi="宋体" w:cs="宋体"/>
          <w:sz w:val="24"/>
          <w:szCs w:val="24"/>
        </w:rPr>
        <w:t>1.2 国家及地方有关规划、建设工程勘察设计管理法规和规章。</w:t>
      </w:r>
    </w:p>
    <w:p>
      <w:pPr>
        <w:overflowPunct w:val="0"/>
        <w:adjustRightInd w:val="0"/>
        <w:spacing w:line="360" w:lineRule="auto"/>
        <w:ind w:firstLine="480" w:firstLineChars="200"/>
        <w:jc w:val="left"/>
        <w:textAlignment w:val="baseline"/>
        <w:rPr>
          <w:rFonts w:ascii="宋体" w:hAnsi="宋体" w:cs="宋体"/>
          <w:color w:val="000000"/>
          <w:sz w:val="24"/>
          <w:szCs w:val="24"/>
        </w:rPr>
      </w:pPr>
      <w:r>
        <w:rPr>
          <w:rFonts w:hint="eastAsia" w:ascii="宋体" w:hAnsi="宋体" w:cs="宋体"/>
          <w:sz w:val="24"/>
          <w:szCs w:val="24"/>
        </w:rPr>
        <w:t>1.3 建设工程批准文件。</w:t>
      </w:r>
    </w:p>
    <w:p>
      <w:pPr>
        <w:pStyle w:val="2"/>
        <w:rPr>
          <w:rFonts w:hAnsi="宋体"/>
        </w:rPr>
      </w:pPr>
    </w:p>
    <w:p>
      <w:pPr>
        <w:adjustRightInd w:val="0"/>
        <w:spacing w:line="360" w:lineRule="auto"/>
        <w:jc w:val="left"/>
        <w:textAlignment w:val="baseline"/>
        <w:rPr>
          <w:rFonts w:ascii="宋体" w:hAnsi="宋体" w:cs="宋体"/>
          <w:b/>
          <w:bCs/>
          <w:color w:val="000000"/>
          <w:sz w:val="24"/>
          <w:szCs w:val="24"/>
        </w:rPr>
      </w:pPr>
      <w:r>
        <w:rPr>
          <w:rFonts w:hint="eastAsia" w:ascii="宋体" w:hAnsi="宋体" w:cs="宋体"/>
          <w:b/>
          <w:bCs/>
          <w:color w:val="000000"/>
          <w:sz w:val="24"/>
          <w:szCs w:val="24"/>
        </w:rPr>
        <w:t>第二条  编制依据</w:t>
      </w:r>
    </w:p>
    <w:p>
      <w:pPr>
        <w:overflowPunct w:val="0"/>
        <w:adjustRightInd w:val="0"/>
        <w:spacing w:line="360" w:lineRule="auto"/>
        <w:ind w:firstLine="480" w:firstLineChars="200"/>
        <w:jc w:val="left"/>
        <w:textAlignment w:val="baseline"/>
        <w:rPr>
          <w:rFonts w:ascii="宋体" w:hAnsi="宋体" w:cs="宋体"/>
          <w:color w:val="000000"/>
          <w:sz w:val="24"/>
          <w:szCs w:val="24"/>
        </w:rPr>
      </w:pPr>
      <w:r>
        <w:rPr>
          <w:rFonts w:hint="eastAsia" w:ascii="宋体" w:hAnsi="宋体" w:cs="宋体"/>
          <w:color w:val="000000"/>
          <w:sz w:val="24"/>
          <w:szCs w:val="24"/>
        </w:rPr>
        <w:t>2.1甲方给乙方的发包通知书</w:t>
      </w:r>
    </w:p>
    <w:p>
      <w:pPr>
        <w:overflowPunct w:val="0"/>
        <w:adjustRightInd w:val="0"/>
        <w:spacing w:line="360" w:lineRule="auto"/>
        <w:ind w:firstLine="480" w:firstLineChars="200"/>
        <w:jc w:val="left"/>
        <w:textAlignment w:val="baseline"/>
        <w:rPr>
          <w:rFonts w:ascii="宋体" w:hAnsi="宋体" w:cs="宋体"/>
          <w:color w:val="000000"/>
          <w:sz w:val="24"/>
          <w:szCs w:val="24"/>
        </w:rPr>
      </w:pPr>
      <w:r>
        <w:rPr>
          <w:rFonts w:hint="eastAsia" w:ascii="宋体" w:hAnsi="宋体" w:cs="宋体"/>
          <w:color w:val="000000"/>
          <w:sz w:val="24"/>
          <w:szCs w:val="24"/>
        </w:rPr>
        <w:t>2.2甲方提交的基础资料</w:t>
      </w:r>
    </w:p>
    <w:p>
      <w:pPr>
        <w:adjustRightInd w:val="0"/>
        <w:spacing w:line="360" w:lineRule="auto"/>
        <w:ind w:firstLine="480" w:firstLineChars="200"/>
        <w:jc w:val="left"/>
        <w:textAlignment w:val="baseline"/>
        <w:rPr>
          <w:rFonts w:ascii="宋体" w:hAnsi="宋体" w:cs="宋体"/>
          <w:color w:val="000000"/>
          <w:sz w:val="24"/>
          <w:szCs w:val="24"/>
        </w:rPr>
      </w:pPr>
      <w:r>
        <w:rPr>
          <w:rFonts w:hint="eastAsia" w:ascii="宋体" w:hAnsi="宋体" w:cs="宋体"/>
          <w:color w:val="000000"/>
          <w:sz w:val="24"/>
          <w:szCs w:val="24"/>
        </w:rPr>
        <w:t xml:space="preserve">2.3 乙方采用的主要技术标准包括但不限于： </w:t>
      </w:r>
    </w:p>
    <w:p>
      <w:pPr>
        <w:adjustRightInd w:val="0"/>
        <w:spacing w:line="360" w:lineRule="auto"/>
        <w:ind w:firstLine="480" w:firstLineChars="200"/>
        <w:jc w:val="left"/>
        <w:textAlignment w:val="baseline"/>
        <w:rPr>
          <w:rFonts w:ascii="宋体" w:hAnsi="宋体" w:cs="宋体"/>
          <w:color w:val="000000"/>
          <w:sz w:val="24"/>
          <w:szCs w:val="24"/>
        </w:rPr>
      </w:pPr>
      <w:r>
        <w:rPr>
          <w:rFonts w:hint="eastAsia" w:ascii="宋体" w:hAnsi="宋体" w:cs="宋体" w:eastAsiaTheme="minorEastAsia"/>
          <w:color w:val="000000"/>
          <w:sz w:val="24"/>
          <w:szCs w:val="24"/>
        </w:rPr>
        <w:t>《中华人民共和国城乡规划法》</w:t>
      </w:r>
    </w:p>
    <w:p>
      <w:pPr>
        <w:adjustRightInd w:val="0"/>
        <w:spacing w:line="360" w:lineRule="auto"/>
        <w:ind w:firstLine="480" w:firstLineChars="200"/>
        <w:jc w:val="left"/>
        <w:textAlignment w:val="baseline"/>
        <w:rPr>
          <w:rFonts w:ascii="宋体" w:hAnsi="宋体" w:cs="宋体"/>
          <w:color w:val="000000"/>
          <w:sz w:val="24"/>
          <w:szCs w:val="24"/>
        </w:rPr>
      </w:pPr>
      <w:r>
        <w:rPr>
          <w:rFonts w:hint="eastAsia" w:ascii="宋体" w:hAnsi="宋体" w:cs="宋体" w:eastAsiaTheme="minorEastAsia"/>
          <w:color w:val="000000"/>
          <w:sz w:val="24"/>
          <w:szCs w:val="24"/>
        </w:rPr>
        <w:t>《城市规划编制办法》</w:t>
      </w:r>
    </w:p>
    <w:p>
      <w:pPr>
        <w:adjustRightInd w:val="0"/>
        <w:spacing w:line="360" w:lineRule="auto"/>
        <w:ind w:firstLine="480" w:firstLineChars="200"/>
        <w:jc w:val="left"/>
        <w:textAlignment w:val="baseline"/>
        <w:rPr>
          <w:rFonts w:ascii="宋体" w:hAnsi="宋体" w:cs="宋体"/>
          <w:color w:val="000000"/>
          <w:sz w:val="24"/>
          <w:szCs w:val="24"/>
        </w:rPr>
      </w:pPr>
      <w:r>
        <w:rPr>
          <w:rFonts w:hint="eastAsia" w:ascii="宋体" w:hAnsi="宋体" w:cs="宋体" w:eastAsiaTheme="minorEastAsia"/>
          <w:color w:val="000000"/>
          <w:sz w:val="24"/>
          <w:szCs w:val="24"/>
        </w:rPr>
        <w:t>《广州市城市规划管理标准与准则》</w:t>
      </w:r>
    </w:p>
    <w:p>
      <w:pPr>
        <w:adjustRightInd w:val="0"/>
        <w:spacing w:line="360" w:lineRule="auto"/>
        <w:ind w:firstLine="480" w:firstLineChars="200"/>
        <w:jc w:val="left"/>
        <w:textAlignment w:val="baseline"/>
        <w:rPr>
          <w:rFonts w:ascii="宋体" w:hAnsi="宋体" w:cs="宋体"/>
          <w:color w:val="000000"/>
          <w:sz w:val="24"/>
          <w:szCs w:val="24"/>
        </w:rPr>
      </w:pPr>
      <w:r>
        <w:rPr>
          <w:rFonts w:hint="eastAsia" w:ascii="宋体" w:hAnsi="宋体" w:cs="宋体" w:eastAsiaTheme="minorEastAsia"/>
          <w:color w:val="000000"/>
          <w:sz w:val="24"/>
          <w:szCs w:val="24"/>
        </w:rPr>
        <w:t>《广州市城乡规划技术规定（试行）》</w:t>
      </w:r>
    </w:p>
    <w:p>
      <w:pPr>
        <w:adjustRightInd w:val="0"/>
        <w:spacing w:line="360" w:lineRule="auto"/>
        <w:ind w:firstLine="480" w:firstLineChars="200"/>
        <w:jc w:val="left"/>
        <w:textAlignment w:val="baseline"/>
        <w:rPr>
          <w:rFonts w:ascii="宋体" w:hAnsi="宋体" w:cs="宋体"/>
          <w:color w:val="000000"/>
          <w:sz w:val="24"/>
          <w:szCs w:val="24"/>
        </w:rPr>
      </w:pPr>
      <w:r>
        <w:rPr>
          <w:rFonts w:hint="eastAsia" w:ascii="宋体" w:hAnsi="宋体" w:cs="宋体" w:eastAsiaTheme="minorEastAsia"/>
          <w:color w:val="000000"/>
          <w:sz w:val="24"/>
          <w:szCs w:val="24"/>
        </w:rPr>
        <w:t>《广州市城市开发建设项目海绵城市建设-洪涝安全评估技术指引（试行）》</w:t>
      </w:r>
    </w:p>
    <w:p>
      <w:pPr>
        <w:adjustRightInd w:val="0"/>
        <w:spacing w:line="360" w:lineRule="auto"/>
        <w:ind w:firstLine="480" w:firstLineChars="200"/>
        <w:jc w:val="left"/>
        <w:textAlignment w:val="baseline"/>
        <w:rPr>
          <w:rFonts w:ascii="宋体" w:hAnsi="宋体" w:cs="宋体"/>
          <w:color w:val="000000"/>
          <w:sz w:val="24"/>
          <w:szCs w:val="24"/>
        </w:rPr>
      </w:pPr>
      <w:r>
        <w:rPr>
          <w:rFonts w:hint="eastAsia" w:ascii="宋体" w:hAnsi="宋体" w:cs="宋体" w:eastAsiaTheme="minorEastAsia"/>
          <w:color w:val="000000"/>
          <w:sz w:val="24"/>
          <w:szCs w:val="24"/>
        </w:rPr>
        <w:t>《广州市水务局关于进一步加强控制性详细规划阶段涉水管控要求的函》</w:t>
      </w:r>
    </w:p>
    <w:p>
      <w:pPr>
        <w:adjustRightInd w:val="0"/>
        <w:spacing w:line="360" w:lineRule="auto"/>
        <w:ind w:firstLine="480" w:firstLineChars="200"/>
        <w:jc w:val="left"/>
        <w:textAlignment w:val="baseline"/>
        <w:rPr>
          <w:rFonts w:ascii="宋体" w:hAnsi="宋体" w:cs="宋体"/>
          <w:color w:val="000000"/>
          <w:sz w:val="24"/>
          <w:szCs w:val="24"/>
        </w:rPr>
      </w:pPr>
      <w:r>
        <w:rPr>
          <w:rFonts w:hint="eastAsia" w:ascii="宋体" w:hAnsi="宋体" w:cs="宋体" w:eastAsiaTheme="minorEastAsia"/>
          <w:color w:val="000000"/>
          <w:sz w:val="24"/>
          <w:szCs w:val="24"/>
        </w:rPr>
        <w:t>《广州市水务局关于印发海绵城市建设——控制性详细规划阶段洪涝安全评估审查要点的通知》</w:t>
      </w:r>
    </w:p>
    <w:p>
      <w:pPr>
        <w:adjustRightInd w:val="0"/>
        <w:spacing w:line="360" w:lineRule="auto"/>
        <w:ind w:firstLine="480" w:firstLineChars="200"/>
        <w:jc w:val="left"/>
        <w:textAlignment w:val="baseline"/>
        <w:rPr>
          <w:rFonts w:ascii="宋体" w:hAnsi="宋体" w:eastAsia="仿宋_GB2312" w:cs="宋体"/>
          <w:color w:val="000000"/>
          <w:sz w:val="24"/>
          <w:szCs w:val="24"/>
        </w:rPr>
      </w:pPr>
      <w:r>
        <w:rPr>
          <w:rFonts w:hint="eastAsia" w:ascii="宋体" w:hAnsi="宋体" w:cs="宋体" w:eastAsiaTheme="minorEastAsia"/>
          <w:color w:val="000000"/>
          <w:sz w:val="24"/>
          <w:szCs w:val="24"/>
        </w:rPr>
        <w:t>《广州市海绵城市建设领导小组办公室关于印发广州市海绵城市建设专篇编制要点的通知》</w:t>
      </w:r>
    </w:p>
    <w:p>
      <w:pPr>
        <w:adjustRightInd w:val="0"/>
        <w:spacing w:line="360" w:lineRule="auto"/>
        <w:ind w:firstLine="480" w:firstLineChars="200"/>
        <w:jc w:val="left"/>
        <w:textAlignment w:val="baseline"/>
        <w:rPr>
          <w:rFonts w:ascii="宋体" w:hAnsi="宋体" w:cs="宋体"/>
          <w:color w:val="000000"/>
          <w:sz w:val="24"/>
          <w:szCs w:val="24"/>
        </w:rPr>
      </w:pPr>
      <w:r>
        <w:rPr>
          <w:rFonts w:hint="eastAsia" w:ascii="宋体" w:hAnsi="宋体" w:cs="宋体"/>
          <w:color w:val="000000"/>
          <w:sz w:val="24"/>
          <w:szCs w:val="24"/>
        </w:rPr>
        <w:t>上述规范如有更新的，以最新版本为准。</w:t>
      </w:r>
    </w:p>
    <w:p>
      <w:pPr>
        <w:adjustRightInd w:val="0"/>
        <w:spacing w:line="360" w:lineRule="auto"/>
        <w:jc w:val="left"/>
        <w:textAlignment w:val="baseline"/>
        <w:rPr>
          <w:rFonts w:ascii="宋体" w:hAnsi="宋体" w:cs="宋体"/>
          <w:b/>
          <w:bCs/>
          <w:color w:val="000000"/>
          <w:sz w:val="24"/>
          <w:szCs w:val="24"/>
        </w:rPr>
      </w:pPr>
      <w:r>
        <w:rPr>
          <w:rFonts w:hint="eastAsia" w:ascii="宋体" w:hAnsi="宋体" w:cs="宋体"/>
          <w:b/>
          <w:bCs/>
          <w:color w:val="000000"/>
          <w:sz w:val="24"/>
          <w:szCs w:val="24"/>
        </w:rPr>
        <w:t>第三条  合同文件的优先次序</w:t>
      </w:r>
    </w:p>
    <w:p>
      <w:pPr>
        <w:adjustRightInd w:val="0"/>
        <w:spacing w:line="360" w:lineRule="auto"/>
        <w:ind w:firstLine="480" w:firstLineChars="200"/>
        <w:jc w:val="left"/>
        <w:textAlignment w:val="baseline"/>
        <w:rPr>
          <w:rFonts w:ascii="宋体" w:hAnsi="宋体" w:cs="宋体"/>
          <w:color w:val="000000"/>
          <w:sz w:val="24"/>
          <w:szCs w:val="24"/>
        </w:rPr>
      </w:pPr>
      <w:r>
        <w:rPr>
          <w:rFonts w:hint="eastAsia" w:ascii="宋体" w:hAnsi="宋体" w:cs="宋体"/>
          <w:color w:val="000000"/>
          <w:sz w:val="24"/>
          <w:szCs w:val="24"/>
        </w:rPr>
        <w:t>构成本合同的文件可视为是能互相说明的，如果合同文件存在歧义或不一致，则根据如下优先次序来判断其效力：</w:t>
      </w:r>
    </w:p>
    <w:p>
      <w:pPr>
        <w:adjustRightInd w:val="0"/>
        <w:spacing w:line="360" w:lineRule="auto"/>
        <w:ind w:firstLine="480" w:firstLineChars="200"/>
        <w:jc w:val="left"/>
        <w:textAlignment w:val="baseline"/>
        <w:rPr>
          <w:rFonts w:ascii="宋体" w:hAnsi="宋体" w:cs="宋体"/>
          <w:color w:val="000000"/>
          <w:sz w:val="24"/>
          <w:szCs w:val="24"/>
        </w:rPr>
      </w:pPr>
      <w:r>
        <w:rPr>
          <w:rFonts w:hint="eastAsia" w:ascii="宋体" w:hAnsi="宋体" w:cs="宋体"/>
          <w:color w:val="000000"/>
          <w:sz w:val="24"/>
          <w:szCs w:val="24"/>
        </w:rPr>
        <w:t>3.1合同书</w:t>
      </w:r>
    </w:p>
    <w:p>
      <w:pPr>
        <w:adjustRightInd w:val="0"/>
        <w:spacing w:line="360" w:lineRule="auto"/>
        <w:ind w:firstLine="480" w:firstLineChars="200"/>
        <w:jc w:val="left"/>
        <w:textAlignment w:val="baseline"/>
        <w:rPr>
          <w:rFonts w:ascii="宋体" w:hAnsi="宋体" w:cs="宋体"/>
          <w:color w:val="000000"/>
          <w:sz w:val="24"/>
          <w:szCs w:val="24"/>
          <w:shd w:val="pct10" w:color="auto" w:fill="FFFFFF"/>
        </w:rPr>
      </w:pPr>
      <w:r>
        <w:rPr>
          <w:rFonts w:hint="eastAsia" w:ascii="宋体" w:hAnsi="宋体" w:cs="宋体"/>
          <w:color w:val="000000"/>
          <w:sz w:val="24"/>
          <w:szCs w:val="24"/>
        </w:rPr>
        <w:t>3.2发包通知书</w:t>
      </w:r>
    </w:p>
    <w:p>
      <w:pPr>
        <w:adjustRightInd w:val="0"/>
        <w:spacing w:line="360" w:lineRule="auto"/>
        <w:ind w:firstLine="480" w:firstLineChars="200"/>
        <w:jc w:val="left"/>
        <w:textAlignment w:val="baseline"/>
        <w:rPr>
          <w:rFonts w:ascii="宋体" w:hAnsi="宋体" w:cs="宋体"/>
          <w:color w:val="000000"/>
          <w:sz w:val="24"/>
          <w:szCs w:val="24"/>
        </w:rPr>
      </w:pPr>
      <w:r>
        <w:rPr>
          <w:rFonts w:hint="eastAsia" w:ascii="宋体" w:hAnsi="宋体" w:cs="宋体"/>
          <w:color w:val="000000"/>
          <w:sz w:val="24"/>
          <w:szCs w:val="24"/>
        </w:rPr>
        <w:t xml:space="preserve">3.3 甲方的要求 </w:t>
      </w:r>
    </w:p>
    <w:p>
      <w:pPr>
        <w:adjustRightInd w:val="0"/>
        <w:spacing w:line="360" w:lineRule="auto"/>
        <w:ind w:firstLine="480" w:firstLineChars="200"/>
        <w:jc w:val="left"/>
        <w:textAlignment w:val="baseline"/>
        <w:rPr>
          <w:rFonts w:ascii="宋体" w:hAnsi="宋体" w:cs="宋体"/>
          <w:color w:val="000000"/>
          <w:sz w:val="24"/>
          <w:szCs w:val="24"/>
        </w:rPr>
      </w:pPr>
      <w:r>
        <w:rPr>
          <w:rFonts w:hint="eastAsia" w:ascii="宋体" w:hAnsi="宋体" w:cs="宋体"/>
          <w:color w:val="000000"/>
          <w:sz w:val="24"/>
          <w:szCs w:val="24"/>
        </w:rPr>
        <w:t>3.4技术规范</w:t>
      </w:r>
    </w:p>
    <w:p>
      <w:pPr>
        <w:adjustRightInd w:val="0"/>
        <w:spacing w:line="360" w:lineRule="auto"/>
        <w:jc w:val="left"/>
        <w:textAlignment w:val="baseline"/>
        <w:rPr>
          <w:rFonts w:ascii="宋体" w:hAnsi="宋体" w:cs="宋体"/>
          <w:b/>
          <w:bCs/>
          <w:color w:val="000000"/>
          <w:sz w:val="24"/>
          <w:szCs w:val="24"/>
          <w:highlight w:val="none"/>
        </w:rPr>
      </w:pPr>
      <w:r>
        <w:rPr>
          <w:rFonts w:hint="eastAsia" w:ascii="宋体" w:hAnsi="宋体" w:cs="宋体"/>
          <w:b/>
          <w:bCs/>
          <w:color w:val="000000"/>
          <w:sz w:val="24"/>
          <w:szCs w:val="24"/>
          <w:highlight w:val="none"/>
        </w:rPr>
        <w:t>第四条  项目概况</w:t>
      </w:r>
    </w:p>
    <w:p>
      <w:pPr>
        <w:adjustRightInd w:val="0"/>
        <w:spacing w:line="360" w:lineRule="auto"/>
        <w:ind w:left="1" w:firstLine="480" w:firstLineChars="200"/>
        <w:jc w:val="left"/>
        <w:textAlignment w:val="baseline"/>
        <w:rPr>
          <w:rFonts w:ascii="宋体" w:hAnsi="宋体" w:cs="宋体"/>
          <w:sz w:val="24"/>
          <w:szCs w:val="24"/>
        </w:rPr>
      </w:pPr>
      <w:r>
        <w:rPr>
          <w:rFonts w:hint="eastAsia" w:ascii="宋体" w:hAnsi="宋体" w:cs="宋体"/>
          <w:sz w:val="24"/>
          <w:szCs w:val="24"/>
        </w:rPr>
        <w:t>项目名称：</w:t>
      </w:r>
      <w:r>
        <w:rPr>
          <w:rFonts w:asciiTheme="minorEastAsia" w:hAnsiTheme="minorEastAsia" w:cstheme="minorEastAsia"/>
          <w:sz w:val="24"/>
          <w:szCs w:val="24"/>
          <w:u w:val="single"/>
        </w:rPr>
        <w:t>石井净水厂地块控制性详细规划阶段海绵城市（含防洪排涝风险评估）专篇编制</w:t>
      </w:r>
      <w:r>
        <w:rPr>
          <w:rFonts w:hint="eastAsia" w:ascii="宋体" w:hAnsi="宋体" w:cs="宋体"/>
          <w:sz w:val="24"/>
          <w:szCs w:val="24"/>
        </w:rPr>
        <w:t>。</w:t>
      </w:r>
    </w:p>
    <w:p>
      <w:pPr>
        <w:adjustRightInd w:val="0"/>
        <w:spacing w:line="360" w:lineRule="auto"/>
        <w:ind w:left="1" w:firstLine="480" w:firstLineChars="200"/>
        <w:jc w:val="left"/>
        <w:textAlignment w:val="baseline"/>
        <w:rPr>
          <w:rFonts w:asciiTheme="minorEastAsia" w:hAnsiTheme="minorEastAsia" w:cstheme="minorEastAsia"/>
          <w:sz w:val="24"/>
          <w:szCs w:val="24"/>
          <w:highlight w:val="yellow"/>
        </w:rPr>
      </w:pPr>
      <w:r>
        <w:rPr>
          <w:rFonts w:hint="eastAsia" w:asciiTheme="minorEastAsia" w:hAnsiTheme="minorEastAsia" w:cstheme="minorEastAsia"/>
          <w:sz w:val="24"/>
          <w:szCs w:val="24"/>
        </w:rPr>
        <w:t>项目地点：</w:t>
      </w:r>
      <w:r>
        <w:rPr>
          <w:rFonts w:hint="eastAsia" w:asciiTheme="minorEastAsia" w:hAnsiTheme="minorEastAsia" w:cstheme="minorEastAsia"/>
          <w:sz w:val="24"/>
          <w:szCs w:val="24"/>
          <w:u w:val="single"/>
        </w:rPr>
        <w:t xml:space="preserve">  本项目地块位于白云区张村社区。</w:t>
      </w:r>
    </w:p>
    <w:p>
      <w:pPr>
        <w:adjustRightInd w:val="0"/>
        <w:spacing w:line="360" w:lineRule="auto"/>
        <w:ind w:left="1" w:firstLine="480" w:firstLineChars="200"/>
        <w:jc w:val="left"/>
        <w:textAlignment w:val="baseline"/>
        <w:rPr>
          <w:rFonts w:asciiTheme="minorEastAsia" w:hAnsiTheme="minorEastAsia" w:cstheme="minorEastAsia"/>
          <w:sz w:val="24"/>
          <w:szCs w:val="24"/>
          <w:u w:val="single"/>
        </w:rPr>
      </w:pPr>
      <w:r>
        <w:rPr>
          <w:rFonts w:hint="eastAsia" w:asciiTheme="minorEastAsia" w:hAnsiTheme="minorEastAsia" w:cstheme="minorEastAsia"/>
          <w:sz w:val="24"/>
          <w:szCs w:val="24"/>
        </w:rPr>
        <w:t>用地面积：</w:t>
      </w:r>
      <w:r>
        <w:rPr>
          <w:rFonts w:hint="eastAsia" w:asciiTheme="minorEastAsia" w:hAnsiTheme="minorEastAsia" w:cstheme="minorEastAsia"/>
          <w:sz w:val="24"/>
          <w:szCs w:val="24"/>
          <w:u w:val="single"/>
        </w:rPr>
        <w:t xml:space="preserve">  本项目地块用地面积14.68公顷；控规调整涉及AB2715规划管理单元，总用地面积为123.36公顷。 </w:t>
      </w:r>
    </w:p>
    <w:p>
      <w:pPr>
        <w:adjustRightInd w:val="0"/>
        <w:spacing w:line="360" w:lineRule="auto"/>
        <w:ind w:left="1" w:firstLine="480" w:firstLineChars="200"/>
        <w:jc w:val="left"/>
        <w:textAlignment w:val="baseline"/>
        <w:rPr>
          <w:rFonts w:asciiTheme="minorEastAsia" w:hAnsiTheme="minorEastAsia" w:cstheme="minorEastAsia"/>
          <w:sz w:val="24"/>
          <w:szCs w:val="24"/>
        </w:rPr>
      </w:pPr>
      <w:r>
        <w:rPr>
          <w:rFonts w:hint="eastAsia" w:asciiTheme="minorEastAsia" w:hAnsiTheme="minorEastAsia" w:cstheme="minorEastAsia"/>
          <w:sz w:val="24"/>
          <w:szCs w:val="24"/>
        </w:rPr>
        <w:t>建筑面积：</w:t>
      </w:r>
      <w:r>
        <w:rPr>
          <w:rFonts w:hint="eastAsia" w:asciiTheme="minorEastAsia" w:hAnsiTheme="minorEastAsia" w:cstheme="minorEastAsia"/>
          <w:sz w:val="24"/>
          <w:szCs w:val="24"/>
          <w:u w:val="single"/>
        </w:rPr>
        <w:t xml:space="preserve">  以相关职能部门审批文件为准</w:t>
      </w:r>
      <w:r>
        <w:rPr>
          <w:rFonts w:hint="eastAsia" w:asciiTheme="minorEastAsia" w:hAnsiTheme="minorEastAsia" w:cstheme="minorEastAsia"/>
          <w:sz w:val="24"/>
          <w:szCs w:val="24"/>
        </w:rPr>
        <w:t>。</w:t>
      </w:r>
    </w:p>
    <w:p>
      <w:pPr>
        <w:adjustRightInd w:val="0"/>
        <w:spacing w:line="360" w:lineRule="auto"/>
        <w:ind w:left="1" w:firstLine="480" w:firstLineChars="200"/>
        <w:jc w:val="left"/>
        <w:textAlignment w:val="baseline"/>
        <w:rPr>
          <w:rFonts w:asciiTheme="minorEastAsia" w:hAnsiTheme="minorEastAsia" w:cstheme="minorEastAsia"/>
          <w:color w:val="auto"/>
          <w:sz w:val="24"/>
          <w:szCs w:val="24"/>
        </w:rPr>
      </w:pPr>
      <w:r>
        <w:rPr>
          <w:rFonts w:hint="eastAsia" w:asciiTheme="minorEastAsia" w:hAnsiTheme="minorEastAsia" w:cstheme="minorEastAsia"/>
          <w:sz w:val="24"/>
          <w:szCs w:val="24"/>
        </w:rPr>
        <w:t>为盘活现有土地资源，拓宽产业领域盈利渠道，目前正开展石井净水厂地块控规调整工作。</w:t>
      </w:r>
      <w:r>
        <w:rPr>
          <w:rFonts w:hint="eastAsia" w:asciiTheme="minorEastAsia" w:hAnsiTheme="minorEastAsia" w:cstheme="minorEastAsia"/>
          <w:color w:val="auto"/>
          <w:sz w:val="24"/>
          <w:szCs w:val="24"/>
        </w:rPr>
        <w:t>本次</w:t>
      </w:r>
      <w:r>
        <w:rPr>
          <w:rFonts w:asciiTheme="minorEastAsia" w:hAnsiTheme="minorEastAsia" w:cstheme="minorEastAsia"/>
          <w:color w:val="auto"/>
          <w:sz w:val="24"/>
          <w:szCs w:val="24"/>
        </w:rPr>
        <w:t>海绵城市(含防洪排涝风险评估)专篇编制</w:t>
      </w:r>
      <w:r>
        <w:rPr>
          <w:rFonts w:hint="eastAsia" w:asciiTheme="minorEastAsia" w:hAnsiTheme="minorEastAsia" w:cstheme="minorEastAsia"/>
          <w:color w:val="auto"/>
          <w:sz w:val="24"/>
          <w:szCs w:val="24"/>
        </w:rPr>
        <w:t>工作依据市水务局文件《广州市水务局关于进一步加强控制性详细规划阶段涉水管控要求的函》及相关文件</w:t>
      </w:r>
      <w:r>
        <w:rPr>
          <w:rFonts w:asciiTheme="minorEastAsia" w:hAnsiTheme="minorEastAsia" w:cstheme="minorEastAsia"/>
          <w:color w:val="auto"/>
          <w:sz w:val="24"/>
          <w:szCs w:val="24"/>
        </w:rPr>
        <w:t>要求</w:t>
      </w:r>
      <w:r>
        <w:rPr>
          <w:rFonts w:hint="eastAsia" w:asciiTheme="minorEastAsia" w:hAnsiTheme="minorEastAsia" w:cstheme="minorEastAsia"/>
          <w:color w:val="auto"/>
          <w:sz w:val="24"/>
          <w:szCs w:val="24"/>
        </w:rPr>
        <w:t>，拟</w:t>
      </w:r>
      <w:r>
        <w:rPr>
          <w:rFonts w:asciiTheme="minorEastAsia" w:hAnsiTheme="minorEastAsia" w:cstheme="minorEastAsia"/>
          <w:color w:val="auto"/>
          <w:sz w:val="24"/>
          <w:szCs w:val="24"/>
        </w:rPr>
        <w:t>在控制性详细规划中</w:t>
      </w:r>
      <w:r>
        <w:rPr>
          <w:rFonts w:hint="eastAsia" w:asciiTheme="minorEastAsia" w:hAnsiTheme="minorEastAsia" w:cstheme="minorEastAsia"/>
          <w:color w:val="auto"/>
          <w:sz w:val="24"/>
          <w:szCs w:val="24"/>
        </w:rPr>
        <w:t>增加</w:t>
      </w:r>
      <w:r>
        <w:rPr>
          <w:rFonts w:asciiTheme="minorEastAsia" w:hAnsiTheme="minorEastAsia" w:cstheme="minorEastAsia"/>
          <w:color w:val="auto"/>
          <w:sz w:val="24"/>
          <w:szCs w:val="24"/>
        </w:rPr>
        <w:t>海绵城市(含防洪排涝风险评估)专篇，作为控规批复及后续规划条件发放的依据</w:t>
      </w:r>
      <w:r>
        <w:rPr>
          <w:rFonts w:hint="eastAsia" w:asciiTheme="minorEastAsia" w:hAnsiTheme="minorEastAsia" w:cstheme="minorEastAsia"/>
          <w:color w:val="auto"/>
          <w:sz w:val="24"/>
          <w:szCs w:val="24"/>
        </w:rPr>
        <w:t>。主要工作内容如下：</w:t>
      </w:r>
    </w:p>
    <w:p>
      <w:pPr>
        <w:spacing w:line="360" w:lineRule="auto"/>
        <w:ind w:firstLine="480" w:firstLineChars="200"/>
        <w:rPr>
          <w:rFonts w:asciiTheme="minorEastAsia" w:hAnsiTheme="minorEastAsia" w:cstheme="minorEastAsia"/>
          <w:color w:val="auto"/>
          <w:sz w:val="24"/>
          <w:szCs w:val="24"/>
          <w:highlight w:val="none"/>
        </w:rPr>
      </w:pPr>
      <w:r>
        <w:rPr>
          <w:rFonts w:asciiTheme="minorEastAsia" w:hAnsiTheme="minorEastAsia" w:cstheme="minorEastAsia"/>
          <w:color w:val="auto"/>
          <w:sz w:val="24"/>
          <w:szCs w:val="24"/>
          <w:highlight w:val="none"/>
        </w:rPr>
        <w:t xml:space="preserve">4.1  </w:t>
      </w:r>
      <w:r>
        <w:rPr>
          <w:rFonts w:hint="eastAsia" w:asciiTheme="minorEastAsia" w:hAnsiTheme="minorEastAsia" w:cstheme="minorEastAsia"/>
          <w:color w:val="auto"/>
          <w:sz w:val="24"/>
          <w:szCs w:val="24"/>
          <w:highlight w:val="none"/>
        </w:rPr>
        <w:t>海绵城市专项规划工作内容主要包括：</w:t>
      </w:r>
    </w:p>
    <w:p>
      <w:pPr>
        <w:spacing w:line="360" w:lineRule="auto"/>
        <w:ind w:firstLine="480" w:firstLineChars="200"/>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依据《广州市建设项目雨水径流控制办法》（广州市人民政府令第</w:t>
      </w:r>
      <w:r>
        <w:rPr>
          <w:rFonts w:asciiTheme="minorEastAsia" w:hAnsiTheme="minorEastAsia" w:cstheme="minorEastAsia"/>
          <w:color w:val="auto"/>
          <w:sz w:val="24"/>
          <w:szCs w:val="24"/>
          <w:highlight w:val="none"/>
        </w:rPr>
        <w:t>107号）、《广州市建设项目海绵城市建设管控指标分类指引（试行）的通知》(穗水河湖﹝2020﹞7号)、《广州市海绵城市建设领导小组办公室关于印发广州市海绵城市建设专篇编制要点的通知》（穗海绵办﹝2021﹞12号）和各区海绵城市专项规划的有关要求，细化落实各地块的海绵城市相关管控指标和建设方案。</w:t>
      </w:r>
    </w:p>
    <w:p>
      <w:pPr>
        <w:spacing w:line="360" w:lineRule="auto"/>
        <w:ind w:firstLine="480" w:firstLineChars="200"/>
        <w:rPr>
          <w:rFonts w:asciiTheme="minorEastAsia" w:hAnsiTheme="minorEastAsia" w:cstheme="minorEastAsia"/>
          <w:color w:val="auto"/>
          <w:sz w:val="24"/>
          <w:szCs w:val="24"/>
          <w:highlight w:val="none"/>
        </w:rPr>
      </w:pPr>
      <w:r>
        <w:rPr>
          <w:rFonts w:asciiTheme="minorEastAsia" w:hAnsiTheme="minorEastAsia" w:cstheme="minorEastAsia"/>
          <w:color w:val="auto"/>
          <w:sz w:val="24"/>
          <w:szCs w:val="24"/>
          <w:highlight w:val="none"/>
        </w:rPr>
        <w:t xml:space="preserve">4.2  </w:t>
      </w:r>
      <w:r>
        <w:rPr>
          <w:rFonts w:hint="eastAsia" w:asciiTheme="minorEastAsia" w:hAnsiTheme="minorEastAsia" w:cstheme="minorEastAsia"/>
          <w:color w:val="auto"/>
          <w:sz w:val="24"/>
          <w:szCs w:val="24"/>
          <w:highlight w:val="none"/>
        </w:rPr>
        <w:t>防洪排涝风险评估工作内容主要包括：</w:t>
      </w:r>
    </w:p>
    <w:p>
      <w:pPr>
        <w:spacing w:line="360" w:lineRule="auto"/>
        <w:ind w:firstLine="480" w:firstLineChars="200"/>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建设项目、工程区域基本情况</w:t>
      </w:r>
      <w:r>
        <w:rPr>
          <w:rFonts w:hint="eastAsia" w:asciiTheme="minorEastAsia" w:hAnsiTheme="minorEastAsia" w:cstheme="minorEastAsia"/>
          <w:color w:val="auto"/>
          <w:sz w:val="24"/>
          <w:szCs w:val="24"/>
          <w:highlight w:val="none"/>
          <w:lang w:eastAsia="zh-CN"/>
        </w:rPr>
        <w:t>描述</w:t>
      </w:r>
      <w:r>
        <w:rPr>
          <w:rFonts w:hint="eastAsia" w:asciiTheme="minorEastAsia" w:hAnsiTheme="minorEastAsia" w:cstheme="minorEastAsia"/>
          <w:color w:val="auto"/>
          <w:sz w:val="24"/>
          <w:szCs w:val="24"/>
          <w:highlight w:val="none"/>
        </w:rPr>
        <w:t>；项目所处区域洪涝风险等级评定；防洪排涝风险评估；排水工程评估；海绵城市评估；地块竖向评估；供水、污水承载力评估等，按照洪涝安全评估审查要点，提出总结和建议。</w:t>
      </w:r>
      <w:r>
        <w:rPr>
          <w:rFonts w:hint="eastAsia" w:asciiTheme="minorEastAsia" w:hAnsiTheme="minorEastAsia" w:cstheme="minorEastAsia"/>
          <w:color w:val="auto"/>
          <w:sz w:val="24"/>
          <w:szCs w:val="24"/>
          <w:highlight w:val="none"/>
          <w:lang w:eastAsia="zh-CN"/>
        </w:rPr>
        <w:t>并提供</w:t>
      </w:r>
      <w:r>
        <w:rPr>
          <w:rFonts w:hint="eastAsia" w:asciiTheme="minorEastAsia" w:hAnsiTheme="minorEastAsia" w:cstheme="minorEastAsia"/>
          <w:color w:val="auto"/>
          <w:sz w:val="24"/>
          <w:szCs w:val="24"/>
          <w:highlight w:val="none"/>
        </w:rPr>
        <w:t>“三图一表”：蓝绿设施布局图、水务设施布局图、地块竖向优化图和洪涝评估特征表。</w:t>
      </w:r>
    </w:p>
    <w:p>
      <w:pPr>
        <w:spacing w:line="360" w:lineRule="auto"/>
        <w:ind w:firstLine="480" w:firstLineChars="200"/>
        <w:rPr>
          <w:rFonts w:asciiTheme="minorEastAsia" w:hAnsiTheme="minorEastAsia" w:cstheme="minorEastAsia"/>
          <w:color w:val="auto"/>
          <w:sz w:val="24"/>
          <w:szCs w:val="24"/>
          <w:highlight w:val="none"/>
        </w:rPr>
      </w:pPr>
      <w:r>
        <w:rPr>
          <w:rFonts w:asciiTheme="minorEastAsia" w:hAnsiTheme="minorEastAsia" w:cstheme="minorEastAsia"/>
          <w:color w:val="auto"/>
          <w:sz w:val="24"/>
          <w:szCs w:val="24"/>
          <w:highlight w:val="none"/>
        </w:rPr>
        <w:t>4.3海绵城市(含防洪排涝风险评估)专篇内容需</w:t>
      </w:r>
      <w:r>
        <w:rPr>
          <w:rFonts w:hint="eastAsia" w:asciiTheme="minorEastAsia" w:hAnsiTheme="minorEastAsia" w:cstheme="minorEastAsia"/>
          <w:color w:val="auto"/>
          <w:sz w:val="24"/>
          <w:szCs w:val="24"/>
          <w:highlight w:val="none"/>
        </w:rPr>
        <w:t>满足最新国家和地方的法律、法规、规章、标准和技术要求，以及地方规划、水务等主管部门的对控规阶段</w:t>
      </w:r>
      <w:r>
        <w:rPr>
          <w:rFonts w:asciiTheme="minorEastAsia" w:hAnsiTheme="minorEastAsia" w:cstheme="minorEastAsia"/>
          <w:color w:val="auto"/>
          <w:sz w:val="24"/>
          <w:szCs w:val="24"/>
          <w:highlight w:val="none"/>
        </w:rPr>
        <w:t>海绵城市(含防洪排涝风险评估)专篇的</w:t>
      </w:r>
      <w:r>
        <w:rPr>
          <w:rFonts w:hint="eastAsia" w:asciiTheme="minorEastAsia" w:hAnsiTheme="minorEastAsia" w:cstheme="minorEastAsia"/>
          <w:color w:val="auto"/>
          <w:sz w:val="24"/>
          <w:szCs w:val="24"/>
          <w:highlight w:val="none"/>
        </w:rPr>
        <w:t>其它相关要求。</w:t>
      </w:r>
    </w:p>
    <w:p>
      <w:pPr>
        <w:adjustRightInd w:val="0"/>
        <w:spacing w:line="360" w:lineRule="auto"/>
        <w:jc w:val="left"/>
        <w:textAlignment w:val="baseline"/>
        <w:rPr>
          <w:rFonts w:ascii="宋体" w:hAnsi="宋体" w:cs="宋体"/>
          <w:b/>
          <w:bCs/>
          <w:color w:val="auto"/>
          <w:sz w:val="24"/>
          <w:szCs w:val="24"/>
          <w:highlight w:val="none"/>
        </w:rPr>
      </w:pPr>
      <w:r>
        <w:rPr>
          <w:rFonts w:hint="eastAsia" w:ascii="宋体" w:hAnsi="宋体" w:cs="宋体"/>
          <w:b/>
          <w:bCs/>
          <w:color w:val="auto"/>
          <w:sz w:val="24"/>
          <w:szCs w:val="24"/>
          <w:highlight w:val="none"/>
        </w:rPr>
        <w:t>第五条 乙方向甲方交付资料及文件</w:t>
      </w:r>
    </w:p>
    <w:p>
      <w:pPr>
        <w:adjustRightInd w:val="0"/>
        <w:spacing w:line="360" w:lineRule="auto"/>
        <w:ind w:firstLine="480" w:firstLineChars="200"/>
        <w:jc w:val="lef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5.1本合同签订后，乙方应在3</w:t>
      </w:r>
      <w:r>
        <w:rPr>
          <w:rFonts w:hint="eastAsia" w:ascii="宋体" w:hAnsi="宋体" w:cs="宋体"/>
          <w:color w:val="auto"/>
          <w:sz w:val="24"/>
          <w:szCs w:val="24"/>
          <w:highlight w:val="none"/>
          <w:lang w:val="en-US" w:eastAsia="zh-CN"/>
        </w:rPr>
        <w:t>个</w:t>
      </w:r>
      <w:r>
        <w:rPr>
          <w:rFonts w:hint="eastAsia" w:ascii="宋体" w:hAnsi="宋体" w:cs="宋体"/>
          <w:color w:val="auto"/>
          <w:sz w:val="24"/>
          <w:szCs w:val="24"/>
          <w:highlight w:val="none"/>
        </w:rPr>
        <w:t>工作日内提交编制计划及参编人员名单并征得甲方同意。合同执行中，乙方如需更换设计人员的，需征得甲方书面同意。</w:t>
      </w:r>
      <w:r>
        <w:rPr>
          <w:rFonts w:hint="eastAsia" w:asciiTheme="minorEastAsia" w:hAnsiTheme="minorEastAsia" w:cstheme="minorEastAsia"/>
          <w:color w:val="auto"/>
          <w:sz w:val="24"/>
          <w:szCs w:val="24"/>
          <w:highlight w:val="none"/>
        </w:rPr>
        <w:t>乙方应在合同签订后40个工作日内完成石井净水厂地块</w:t>
      </w:r>
      <w:r>
        <w:rPr>
          <w:rFonts w:asciiTheme="minorEastAsia" w:hAnsiTheme="minorEastAsia" w:cstheme="minorEastAsia"/>
          <w:color w:val="auto"/>
          <w:sz w:val="24"/>
          <w:szCs w:val="24"/>
          <w:highlight w:val="none"/>
        </w:rPr>
        <w:t>海绵城市(含防洪排涝风险评估)</w:t>
      </w:r>
      <w:r>
        <w:rPr>
          <w:rFonts w:hint="eastAsia" w:asciiTheme="minorEastAsia" w:hAnsiTheme="minorEastAsia" w:cstheme="minorEastAsia"/>
          <w:color w:val="auto"/>
          <w:sz w:val="24"/>
          <w:szCs w:val="24"/>
          <w:highlight w:val="none"/>
        </w:rPr>
        <w:t>专篇编制工作。该</w:t>
      </w:r>
      <w:r>
        <w:rPr>
          <w:rFonts w:asciiTheme="minorEastAsia" w:hAnsiTheme="minorEastAsia" w:cstheme="minorEastAsia"/>
          <w:color w:val="auto"/>
          <w:sz w:val="24"/>
          <w:szCs w:val="24"/>
          <w:highlight w:val="none"/>
        </w:rPr>
        <w:t>工作应配合</w:t>
      </w:r>
      <w:r>
        <w:rPr>
          <w:rFonts w:hint="eastAsia" w:asciiTheme="minorEastAsia" w:hAnsiTheme="minorEastAsia" w:cstheme="minorEastAsia"/>
          <w:color w:val="auto"/>
          <w:sz w:val="24"/>
          <w:szCs w:val="24"/>
          <w:highlight w:val="none"/>
        </w:rPr>
        <w:t>石井净水厂</w:t>
      </w:r>
      <w:r>
        <w:rPr>
          <w:rFonts w:asciiTheme="minorEastAsia" w:hAnsiTheme="minorEastAsia" w:cstheme="minorEastAsia"/>
          <w:color w:val="auto"/>
          <w:sz w:val="24"/>
          <w:szCs w:val="24"/>
          <w:highlight w:val="none"/>
        </w:rPr>
        <w:t>地块</w:t>
      </w:r>
      <w:r>
        <w:rPr>
          <w:rFonts w:hint="eastAsia" w:ascii="宋体" w:hAnsi="宋体" w:cs="宋体"/>
          <w:color w:val="auto"/>
          <w:sz w:val="24"/>
          <w:szCs w:val="24"/>
          <w:highlight w:val="none"/>
        </w:rPr>
        <w:t>控规调整工作进度时间进行评估、提交成果及作相应修改完善，以用于甲方申请控规调整。</w:t>
      </w:r>
    </w:p>
    <w:p>
      <w:pPr>
        <w:adjustRightInd w:val="0"/>
        <w:spacing w:line="360" w:lineRule="auto"/>
        <w:ind w:firstLine="566" w:firstLineChars="236"/>
        <w:jc w:val="left"/>
        <w:textAlignment w:val="baseline"/>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5.1.1 在</w:t>
      </w:r>
      <w:r>
        <w:rPr>
          <w:rFonts w:asciiTheme="minorEastAsia" w:hAnsiTheme="minorEastAsia" w:cstheme="minorEastAsia"/>
          <w:color w:val="auto"/>
          <w:sz w:val="24"/>
          <w:szCs w:val="24"/>
          <w:highlight w:val="none"/>
        </w:rPr>
        <w:t>控规调整项目报相关规划主管部门初步审查</w:t>
      </w:r>
      <w:r>
        <w:rPr>
          <w:rFonts w:hint="eastAsia" w:asciiTheme="minorEastAsia" w:hAnsiTheme="minorEastAsia" w:cstheme="minorEastAsia"/>
          <w:color w:val="auto"/>
          <w:sz w:val="24"/>
          <w:szCs w:val="24"/>
          <w:highlight w:val="none"/>
        </w:rPr>
        <w:t>时</w:t>
      </w:r>
      <w:r>
        <w:rPr>
          <w:rFonts w:asciiTheme="minorEastAsia" w:hAnsiTheme="minorEastAsia" w:cstheme="minorEastAsia"/>
          <w:color w:val="auto"/>
          <w:sz w:val="24"/>
          <w:szCs w:val="24"/>
          <w:highlight w:val="none"/>
        </w:rPr>
        <w:t>，提前与控调方案编制单位完成协调工作，并完成控规调整成果中初步评估结论部分内容。</w:t>
      </w:r>
    </w:p>
    <w:p>
      <w:pPr>
        <w:adjustRightInd w:val="0"/>
        <w:spacing w:line="360" w:lineRule="auto"/>
        <w:ind w:firstLine="566" w:firstLineChars="236"/>
        <w:jc w:val="left"/>
        <w:textAlignment w:val="baseline"/>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5.1.2 在</w:t>
      </w:r>
      <w:r>
        <w:rPr>
          <w:rFonts w:asciiTheme="minorEastAsia" w:hAnsiTheme="minorEastAsia" w:cstheme="minorEastAsia"/>
          <w:color w:val="auto"/>
          <w:sz w:val="24"/>
          <w:szCs w:val="24"/>
          <w:highlight w:val="none"/>
        </w:rPr>
        <w:t>控规调整项目提交相关规划主管部门业务会审议或征询规委会成员部门及相关单位意见</w:t>
      </w:r>
      <w:r>
        <w:rPr>
          <w:rFonts w:hint="eastAsia" w:asciiTheme="minorEastAsia" w:hAnsiTheme="minorEastAsia" w:cstheme="minorEastAsia"/>
          <w:color w:val="auto"/>
          <w:sz w:val="24"/>
          <w:szCs w:val="24"/>
          <w:highlight w:val="none"/>
        </w:rPr>
        <w:t>时</w:t>
      </w:r>
      <w:r>
        <w:rPr>
          <w:rFonts w:asciiTheme="minorEastAsia" w:hAnsiTheme="minorEastAsia" w:cstheme="minorEastAsia"/>
          <w:color w:val="auto"/>
          <w:sz w:val="24"/>
          <w:szCs w:val="24"/>
          <w:highlight w:val="none"/>
        </w:rPr>
        <w:t>，提前与控调方案编制单位完成协调工作，按照相关部门意见完善修改，并完成评估初步成果和控规调整成果相关内容。</w:t>
      </w:r>
    </w:p>
    <w:p>
      <w:pPr>
        <w:adjustRightInd w:val="0"/>
        <w:spacing w:line="360" w:lineRule="auto"/>
        <w:ind w:firstLine="566" w:firstLineChars="236"/>
        <w:jc w:val="left"/>
        <w:textAlignment w:val="baseline"/>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5.1.3 在</w:t>
      </w:r>
      <w:r>
        <w:rPr>
          <w:rFonts w:asciiTheme="minorEastAsia" w:hAnsiTheme="minorEastAsia" w:cstheme="minorEastAsia"/>
          <w:color w:val="auto"/>
          <w:sz w:val="24"/>
          <w:szCs w:val="24"/>
          <w:highlight w:val="none"/>
        </w:rPr>
        <w:t>控规调整项目提交规委会审议时，提前与控调方案编制单位完成协调工作，按照相关部门意见完善修改，并完成评估中期成果和控规调整成果相关内容。</w:t>
      </w:r>
    </w:p>
    <w:p>
      <w:pPr>
        <w:adjustRightInd w:val="0"/>
        <w:spacing w:line="360" w:lineRule="auto"/>
        <w:ind w:firstLine="566" w:firstLineChars="236"/>
        <w:jc w:val="left"/>
        <w:textAlignment w:val="baseline"/>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 xml:space="preserve">5.1.4 </w:t>
      </w:r>
      <w:r>
        <w:rPr>
          <w:rFonts w:asciiTheme="minorEastAsia" w:hAnsiTheme="minorEastAsia" w:cstheme="minorEastAsia"/>
          <w:color w:val="auto"/>
          <w:sz w:val="24"/>
          <w:szCs w:val="24"/>
          <w:highlight w:val="none"/>
        </w:rPr>
        <w:t>当控规调整项目提交市政府批复时，提前与控调方案编制单位完成协调工作，按照相关部门意见完善修改，并完成评估终期成果和控规调整成果相关内容。</w:t>
      </w:r>
    </w:p>
    <w:p>
      <w:pPr>
        <w:adjustRightInd w:val="0"/>
        <w:spacing w:line="360" w:lineRule="auto"/>
        <w:ind w:firstLine="480" w:firstLineChars="200"/>
        <w:jc w:val="lef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 xml:space="preserve">5.2 </w:t>
      </w:r>
      <w:r>
        <w:rPr>
          <w:rFonts w:hint="eastAsia" w:asciiTheme="minorEastAsia" w:hAnsiTheme="minorEastAsia" w:cstheme="minorEastAsia"/>
          <w:color w:val="auto"/>
          <w:sz w:val="24"/>
          <w:szCs w:val="24"/>
          <w:highlight w:val="none"/>
        </w:rPr>
        <w:t>乙方应在合同签订后40个工作日内完成石井净水厂地块</w:t>
      </w:r>
      <w:r>
        <w:rPr>
          <w:rFonts w:asciiTheme="minorEastAsia" w:hAnsiTheme="minorEastAsia" w:cstheme="minorEastAsia"/>
          <w:color w:val="auto"/>
          <w:sz w:val="24"/>
          <w:szCs w:val="24"/>
          <w:highlight w:val="none"/>
        </w:rPr>
        <w:t>海绵城市(含防洪排涝风险评估)</w:t>
      </w:r>
      <w:r>
        <w:rPr>
          <w:rFonts w:hint="eastAsia" w:asciiTheme="minorEastAsia" w:hAnsiTheme="minorEastAsia" w:cstheme="minorEastAsia"/>
          <w:color w:val="auto"/>
          <w:sz w:val="24"/>
          <w:szCs w:val="24"/>
          <w:highlight w:val="none"/>
        </w:rPr>
        <w:t>专篇编制工作并提交成果。</w:t>
      </w:r>
      <w:r>
        <w:rPr>
          <w:rFonts w:hint="eastAsia" w:ascii="宋体" w:hAnsi="宋体" w:cs="宋体"/>
          <w:color w:val="auto"/>
          <w:sz w:val="24"/>
          <w:szCs w:val="24"/>
          <w:highlight w:val="none"/>
        </w:rPr>
        <w:t>乙方向甲方交付成果报告书并按需要进行修改完善，该成果用于甲方在不同阶段申请控规调整。成果书暂定一式十份，电子光盘2份（未加密且可编辑格式），具体以甲方通知为准。</w:t>
      </w:r>
    </w:p>
    <w:p>
      <w:pPr>
        <w:adjustRightInd w:val="0"/>
        <w:spacing w:line="360" w:lineRule="auto"/>
        <w:ind w:firstLine="480" w:firstLineChars="200"/>
        <w:jc w:val="left"/>
        <w:textAlignment w:val="baseline"/>
        <w:rPr>
          <w:rFonts w:ascii="宋体" w:hAnsi="宋体" w:cs="宋体"/>
          <w:color w:val="auto"/>
          <w:sz w:val="24"/>
          <w:szCs w:val="24"/>
        </w:rPr>
      </w:pPr>
      <w:r>
        <w:rPr>
          <w:rFonts w:hint="eastAsia" w:ascii="宋体" w:hAnsi="宋体" w:cs="宋体"/>
          <w:color w:val="auto"/>
          <w:sz w:val="24"/>
          <w:szCs w:val="24"/>
          <w:highlight w:val="none"/>
        </w:rPr>
        <w:t>5.3乙方应配合甲方开展结算工作并提交结算的相关资料,若乙方在接到甲方通知后逾期超过30天未提交完整的结算资料和结算报告等，甲方有权单方自行结算，由此产生的一切责任由乙方承担。</w:t>
      </w:r>
    </w:p>
    <w:p>
      <w:pPr>
        <w:adjustRightInd w:val="0"/>
        <w:spacing w:line="360" w:lineRule="auto"/>
        <w:jc w:val="left"/>
        <w:textAlignment w:val="baseline"/>
        <w:rPr>
          <w:rFonts w:ascii="宋体" w:hAnsi="宋体" w:cs="宋体"/>
          <w:b/>
          <w:bCs/>
          <w:color w:val="auto"/>
          <w:sz w:val="24"/>
          <w:szCs w:val="24"/>
        </w:rPr>
      </w:pPr>
      <w:r>
        <w:rPr>
          <w:rFonts w:hint="eastAsia" w:ascii="宋体" w:hAnsi="宋体" w:cs="宋体"/>
          <w:b/>
          <w:bCs/>
          <w:color w:val="auto"/>
          <w:sz w:val="24"/>
          <w:szCs w:val="24"/>
        </w:rPr>
        <w:t xml:space="preserve">第六条 费用 </w:t>
      </w:r>
    </w:p>
    <w:p>
      <w:pPr>
        <w:adjustRightInd w:val="0"/>
        <w:spacing w:line="360" w:lineRule="auto"/>
        <w:ind w:firstLine="480" w:firstLineChars="200"/>
        <w:jc w:val="left"/>
        <w:textAlignment w:val="baseline"/>
        <w:rPr>
          <w:rFonts w:ascii="宋体" w:hAnsi="宋体" w:cs="宋体"/>
          <w:sz w:val="24"/>
          <w:szCs w:val="24"/>
          <w:highlight w:val="none"/>
        </w:rPr>
      </w:pPr>
      <w:r>
        <w:rPr>
          <w:rFonts w:hint="eastAsia" w:ascii="宋体" w:hAnsi="宋体" w:cs="宋体"/>
          <w:color w:val="auto"/>
          <w:sz w:val="24"/>
          <w:szCs w:val="24"/>
        </w:rPr>
        <w:t>6.1本合同总价包干暂定为人民币XX万元（大写：人民币XXX），含税率。甲、乙双方同意，对属于《广州市财政投资评审管理办法》评审范围的财政性资</w:t>
      </w:r>
      <w:r>
        <w:rPr>
          <w:rFonts w:hint="eastAsia" w:ascii="宋体" w:hAnsi="宋体" w:cs="宋体"/>
          <w:sz w:val="24"/>
          <w:szCs w:val="24"/>
        </w:rPr>
        <w:t>金投资项目，财政投资评审结果作为该项目价款结算的依据。</w:t>
      </w:r>
    </w:p>
    <w:p>
      <w:pPr>
        <w:adjustRightInd w:val="0"/>
        <w:spacing w:line="360" w:lineRule="auto"/>
        <w:ind w:firstLine="480" w:firstLineChars="200"/>
        <w:jc w:val="left"/>
        <w:textAlignment w:val="baseline"/>
        <w:rPr>
          <w:rFonts w:ascii="宋体" w:hAnsi="宋体" w:cs="宋体"/>
          <w:sz w:val="24"/>
          <w:szCs w:val="24"/>
          <w:highlight w:val="none"/>
        </w:rPr>
      </w:pPr>
      <w:r>
        <w:rPr>
          <w:rFonts w:hint="eastAsia" w:ascii="宋体" w:hAnsi="宋体" w:cs="宋体"/>
          <w:sz w:val="24"/>
          <w:szCs w:val="24"/>
          <w:highlight w:val="none"/>
        </w:rPr>
        <w:t>6.2本合同采用总价包干，工作内容包括完成本合同项下的所有工作（包含但不限于报告编制和报审、</w:t>
      </w:r>
      <w:r>
        <w:rPr>
          <w:rFonts w:hint="eastAsia" w:ascii="宋体" w:hAnsi="宋体" w:cs="宋体"/>
          <w:color w:val="auto"/>
          <w:sz w:val="24"/>
          <w:szCs w:val="24"/>
          <w:highlight w:val="none"/>
        </w:rPr>
        <w:t>修改完善及公示期间</w:t>
      </w:r>
      <w:r>
        <w:rPr>
          <w:rFonts w:hint="eastAsia" w:ascii="宋体" w:hAnsi="宋体" w:cs="宋体"/>
          <w:sz w:val="24"/>
          <w:szCs w:val="24"/>
          <w:highlight w:val="none"/>
        </w:rPr>
        <w:t>相关工作的配合）。</w:t>
      </w:r>
    </w:p>
    <w:p>
      <w:pPr>
        <w:adjustRightInd w:val="0"/>
        <w:spacing w:line="360" w:lineRule="auto"/>
        <w:jc w:val="left"/>
        <w:textAlignment w:val="baseline"/>
        <w:rPr>
          <w:rFonts w:ascii="宋体" w:hAnsi="宋体" w:cs="宋体"/>
          <w:b/>
          <w:bCs/>
          <w:sz w:val="24"/>
          <w:szCs w:val="24"/>
        </w:rPr>
      </w:pPr>
      <w:r>
        <w:rPr>
          <w:rFonts w:hint="eastAsia" w:ascii="宋体" w:hAnsi="宋体" w:cs="宋体"/>
          <w:b/>
          <w:bCs/>
          <w:sz w:val="24"/>
          <w:szCs w:val="24"/>
        </w:rPr>
        <w:t>第七条 支付方式</w:t>
      </w:r>
    </w:p>
    <w:p>
      <w:pPr>
        <w:adjustRightInd w:val="0"/>
        <w:spacing w:line="360" w:lineRule="auto"/>
        <w:ind w:firstLine="480" w:firstLineChars="200"/>
        <w:jc w:val="left"/>
        <w:textAlignment w:val="baseline"/>
        <w:rPr>
          <w:rFonts w:ascii="宋体" w:hAnsi="宋体" w:cs="宋体"/>
          <w:sz w:val="24"/>
          <w:szCs w:val="24"/>
        </w:rPr>
      </w:pPr>
      <w:r>
        <w:rPr>
          <w:rFonts w:hint="eastAsia" w:ascii="宋体" w:hAnsi="宋体" w:cs="宋体"/>
          <w:sz w:val="24"/>
          <w:szCs w:val="24"/>
        </w:rPr>
        <w:t>7.1.1 支付办法：本合同生效后，甲方按照</w:t>
      </w:r>
      <w:r>
        <w:rPr>
          <w:rFonts w:hint="eastAsia" w:ascii="宋体" w:hAnsi="宋体" w:cs="宋体"/>
          <w:sz w:val="24"/>
          <w:szCs w:val="24"/>
          <w:u w:val="single"/>
        </w:rPr>
        <w:t>《广州市净水有限公司资金集中支付管理办法》（穗净水[2015]278号）（见附件1）的</w:t>
      </w:r>
      <w:r>
        <w:rPr>
          <w:rFonts w:hint="eastAsia" w:ascii="宋体" w:hAnsi="宋体" w:cs="宋体"/>
          <w:sz w:val="24"/>
          <w:szCs w:val="24"/>
        </w:rPr>
        <w:t>操作程序，向乙方支付合同费用。</w:t>
      </w:r>
    </w:p>
    <w:p>
      <w:pPr>
        <w:pStyle w:val="2"/>
        <w:ind w:firstLine="480" w:firstLineChars="200"/>
        <w:rPr>
          <w:rFonts w:asciiTheme="minorEastAsia" w:hAnsiTheme="minorEastAsia" w:eastAsiaTheme="minorEastAsia" w:cstheme="minorEastAsia"/>
        </w:rPr>
      </w:pPr>
      <w:r>
        <w:rPr>
          <w:rFonts w:hint="eastAsia" w:hAnsi="宋体"/>
        </w:rPr>
        <w:t xml:space="preserve">7.1.2 </w:t>
      </w:r>
      <w:r>
        <w:rPr>
          <w:rFonts w:hint="eastAsia" w:asciiTheme="minorEastAsia" w:hAnsiTheme="minorEastAsia" w:eastAsiaTheme="minorEastAsia" w:cstheme="minorEastAsia"/>
        </w:rPr>
        <w:t>乙方收款账号资料</w:t>
      </w:r>
    </w:p>
    <w:p>
      <w:pPr>
        <w:spacing w:line="384" w:lineRule="auto"/>
        <w:ind w:firstLine="720" w:firstLineChars="300"/>
        <w:rPr>
          <w:rFonts w:ascii="宋体" w:hAnsi="宋体" w:cs="宋体"/>
          <w:sz w:val="24"/>
        </w:rPr>
      </w:pPr>
      <w:r>
        <w:rPr>
          <w:rFonts w:hint="eastAsia" w:ascii="宋体" w:hAnsi="宋体" w:cs="宋体"/>
          <w:sz w:val="24"/>
        </w:rPr>
        <w:t>乙方收款账户：；</w:t>
      </w:r>
    </w:p>
    <w:p>
      <w:pPr>
        <w:spacing w:line="384" w:lineRule="auto"/>
        <w:ind w:firstLine="840" w:firstLineChars="350"/>
        <w:rPr>
          <w:rFonts w:ascii="宋体" w:hAnsi="宋体" w:cs="宋体"/>
          <w:sz w:val="24"/>
        </w:rPr>
      </w:pPr>
      <w:r>
        <w:rPr>
          <w:rFonts w:hint="eastAsia" w:ascii="宋体" w:hAnsi="宋体" w:cs="宋体"/>
          <w:sz w:val="24"/>
        </w:rPr>
        <w:t>收款账号：；</w:t>
      </w:r>
    </w:p>
    <w:p>
      <w:pPr>
        <w:spacing w:line="384" w:lineRule="auto"/>
        <w:ind w:firstLine="840" w:firstLineChars="350"/>
        <w:rPr>
          <w:rFonts w:ascii="宋体" w:hAnsi="宋体" w:cs="宋体"/>
          <w:sz w:val="24"/>
        </w:rPr>
      </w:pPr>
      <w:r>
        <w:rPr>
          <w:rFonts w:hint="eastAsia" w:ascii="宋体" w:hAnsi="宋体" w:cs="宋体"/>
          <w:sz w:val="24"/>
        </w:rPr>
        <w:t>开户行：；</w:t>
      </w:r>
    </w:p>
    <w:p>
      <w:pPr>
        <w:spacing w:line="384" w:lineRule="auto"/>
        <w:ind w:firstLine="720" w:firstLineChars="300"/>
        <w:rPr>
          <w:rFonts w:ascii="宋体" w:hAnsi="宋体" w:cs="宋体"/>
          <w:sz w:val="24"/>
        </w:rPr>
      </w:pPr>
      <w:r>
        <w:rPr>
          <w:rFonts w:hint="eastAsia" w:ascii="宋体" w:hAnsi="宋体" w:cs="宋体"/>
          <w:sz w:val="24"/>
        </w:rPr>
        <w:t>乙方在收款前需提交等额增值税专用发票给甲方。增值税专用发票信息：</w:t>
      </w:r>
    </w:p>
    <w:p>
      <w:pPr>
        <w:spacing w:line="384" w:lineRule="auto"/>
        <w:ind w:firstLine="960" w:firstLineChars="400"/>
        <w:rPr>
          <w:rFonts w:ascii="宋体" w:hAnsi="宋体" w:cs="宋体"/>
          <w:sz w:val="24"/>
        </w:rPr>
      </w:pPr>
      <w:r>
        <w:rPr>
          <w:rFonts w:hint="eastAsia" w:ascii="宋体" w:hAnsi="宋体" w:cs="宋体"/>
          <w:sz w:val="24"/>
        </w:rPr>
        <w:t>名称：广州市净水有限公司</w:t>
      </w:r>
    </w:p>
    <w:p>
      <w:pPr>
        <w:spacing w:line="384" w:lineRule="auto"/>
        <w:ind w:firstLine="960" w:firstLineChars="400"/>
        <w:rPr>
          <w:rFonts w:ascii="宋体" w:hAnsi="宋体" w:cs="宋体"/>
          <w:sz w:val="24"/>
        </w:rPr>
      </w:pPr>
      <w:r>
        <w:rPr>
          <w:rFonts w:hint="eastAsia" w:ascii="宋体" w:hAnsi="宋体" w:cs="宋体"/>
          <w:sz w:val="24"/>
        </w:rPr>
        <w:t>税号：</w:t>
      </w:r>
    </w:p>
    <w:p>
      <w:pPr>
        <w:pStyle w:val="2"/>
        <w:ind w:firstLine="960" w:firstLineChars="400"/>
        <w:rPr>
          <w:rFonts w:asciiTheme="minorEastAsia" w:hAnsiTheme="minorEastAsia" w:eastAsiaTheme="minorEastAsia" w:cstheme="minorEastAsia"/>
          <w:u w:val="single"/>
        </w:rPr>
      </w:pPr>
      <w:r>
        <w:rPr>
          <w:rFonts w:hint="eastAsia" w:asciiTheme="minorEastAsia" w:hAnsiTheme="minorEastAsia" w:eastAsiaTheme="minorEastAsia" w:cstheme="minorEastAsia"/>
        </w:rPr>
        <w:t>地址：</w:t>
      </w:r>
    </w:p>
    <w:p>
      <w:pPr>
        <w:adjustRightInd w:val="0"/>
        <w:spacing w:line="360" w:lineRule="auto"/>
        <w:ind w:firstLine="480" w:firstLineChars="200"/>
        <w:jc w:val="left"/>
        <w:textAlignment w:val="baseline"/>
        <w:rPr>
          <w:rFonts w:ascii="宋体" w:hAnsi="宋体" w:cs="宋体"/>
          <w:sz w:val="24"/>
          <w:szCs w:val="24"/>
        </w:rPr>
      </w:pPr>
      <w:r>
        <w:rPr>
          <w:rFonts w:hint="eastAsia" w:ascii="宋体" w:hAnsi="宋体" w:cs="宋体"/>
          <w:sz w:val="24"/>
          <w:szCs w:val="24"/>
        </w:rPr>
        <w:t>7.2 本合同生效后，乙方向甲方提出定金支付申请，甲方向乙方支付合同包干价的20％作为定金，计</w:t>
      </w:r>
      <w:r>
        <w:rPr>
          <w:rFonts w:hint="eastAsia" w:ascii="宋体" w:hAnsi="宋体" w:cs="宋体"/>
          <w:sz w:val="24"/>
          <w:szCs w:val="24"/>
          <w:lang w:val="en-US" w:eastAsia="zh-CN"/>
        </w:rPr>
        <w:t xml:space="preserve">     </w:t>
      </w:r>
      <w:r>
        <w:rPr>
          <w:rFonts w:hint="eastAsia" w:ascii="宋体" w:hAnsi="宋体" w:cs="宋体"/>
          <w:sz w:val="24"/>
          <w:szCs w:val="24"/>
        </w:rPr>
        <w:t>万元。</w:t>
      </w:r>
    </w:p>
    <w:p>
      <w:pPr>
        <w:adjustRightInd w:val="0"/>
        <w:spacing w:line="360" w:lineRule="auto"/>
        <w:ind w:firstLine="480" w:firstLineChars="200"/>
        <w:jc w:val="left"/>
        <w:textAlignment w:val="baseline"/>
        <w:rPr>
          <w:rFonts w:ascii="宋体" w:hAnsi="宋体" w:cs="宋体"/>
          <w:color w:val="auto"/>
          <w:sz w:val="24"/>
          <w:szCs w:val="24"/>
          <w:highlight w:val="none"/>
        </w:rPr>
      </w:pPr>
      <w:r>
        <w:rPr>
          <w:rFonts w:hint="eastAsia" w:ascii="宋体" w:hAnsi="宋体" w:cs="宋体"/>
          <w:sz w:val="24"/>
          <w:szCs w:val="24"/>
        </w:rPr>
        <w:t>7.3 乙方应于当月20日前将工程支付申请书一式四份报送给甲方，规划设计费按照以</w:t>
      </w:r>
      <w:r>
        <w:rPr>
          <w:rFonts w:hint="eastAsia" w:ascii="宋体" w:hAnsi="宋体" w:cs="宋体"/>
          <w:color w:val="auto"/>
          <w:sz w:val="24"/>
          <w:szCs w:val="24"/>
          <w:highlight w:val="none"/>
        </w:rPr>
        <w:t>下方式予以支付：</w:t>
      </w:r>
    </w:p>
    <w:p>
      <w:pPr>
        <w:adjustRightInd w:val="0"/>
        <w:spacing w:line="360" w:lineRule="auto"/>
        <w:ind w:firstLine="480" w:firstLineChars="200"/>
        <w:jc w:val="left"/>
        <w:textAlignment w:val="baseline"/>
        <w:rPr>
          <w:rFonts w:ascii="宋体" w:hAnsi="宋体" w:cs="宋体"/>
          <w:color w:val="auto"/>
          <w:sz w:val="24"/>
          <w:szCs w:val="24"/>
          <w:highlight w:val="none"/>
        </w:rPr>
      </w:pPr>
      <w:r>
        <w:rPr>
          <w:rFonts w:ascii="宋体" w:hAnsi="宋体" w:cs="宋体"/>
          <w:color w:val="auto"/>
          <w:sz w:val="24"/>
          <w:szCs w:val="24"/>
          <w:highlight w:val="none"/>
        </w:rPr>
        <w:t xml:space="preserve">7.3.1 </w:t>
      </w:r>
      <w:r>
        <w:rPr>
          <w:rFonts w:hint="eastAsia" w:ascii="宋体" w:hAnsi="宋体" w:cs="宋体"/>
          <w:color w:val="auto"/>
          <w:sz w:val="24"/>
          <w:szCs w:val="24"/>
          <w:highlight w:val="none"/>
        </w:rPr>
        <w:t>乙方提交本合同</w:t>
      </w:r>
      <w:r>
        <w:rPr>
          <w:rFonts w:ascii="宋体" w:hAnsi="宋体" w:cs="宋体"/>
          <w:color w:val="auto"/>
          <w:sz w:val="24"/>
          <w:szCs w:val="24"/>
          <w:highlight w:val="none"/>
        </w:rPr>
        <w:t>所述成果报告书</w:t>
      </w:r>
      <w:r>
        <w:rPr>
          <w:rFonts w:hint="eastAsia" w:ascii="宋体" w:hAnsi="宋体" w:cs="宋体"/>
          <w:color w:val="auto"/>
          <w:sz w:val="24"/>
          <w:szCs w:val="24"/>
          <w:highlight w:val="none"/>
        </w:rPr>
        <w:t>至规划和用地专题业务会审议，并取得最终意见后，甲方向乙方支付至合同包干价的</w:t>
      </w:r>
      <w:r>
        <w:rPr>
          <w:rFonts w:ascii="宋体" w:hAnsi="宋体" w:cs="宋体"/>
          <w:color w:val="auto"/>
          <w:sz w:val="24"/>
          <w:szCs w:val="24"/>
          <w:highlight w:val="none"/>
        </w:rPr>
        <w:t>60%（含定金）。</w:t>
      </w:r>
    </w:p>
    <w:p>
      <w:pPr>
        <w:overflowPunct w:val="0"/>
        <w:adjustRightInd w:val="0"/>
        <w:spacing w:line="360" w:lineRule="auto"/>
        <w:ind w:firstLine="480" w:firstLineChars="200"/>
        <w:jc w:val="left"/>
        <w:textAlignment w:val="baseline"/>
        <w:rPr>
          <w:rFonts w:ascii="宋体" w:hAnsi="宋体" w:cs="宋体"/>
          <w:color w:val="auto"/>
          <w:sz w:val="24"/>
          <w:szCs w:val="24"/>
          <w:highlight w:val="none"/>
        </w:rPr>
      </w:pPr>
      <w:r>
        <w:rPr>
          <w:rFonts w:ascii="宋体" w:hAnsi="宋体" w:cs="宋体"/>
          <w:color w:val="auto"/>
          <w:sz w:val="24"/>
          <w:szCs w:val="24"/>
          <w:highlight w:val="none"/>
        </w:rPr>
        <w:t xml:space="preserve">7.3.2 </w:t>
      </w:r>
      <w:r>
        <w:rPr>
          <w:rFonts w:hint="eastAsia" w:ascii="宋体" w:hAnsi="宋体" w:cs="宋体"/>
          <w:color w:val="auto"/>
          <w:sz w:val="24"/>
          <w:szCs w:val="24"/>
          <w:highlight w:val="none"/>
        </w:rPr>
        <w:t>乙方提交本合同</w:t>
      </w:r>
      <w:r>
        <w:rPr>
          <w:rFonts w:ascii="宋体" w:hAnsi="宋体" w:cs="宋体"/>
          <w:color w:val="auto"/>
          <w:sz w:val="24"/>
          <w:szCs w:val="24"/>
          <w:highlight w:val="none"/>
        </w:rPr>
        <w:t>所述最终成果报告书</w:t>
      </w:r>
      <w:r>
        <w:rPr>
          <w:rFonts w:hint="eastAsia" w:ascii="宋体" w:hAnsi="宋体" w:cs="宋体"/>
          <w:color w:val="auto"/>
          <w:sz w:val="24"/>
          <w:szCs w:val="24"/>
          <w:highlight w:val="none"/>
        </w:rPr>
        <w:t>并取得市规委会书面同意意见后，甲方向乙方支付至合同包干价的</w:t>
      </w:r>
      <w:r>
        <w:rPr>
          <w:rFonts w:ascii="宋体" w:hAnsi="宋体" w:cs="宋体"/>
          <w:color w:val="auto"/>
          <w:sz w:val="24"/>
          <w:szCs w:val="24"/>
          <w:highlight w:val="none"/>
        </w:rPr>
        <w:t>80%（含定金）。</w:t>
      </w:r>
    </w:p>
    <w:p>
      <w:pPr>
        <w:overflowPunct w:val="0"/>
        <w:adjustRightInd w:val="0"/>
        <w:spacing w:line="360" w:lineRule="auto"/>
        <w:ind w:firstLine="480" w:firstLineChars="200"/>
        <w:jc w:val="left"/>
        <w:textAlignment w:val="baseline"/>
        <w:rPr>
          <w:rFonts w:ascii="宋体" w:hAnsi="宋体" w:cs="宋体"/>
          <w:sz w:val="24"/>
          <w:szCs w:val="24"/>
        </w:rPr>
      </w:pPr>
      <w:r>
        <w:rPr>
          <w:rFonts w:hint="eastAsia" w:ascii="宋体" w:hAnsi="宋体" w:cs="宋体"/>
          <w:sz w:val="24"/>
          <w:szCs w:val="24"/>
        </w:rPr>
        <w:t>7.3.3对属于《广州市财政投资评审管理办法》评审范围的财政性资金投资项目，财政投资评审结果作为该项目价款结算的依据，甲方按照评审结果全额支付。如甲方实际支付的费用超过财政投资评审结算价的，乙方应当在财政投资评审结算完毕之日起30日内向甲方退还超支费用。乙方迟延退还的，每逾期一天按超支费用的三倍银行同期储蓄利率向甲方支付利息。</w:t>
      </w:r>
    </w:p>
    <w:p>
      <w:pPr>
        <w:overflowPunct w:val="0"/>
        <w:adjustRightInd w:val="0"/>
        <w:spacing w:line="360" w:lineRule="auto"/>
        <w:ind w:firstLine="480" w:firstLineChars="200"/>
        <w:jc w:val="left"/>
        <w:textAlignment w:val="baseline"/>
        <w:rPr>
          <w:rFonts w:ascii="宋体" w:hAnsi="宋体" w:cs="宋体"/>
          <w:sz w:val="24"/>
          <w:szCs w:val="24"/>
        </w:rPr>
      </w:pPr>
      <w:r>
        <w:rPr>
          <w:rFonts w:hint="eastAsia" w:ascii="宋体" w:hAnsi="宋体" w:cs="宋体"/>
          <w:sz w:val="24"/>
          <w:szCs w:val="24"/>
        </w:rPr>
        <w:t>7.3.4</w:t>
      </w:r>
      <w:r>
        <w:rPr>
          <w:rFonts w:hint="eastAsia" w:ascii="宋体" w:hAnsi="宋体"/>
          <w:sz w:val="24"/>
          <w:szCs w:val="24"/>
        </w:rPr>
        <w:t>如合同项目非财政性资金投资项目，待相关部门终审结算后，甲方支付至合同结算价的100% 。</w:t>
      </w:r>
    </w:p>
    <w:p>
      <w:pPr>
        <w:adjustRightInd w:val="0"/>
        <w:spacing w:line="360" w:lineRule="auto"/>
        <w:ind w:firstLine="480" w:firstLineChars="200"/>
        <w:jc w:val="left"/>
        <w:textAlignment w:val="baseline"/>
        <w:rPr>
          <w:rFonts w:ascii="宋体" w:hAnsi="宋体" w:cs="宋体"/>
          <w:sz w:val="24"/>
          <w:szCs w:val="24"/>
        </w:rPr>
      </w:pPr>
      <w:r>
        <w:rPr>
          <w:rFonts w:hint="eastAsia" w:ascii="宋体" w:hAnsi="宋体" w:cs="宋体"/>
          <w:sz w:val="24"/>
          <w:szCs w:val="24"/>
        </w:rPr>
        <w:t>7.4双方委托银行代付代收有关费用。</w:t>
      </w:r>
    </w:p>
    <w:p>
      <w:pPr>
        <w:adjustRightInd w:val="0"/>
        <w:spacing w:line="360" w:lineRule="auto"/>
        <w:ind w:firstLine="480" w:firstLineChars="200"/>
        <w:jc w:val="left"/>
        <w:textAlignment w:val="baseline"/>
        <w:rPr>
          <w:color w:val="FF0000"/>
        </w:rPr>
      </w:pPr>
      <w:r>
        <w:rPr>
          <w:rFonts w:hint="eastAsia" w:ascii="宋体" w:hAnsi="宋体" w:cs="宋体"/>
          <w:sz w:val="24"/>
          <w:szCs w:val="24"/>
        </w:rPr>
        <w:t>7.5乙方</w:t>
      </w:r>
      <w:r>
        <w:rPr>
          <w:rFonts w:hint="eastAsia" w:ascii="宋体" w:hAnsi="宋体"/>
          <w:sz w:val="24"/>
          <w:szCs w:val="24"/>
        </w:rPr>
        <w:t>在收取每一笔合同费用前，需向甲方提供等额有效的增值税专用发票。</w:t>
      </w:r>
    </w:p>
    <w:p>
      <w:pPr>
        <w:adjustRightInd w:val="0"/>
        <w:spacing w:line="360" w:lineRule="auto"/>
        <w:jc w:val="left"/>
        <w:textAlignment w:val="baseline"/>
        <w:rPr>
          <w:rFonts w:ascii="宋体" w:hAnsi="宋体" w:cs="宋体"/>
          <w:b/>
          <w:bCs/>
          <w:sz w:val="24"/>
          <w:szCs w:val="24"/>
        </w:rPr>
      </w:pPr>
      <w:r>
        <w:rPr>
          <w:rFonts w:hint="eastAsia" w:ascii="宋体" w:hAnsi="宋体" w:cs="宋体"/>
          <w:b/>
          <w:bCs/>
          <w:sz w:val="24"/>
          <w:szCs w:val="24"/>
        </w:rPr>
        <w:t>第八条 双方责任</w:t>
      </w:r>
    </w:p>
    <w:p>
      <w:pPr>
        <w:spacing w:line="360" w:lineRule="auto"/>
        <w:ind w:firstLine="482" w:firstLineChars="200"/>
        <w:rPr>
          <w:rFonts w:ascii="宋体" w:hAnsi="宋体" w:cs="宋体"/>
          <w:sz w:val="24"/>
          <w:szCs w:val="24"/>
        </w:rPr>
      </w:pPr>
      <w:r>
        <w:rPr>
          <w:rFonts w:hint="eastAsia" w:ascii="宋体" w:hAnsi="宋体" w:cs="宋体"/>
          <w:b/>
          <w:bCs/>
          <w:sz w:val="24"/>
          <w:szCs w:val="24"/>
        </w:rPr>
        <w:t>8.1甲方责任</w:t>
      </w:r>
    </w:p>
    <w:p>
      <w:pPr>
        <w:spacing w:line="360" w:lineRule="auto"/>
        <w:ind w:firstLine="480" w:firstLineChars="200"/>
        <w:rPr>
          <w:rFonts w:ascii="宋体" w:hAnsi="宋体" w:cs="宋体"/>
          <w:sz w:val="24"/>
          <w:szCs w:val="24"/>
        </w:rPr>
      </w:pPr>
      <w:r>
        <w:rPr>
          <w:rFonts w:hint="eastAsia" w:ascii="宋体" w:hAnsi="宋体" w:cs="宋体"/>
          <w:sz w:val="24"/>
          <w:szCs w:val="24"/>
        </w:rPr>
        <w:t>8.1.1在合同履行期间，已开始编制工作，非乙方原因甲方要求终止或解除合同的，甲方根据乙方已进行的实际工作量按实进行结算，最高支付至合同包干价的六成。</w:t>
      </w:r>
    </w:p>
    <w:p>
      <w:pPr>
        <w:spacing w:line="360" w:lineRule="auto"/>
        <w:ind w:firstLine="360" w:firstLineChars="150"/>
        <w:rPr>
          <w:rFonts w:ascii="宋体" w:hAnsi="宋体" w:cs="宋体"/>
          <w:sz w:val="24"/>
          <w:szCs w:val="24"/>
        </w:rPr>
      </w:pPr>
      <w:r>
        <w:rPr>
          <w:rFonts w:hint="eastAsia" w:ascii="宋体" w:hAnsi="宋体" w:cs="宋体"/>
          <w:sz w:val="24"/>
          <w:szCs w:val="24"/>
        </w:rPr>
        <w:t xml:space="preserve"> 8.1.</w:t>
      </w:r>
      <w:r>
        <w:rPr>
          <w:rFonts w:hint="eastAsia" w:ascii="宋体" w:hAnsi="宋体" w:cs="宋体"/>
          <w:sz w:val="24"/>
          <w:szCs w:val="24"/>
          <w:lang w:val="en-US" w:eastAsia="zh-CN"/>
        </w:rPr>
        <w:t>2</w:t>
      </w:r>
      <w:r>
        <w:rPr>
          <w:rFonts w:hint="eastAsia" w:ascii="宋体" w:hAnsi="宋体" w:cs="宋体"/>
          <w:sz w:val="24"/>
          <w:szCs w:val="24"/>
        </w:rPr>
        <w:t>甲方要求乙方比合同规定时间提前交付编制文件时，需提前通知乙方，且征得乙方同意，不得严重背离合理编制周期。</w:t>
      </w:r>
    </w:p>
    <w:p>
      <w:pPr>
        <w:pStyle w:val="4"/>
        <w:keepNext w:val="0"/>
        <w:keepLines w:val="0"/>
        <w:spacing w:before="0" w:after="0" w:line="360" w:lineRule="auto"/>
        <w:ind w:firstLine="482" w:firstLineChars="200"/>
        <w:rPr>
          <w:rFonts w:ascii="宋体" w:hAnsi="宋体" w:cs="宋体"/>
          <w:bCs w:val="0"/>
          <w:sz w:val="24"/>
          <w:szCs w:val="24"/>
        </w:rPr>
      </w:pPr>
      <w:r>
        <w:rPr>
          <w:rFonts w:hint="eastAsia" w:ascii="宋体" w:hAnsi="宋体" w:cs="宋体"/>
          <w:bCs w:val="0"/>
          <w:sz w:val="24"/>
          <w:szCs w:val="24"/>
        </w:rPr>
        <w:t>8.2乙方责任</w:t>
      </w:r>
    </w:p>
    <w:p>
      <w:pPr>
        <w:spacing w:line="360" w:lineRule="auto"/>
        <w:ind w:firstLine="480" w:firstLineChars="200"/>
        <w:rPr>
          <w:rFonts w:ascii="宋体" w:hAnsi="宋体" w:cs="宋体"/>
          <w:sz w:val="24"/>
          <w:szCs w:val="24"/>
        </w:rPr>
      </w:pPr>
      <w:r>
        <w:rPr>
          <w:rFonts w:hint="eastAsia" w:ascii="宋体" w:hAnsi="宋体" w:cs="宋体"/>
          <w:sz w:val="24"/>
          <w:szCs w:val="24"/>
        </w:rPr>
        <w:t>8.2.1乙方按合同约定时间向甲方提交有关工作成果，乙方保证具备相应的资质并对提交的文件、报告及所出的结论负责。</w:t>
      </w:r>
    </w:p>
    <w:p>
      <w:pPr>
        <w:spacing w:line="360" w:lineRule="auto"/>
        <w:ind w:firstLine="480" w:firstLineChars="200"/>
        <w:rPr>
          <w:rFonts w:ascii="宋体" w:hAnsi="宋体" w:cs="宋体"/>
          <w:sz w:val="24"/>
          <w:szCs w:val="24"/>
        </w:rPr>
      </w:pPr>
      <w:r>
        <w:rPr>
          <w:rFonts w:hint="eastAsia" w:ascii="宋体" w:hAnsi="宋体" w:cs="宋体"/>
          <w:sz w:val="24"/>
          <w:szCs w:val="24"/>
        </w:rPr>
        <w:t>8.2.2因文件质量问题引起返工，除由乙方继续完善外，并视造成损失大小，减收直至免收编制费。</w:t>
      </w:r>
    </w:p>
    <w:p>
      <w:pPr>
        <w:spacing w:line="360" w:lineRule="auto"/>
        <w:ind w:firstLine="480" w:firstLineChars="200"/>
        <w:rPr>
          <w:rFonts w:ascii="宋体" w:hAnsi="宋体" w:cs="宋体"/>
          <w:sz w:val="24"/>
          <w:szCs w:val="24"/>
        </w:rPr>
      </w:pPr>
      <w:r>
        <w:rPr>
          <w:rFonts w:hint="eastAsia" w:ascii="宋体" w:hAnsi="宋体" w:cs="宋体"/>
          <w:sz w:val="24"/>
          <w:szCs w:val="24"/>
        </w:rPr>
        <w:t>8.2.3乙方提交的文件不符合合同约定，经修改后仍未达到要求的，甲方有权解除合同，要求乙方赔偿损失并返还已收到的全部合同价款，如逾期未返还，应按同期银行贷款利率支付相应利息。</w:t>
      </w:r>
    </w:p>
    <w:p>
      <w:pPr>
        <w:spacing w:line="360" w:lineRule="auto"/>
        <w:ind w:firstLine="480" w:firstLineChars="200"/>
        <w:rPr>
          <w:rFonts w:ascii="宋体" w:hAnsi="宋体" w:cs="宋体"/>
          <w:sz w:val="24"/>
          <w:szCs w:val="24"/>
        </w:rPr>
      </w:pPr>
      <w:r>
        <w:rPr>
          <w:rFonts w:hint="eastAsia" w:ascii="宋体" w:hAnsi="宋体" w:cs="宋体"/>
          <w:sz w:val="24"/>
          <w:szCs w:val="24"/>
        </w:rPr>
        <w:t>8.2.4由于乙方自身原因，延误了按本合同第五条规定的规划设计成果交付时间，每延误一天应减收该项目合同价的2‰，逾期超过30天，甲方有权解除合同。由此给甲方造成损失的，乙方应承担赔偿责任。</w:t>
      </w:r>
    </w:p>
    <w:p>
      <w:pPr>
        <w:spacing w:line="360" w:lineRule="auto"/>
        <w:ind w:firstLine="480" w:firstLineChars="200"/>
        <w:rPr>
          <w:rFonts w:ascii="宋体" w:hAnsi="宋体" w:cs="宋体"/>
          <w:sz w:val="24"/>
          <w:szCs w:val="24"/>
        </w:rPr>
      </w:pPr>
      <w:r>
        <w:rPr>
          <w:rFonts w:hint="eastAsia" w:ascii="宋体" w:hAnsi="宋体" w:cs="宋体"/>
          <w:sz w:val="24"/>
          <w:szCs w:val="24"/>
        </w:rPr>
        <w:t>8.2.5乙方有责任对甲方提供的资料保密，未经许可，不得提供给与本项目无关的单位和人员使用。乙方未尽保密义务，给甲方造成损失的，应承担赔偿责任，并向甲方一次性支付合同价款1%的违约金。不论何种情况下保密内容泄密的，乙方应当及时采取救济措施。若乙方怠于救济导致甲方损失扩大的，乙方对扩大部分承担赔偿责任。</w:t>
      </w:r>
    </w:p>
    <w:p>
      <w:pPr>
        <w:spacing w:line="360" w:lineRule="auto"/>
        <w:ind w:firstLine="480" w:firstLineChars="200"/>
        <w:rPr>
          <w:rFonts w:ascii="宋体" w:hAnsi="宋体" w:cs="宋体"/>
          <w:sz w:val="24"/>
          <w:szCs w:val="24"/>
        </w:rPr>
      </w:pPr>
      <w:r>
        <w:rPr>
          <w:rFonts w:hint="eastAsia" w:ascii="宋体" w:hAnsi="宋体" w:cs="宋体"/>
          <w:sz w:val="24"/>
          <w:szCs w:val="24"/>
        </w:rPr>
        <w:t>8.2.6若标准或计划变更，经甲方同意，乙方可顺延期限。</w:t>
      </w:r>
    </w:p>
    <w:p>
      <w:pPr>
        <w:spacing w:line="360" w:lineRule="auto"/>
        <w:ind w:firstLine="480" w:firstLineChars="200"/>
        <w:rPr>
          <w:rFonts w:ascii="宋体" w:hAnsi="宋体" w:cs="宋体"/>
          <w:sz w:val="24"/>
          <w:szCs w:val="24"/>
        </w:rPr>
      </w:pPr>
      <w:r>
        <w:rPr>
          <w:rFonts w:hint="eastAsia" w:ascii="宋体" w:hAnsi="宋体" w:cs="宋体"/>
          <w:sz w:val="24"/>
          <w:szCs w:val="24"/>
        </w:rPr>
        <w:t>8.2.7合同生效后，非甲方原因乙方要求解除合同的，应赔偿甲方的损失，并双倍退还定金。</w:t>
      </w:r>
    </w:p>
    <w:p>
      <w:pPr>
        <w:spacing w:line="360" w:lineRule="auto"/>
        <w:ind w:firstLine="480" w:firstLineChars="200"/>
        <w:rPr>
          <w:rFonts w:hint="eastAsia" w:ascii="宋体" w:hAnsi="宋体" w:cs="宋体"/>
          <w:sz w:val="24"/>
          <w:szCs w:val="24"/>
          <w:highlight w:val="none"/>
        </w:rPr>
      </w:pPr>
      <w:r>
        <w:rPr>
          <w:rFonts w:ascii="宋体" w:hAnsi="宋体" w:cs="宋体"/>
          <w:color w:val="000000" w:themeColor="text1"/>
          <w:sz w:val="24"/>
          <w:szCs w:val="24"/>
          <w:highlight w:val="none"/>
          <w14:textFill>
            <w14:solidFill>
              <w14:schemeClr w14:val="tx1"/>
            </w14:solidFill>
          </w14:textFill>
        </w:rPr>
        <w:t>8.2.8如甲方选择适用定金罚则，定金不足以弥补乙方违约造成的损失的，甲方可以</w:t>
      </w:r>
      <w:r>
        <w:rPr>
          <w:rFonts w:hint="eastAsia" w:ascii="宋体" w:hAnsi="宋体" w:cs="宋体"/>
          <w:sz w:val="24"/>
          <w:szCs w:val="24"/>
          <w:highlight w:val="none"/>
        </w:rPr>
        <w:t>请求赔偿超过定金数额的损失。</w:t>
      </w:r>
    </w:p>
    <w:p>
      <w:pPr>
        <w:pStyle w:val="19"/>
        <w:ind w:firstLine="0"/>
        <w:rPr>
          <w:rFonts w:hint="default" w:eastAsia="等线"/>
          <w:lang w:val="en-US" w:eastAsia="zh-CN"/>
        </w:rPr>
      </w:pPr>
      <w:r>
        <w:rPr>
          <w:rFonts w:hint="eastAsia" w:ascii="宋体" w:hAnsi="宋体" w:cs="宋体"/>
          <w:sz w:val="24"/>
          <w:szCs w:val="24"/>
          <w:highlight w:val="none"/>
          <w:lang w:val="en-US" w:eastAsia="zh-CN"/>
        </w:rPr>
        <w:t>8.2.9</w:t>
      </w:r>
      <w:r>
        <w:rPr>
          <w:rFonts w:hint="eastAsia" w:ascii="宋体" w:hAnsi="宋体" w:cs="宋体" w:eastAsiaTheme="minorEastAsia"/>
          <w:color w:val="auto"/>
          <w:sz w:val="24"/>
          <w:szCs w:val="24"/>
          <w:lang w:val="en-US" w:eastAsia="zh-CN"/>
        </w:rPr>
        <w:t>在合同有效期内，若乙方发生不诚信行为情形的，乙方自愿接受甲方按《广州市净水有限公司经营建设项目参建企业不诚信行为管理办法》处理，具体处理标准详见附件4。</w:t>
      </w:r>
    </w:p>
    <w:p>
      <w:pPr>
        <w:adjustRightInd w:val="0"/>
        <w:spacing w:line="360" w:lineRule="auto"/>
        <w:jc w:val="left"/>
        <w:textAlignment w:val="baseline"/>
        <w:rPr>
          <w:rFonts w:ascii="宋体" w:hAnsi="宋体" w:cs="宋体"/>
          <w:b/>
          <w:bCs/>
          <w:sz w:val="24"/>
          <w:szCs w:val="24"/>
        </w:rPr>
      </w:pPr>
      <w:r>
        <w:rPr>
          <w:rFonts w:hint="eastAsia" w:ascii="宋体" w:hAnsi="宋体" w:cs="宋体"/>
          <w:b/>
          <w:bCs/>
          <w:sz w:val="24"/>
          <w:szCs w:val="24"/>
        </w:rPr>
        <w:t>第九条  知识产权</w:t>
      </w:r>
    </w:p>
    <w:p>
      <w:pPr>
        <w:adjustRightInd w:val="0"/>
        <w:spacing w:line="360" w:lineRule="auto"/>
        <w:ind w:firstLine="480" w:firstLineChars="200"/>
        <w:jc w:val="left"/>
        <w:textAlignment w:val="baseline"/>
        <w:rPr>
          <w:rFonts w:ascii="宋体" w:hAnsi="宋体" w:cs="宋体"/>
          <w:sz w:val="24"/>
          <w:szCs w:val="24"/>
        </w:rPr>
      </w:pPr>
      <w:r>
        <w:rPr>
          <w:rFonts w:hint="eastAsia" w:ascii="宋体" w:hAnsi="宋体" w:cs="宋体"/>
          <w:sz w:val="24"/>
          <w:szCs w:val="24"/>
        </w:rPr>
        <w:t>双方均应保护对方的知识产权，未经对方同意，任何一方均不得对对方的资料及文件擅自修改、复制或向第三人转让。如发生以上情况，违约方承担一切由此引起的后果并承担赔偿责任。</w:t>
      </w:r>
    </w:p>
    <w:p>
      <w:pPr>
        <w:adjustRightInd w:val="0"/>
        <w:spacing w:line="360" w:lineRule="auto"/>
        <w:jc w:val="left"/>
        <w:textAlignment w:val="baseline"/>
        <w:rPr>
          <w:rFonts w:ascii="宋体" w:hAnsi="宋体" w:cs="宋体"/>
          <w:b/>
          <w:bCs/>
          <w:sz w:val="24"/>
          <w:szCs w:val="24"/>
        </w:rPr>
      </w:pPr>
      <w:r>
        <w:rPr>
          <w:rFonts w:hint="eastAsia" w:ascii="宋体" w:hAnsi="宋体" w:cs="宋体"/>
          <w:b/>
          <w:bCs/>
          <w:sz w:val="24"/>
          <w:szCs w:val="24"/>
        </w:rPr>
        <w:t>第十条  争议解决</w:t>
      </w:r>
    </w:p>
    <w:p>
      <w:pPr>
        <w:adjustRightInd w:val="0"/>
        <w:spacing w:line="360" w:lineRule="auto"/>
        <w:ind w:firstLine="480" w:firstLineChars="200"/>
        <w:jc w:val="left"/>
        <w:textAlignment w:val="baseline"/>
        <w:rPr>
          <w:rFonts w:ascii="宋体" w:hAnsi="宋体" w:cs="宋体"/>
          <w:sz w:val="24"/>
          <w:szCs w:val="24"/>
        </w:rPr>
      </w:pPr>
      <w:r>
        <w:rPr>
          <w:rFonts w:hint="eastAsia" w:ascii="宋体" w:hAnsi="宋体" w:cs="宋体"/>
          <w:sz w:val="24"/>
          <w:szCs w:val="24"/>
        </w:rPr>
        <w:t>本合同履行过程中发生争议，由双方当事人协商解决。协商不成的按下列第（二）种方式解决。</w:t>
      </w:r>
    </w:p>
    <w:p>
      <w:pPr>
        <w:adjustRightInd w:val="0"/>
        <w:spacing w:line="360" w:lineRule="auto"/>
        <w:ind w:firstLine="480" w:firstLineChars="200"/>
        <w:jc w:val="left"/>
        <w:textAlignment w:val="baseline"/>
        <w:rPr>
          <w:rFonts w:ascii="宋体" w:hAnsi="宋体" w:cs="宋体"/>
          <w:sz w:val="24"/>
          <w:szCs w:val="24"/>
        </w:rPr>
      </w:pPr>
      <w:r>
        <w:rPr>
          <w:rFonts w:hint="eastAsia" w:ascii="宋体" w:hAnsi="宋体" w:cs="宋体"/>
          <w:sz w:val="24"/>
          <w:szCs w:val="24"/>
        </w:rPr>
        <w:t>（一）提交广州仲裁委员会仲裁；</w:t>
      </w:r>
    </w:p>
    <w:p>
      <w:pPr>
        <w:adjustRightInd w:val="0"/>
        <w:spacing w:line="360" w:lineRule="auto"/>
        <w:ind w:firstLine="480" w:firstLineChars="200"/>
        <w:jc w:val="left"/>
        <w:textAlignment w:val="baseline"/>
        <w:rPr>
          <w:rFonts w:ascii="宋体" w:hAnsi="宋体" w:cs="宋体"/>
          <w:sz w:val="24"/>
          <w:szCs w:val="24"/>
        </w:rPr>
      </w:pPr>
      <w:r>
        <w:rPr>
          <w:rFonts w:hint="eastAsia" w:ascii="宋体" w:hAnsi="宋体" w:cs="宋体"/>
          <w:sz w:val="24"/>
          <w:szCs w:val="24"/>
        </w:rPr>
        <w:t>（二）依法向甲方所在地的人民法院起诉。</w:t>
      </w:r>
    </w:p>
    <w:p>
      <w:pPr>
        <w:adjustRightInd w:val="0"/>
        <w:spacing w:line="360" w:lineRule="auto"/>
        <w:jc w:val="left"/>
        <w:textAlignment w:val="baseline"/>
        <w:rPr>
          <w:rFonts w:ascii="宋体" w:hAnsi="宋体" w:cs="宋体"/>
          <w:b/>
          <w:bCs/>
          <w:sz w:val="24"/>
          <w:szCs w:val="24"/>
        </w:rPr>
      </w:pPr>
      <w:r>
        <w:rPr>
          <w:rFonts w:hint="eastAsia" w:ascii="宋体" w:hAnsi="宋体" w:cs="宋体"/>
          <w:b/>
          <w:bCs/>
          <w:sz w:val="24"/>
          <w:szCs w:val="24"/>
        </w:rPr>
        <w:t>第十一条  合同生效及其他</w:t>
      </w:r>
    </w:p>
    <w:p>
      <w:pPr>
        <w:adjustRightInd w:val="0"/>
        <w:spacing w:line="360" w:lineRule="auto"/>
        <w:ind w:firstLine="480" w:firstLineChars="200"/>
        <w:jc w:val="left"/>
        <w:textAlignment w:val="baseline"/>
        <w:rPr>
          <w:rFonts w:ascii="宋体" w:hAnsi="宋体" w:cs="宋体"/>
          <w:sz w:val="24"/>
          <w:szCs w:val="24"/>
        </w:rPr>
      </w:pPr>
      <w:r>
        <w:rPr>
          <w:rFonts w:hint="eastAsia" w:ascii="宋体" w:hAnsi="宋体" w:cs="宋体"/>
          <w:sz w:val="24"/>
          <w:szCs w:val="24"/>
        </w:rPr>
        <w:t>11.1合同生效的条件：合同签订盖章。</w:t>
      </w:r>
    </w:p>
    <w:p>
      <w:pPr>
        <w:adjustRightInd w:val="0"/>
        <w:spacing w:line="360" w:lineRule="auto"/>
        <w:ind w:firstLine="480" w:firstLineChars="200"/>
        <w:jc w:val="left"/>
        <w:textAlignment w:val="baseline"/>
        <w:rPr>
          <w:rFonts w:ascii="宋体" w:hAnsi="宋体" w:cs="宋体"/>
          <w:sz w:val="24"/>
          <w:szCs w:val="24"/>
        </w:rPr>
      </w:pPr>
      <w:r>
        <w:rPr>
          <w:rFonts w:hint="eastAsia" w:ascii="宋体" w:hAnsi="宋体" w:cs="宋体"/>
          <w:sz w:val="24"/>
          <w:szCs w:val="24"/>
        </w:rPr>
        <w:t>11.2甲方委托乙方承担本合同内容以外的工作服务，需另行签订协议并支付费用。</w:t>
      </w:r>
    </w:p>
    <w:p>
      <w:pPr>
        <w:adjustRightInd w:val="0"/>
        <w:spacing w:line="360" w:lineRule="auto"/>
        <w:ind w:firstLine="480" w:firstLineChars="200"/>
        <w:jc w:val="left"/>
        <w:textAlignment w:val="baseline"/>
        <w:rPr>
          <w:rFonts w:ascii="宋体" w:hAnsi="宋体" w:cs="宋体"/>
          <w:sz w:val="24"/>
          <w:szCs w:val="24"/>
        </w:rPr>
      </w:pPr>
      <w:r>
        <w:rPr>
          <w:rFonts w:hint="eastAsia" w:ascii="宋体" w:hAnsi="宋体" w:cs="宋体"/>
          <w:sz w:val="24"/>
          <w:szCs w:val="24"/>
        </w:rPr>
        <w:t>11.3当项目的建设业主变更时，甲方应书面通知乙方并协商合同终止或变更事宜。</w:t>
      </w:r>
    </w:p>
    <w:p>
      <w:pPr>
        <w:adjustRightInd w:val="0"/>
        <w:spacing w:line="360" w:lineRule="auto"/>
        <w:ind w:firstLine="480" w:firstLineChars="200"/>
        <w:jc w:val="left"/>
        <w:textAlignment w:val="baseline"/>
        <w:rPr>
          <w:rFonts w:ascii="宋体" w:hAnsi="宋体" w:cs="宋体"/>
          <w:sz w:val="24"/>
          <w:szCs w:val="24"/>
        </w:rPr>
      </w:pPr>
      <w:r>
        <w:rPr>
          <w:rFonts w:hint="eastAsia" w:ascii="宋体" w:hAnsi="宋体" w:cs="宋体"/>
          <w:sz w:val="24"/>
          <w:szCs w:val="24"/>
        </w:rPr>
        <w:t>11.4由于不可抗力因素致使合同无法履行时，双方应及时协商解决。</w:t>
      </w:r>
    </w:p>
    <w:p>
      <w:pPr>
        <w:adjustRightInd w:val="0"/>
        <w:spacing w:line="360" w:lineRule="auto"/>
        <w:ind w:firstLine="480" w:firstLineChars="200"/>
        <w:jc w:val="left"/>
        <w:textAlignment w:val="baseline"/>
        <w:rPr>
          <w:rFonts w:ascii="宋体" w:hAnsi="宋体" w:cs="宋体"/>
          <w:sz w:val="24"/>
          <w:szCs w:val="24"/>
        </w:rPr>
      </w:pPr>
      <w:r>
        <w:rPr>
          <w:rFonts w:hint="eastAsia" w:ascii="宋体" w:hAnsi="宋体" w:cs="宋体"/>
          <w:sz w:val="24"/>
          <w:szCs w:val="24"/>
        </w:rPr>
        <w:t>11.5本合同正本一式</w:t>
      </w:r>
      <w:r>
        <w:rPr>
          <w:rFonts w:hint="eastAsia" w:ascii="宋体" w:hAnsi="宋体" w:cs="宋体"/>
          <w:sz w:val="24"/>
          <w:szCs w:val="24"/>
          <w:u w:val="single"/>
        </w:rPr>
        <w:t xml:space="preserve"> 贰 </w:t>
      </w:r>
      <w:r>
        <w:rPr>
          <w:rFonts w:hint="eastAsia" w:ascii="宋体" w:hAnsi="宋体" w:cs="宋体"/>
          <w:sz w:val="24"/>
          <w:szCs w:val="24"/>
        </w:rPr>
        <w:t>份，甲方执</w:t>
      </w:r>
      <w:r>
        <w:rPr>
          <w:rFonts w:hint="eastAsia" w:ascii="宋体" w:hAnsi="宋体" w:cs="宋体"/>
          <w:sz w:val="24"/>
          <w:szCs w:val="24"/>
          <w:u w:val="single"/>
        </w:rPr>
        <w:t xml:space="preserve"> 壹 </w:t>
      </w:r>
      <w:r>
        <w:rPr>
          <w:rFonts w:hint="eastAsia" w:ascii="宋体" w:hAnsi="宋体" w:cs="宋体"/>
          <w:sz w:val="24"/>
          <w:szCs w:val="24"/>
        </w:rPr>
        <w:t>份，乙方执</w:t>
      </w:r>
      <w:r>
        <w:rPr>
          <w:rFonts w:hint="eastAsia" w:ascii="宋体" w:hAnsi="宋体" w:cs="宋体"/>
          <w:sz w:val="24"/>
          <w:szCs w:val="24"/>
          <w:u w:val="single"/>
        </w:rPr>
        <w:t>壹</w:t>
      </w:r>
      <w:r>
        <w:rPr>
          <w:rFonts w:hint="eastAsia" w:ascii="宋体" w:hAnsi="宋体" w:cs="宋体"/>
          <w:sz w:val="24"/>
          <w:szCs w:val="24"/>
        </w:rPr>
        <w:t>份；副本一式</w:t>
      </w:r>
      <w:r>
        <w:rPr>
          <w:rFonts w:hint="eastAsia" w:ascii="宋体" w:hAnsi="宋体" w:cs="宋体"/>
          <w:sz w:val="24"/>
          <w:szCs w:val="24"/>
          <w:u w:val="single"/>
        </w:rPr>
        <w:t>捌</w:t>
      </w:r>
      <w:r>
        <w:rPr>
          <w:rFonts w:hint="eastAsia" w:ascii="宋体" w:hAnsi="宋体" w:cs="宋体"/>
          <w:sz w:val="24"/>
          <w:szCs w:val="24"/>
        </w:rPr>
        <w:t>份，甲方执</w:t>
      </w:r>
      <w:r>
        <w:rPr>
          <w:rFonts w:hint="eastAsia" w:ascii="宋体" w:hAnsi="宋体" w:cs="宋体"/>
          <w:sz w:val="24"/>
          <w:szCs w:val="24"/>
          <w:u w:val="single"/>
        </w:rPr>
        <w:t>伍</w:t>
      </w:r>
      <w:r>
        <w:rPr>
          <w:rFonts w:hint="eastAsia" w:ascii="宋体" w:hAnsi="宋体" w:cs="宋体"/>
          <w:sz w:val="24"/>
          <w:szCs w:val="24"/>
        </w:rPr>
        <w:t>份，乙方执</w:t>
      </w:r>
      <w:r>
        <w:rPr>
          <w:rFonts w:hint="eastAsia" w:ascii="宋体" w:hAnsi="宋体" w:cs="宋体"/>
          <w:sz w:val="24"/>
          <w:szCs w:val="24"/>
          <w:u w:val="single"/>
        </w:rPr>
        <w:t>叁</w:t>
      </w:r>
      <w:r>
        <w:rPr>
          <w:rFonts w:hint="eastAsia" w:ascii="宋体" w:hAnsi="宋体" w:cs="宋体"/>
          <w:sz w:val="24"/>
          <w:szCs w:val="24"/>
        </w:rPr>
        <w:t>份，双方所执合同具同等法律效力。</w:t>
      </w:r>
    </w:p>
    <w:p>
      <w:pPr>
        <w:adjustRightInd w:val="0"/>
        <w:spacing w:line="360" w:lineRule="auto"/>
        <w:ind w:firstLine="480" w:firstLineChars="200"/>
        <w:jc w:val="left"/>
        <w:textAlignment w:val="baseline"/>
        <w:rPr>
          <w:rFonts w:ascii="宋体" w:hAnsi="宋体" w:cs="宋体"/>
          <w:sz w:val="24"/>
          <w:szCs w:val="24"/>
        </w:rPr>
      </w:pPr>
      <w:r>
        <w:rPr>
          <w:rFonts w:hint="eastAsia" w:ascii="宋体" w:hAnsi="宋体" w:cs="宋体"/>
          <w:sz w:val="24"/>
          <w:szCs w:val="24"/>
        </w:rPr>
        <w:t>11.6双方履行完合同规定的义务后，本合同即行终止。</w:t>
      </w:r>
    </w:p>
    <w:p>
      <w:pPr>
        <w:adjustRightInd w:val="0"/>
        <w:spacing w:line="360" w:lineRule="auto"/>
        <w:ind w:firstLine="480" w:firstLineChars="200"/>
        <w:jc w:val="left"/>
        <w:textAlignment w:val="baseline"/>
        <w:rPr>
          <w:rFonts w:ascii="宋体" w:hAnsi="宋体" w:cs="宋体"/>
          <w:sz w:val="24"/>
          <w:szCs w:val="24"/>
        </w:rPr>
      </w:pPr>
      <w:r>
        <w:rPr>
          <w:rFonts w:hint="eastAsia" w:ascii="宋体" w:hAnsi="宋体" w:cs="宋体"/>
          <w:sz w:val="24"/>
          <w:szCs w:val="24"/>
        </w:rPr>
        <w:t>11.7双方认可的来往传真、会议纪要等，均为合同的组成部分，与本合同具有同等法律效力。</w:t>
      </w:r>
    </w:p>
    <w:p>
      <w:pPr>
        <w:spacing w:line="360" w:lineRule="auto"/>
        <w:ind w:firstLine="480" w:firstLineChars="200"/>
        <w:outlineLvl w:val="0"/>
        <w:rPr>
          <w:rFonts w:ascii="宋体" w:hAnsi="宋体" w:cs="宋体"/>
          <w:color w:val="000000"/>
          <w:sz w:val="24"/>
          <w:szCs w:val="24"/>
        </w:rPr>
      </w:pPr>
      <w:r>
        <w:rPr>
          <w:rFonts w:hint="eastAsia" w:ascii="宋体" w:hAnsi="宋体" w:cs="宋体"/>
          <w:sz w:val="24"/>
          <w:szCs w:val="24"/>
        </w:rPr>
        <w:t>11.8未尽事宜，双方协商一致，</w:t>
      </w:r>
      <w:r>
        <w:rPr>
          <w:rFonts w:hint="eastAsia" w:ascii="宋体" w:hAnsi="宋体" w:cs="宋体"/>
          <w:color w:val="000000"/>
          <w:sz w:val="24"/>
          <w:szCs w:val="24"/>
        </w:rPr>
        <w:t>可签订补充协议，补充协议与本合同具有同等效力。</w:t>
      </w:r>
    </w:p>
    <w:p>
      <w:pPr>
        <w:pStyle w:val="10"/>
        <w:spacing w:line="360" w:lineRule="auto"/>
        <w:ind w:left="465" w:leftChars="50" w:hanging="360" w:hangingChars="150"/>
        <w:jc w:val="center"/>
        <w:rPr>
          <w:rFonts w:ascii="宋体" w:hAnsi="宋体" w:cs="宋体"/>
          <w:color w:val="000000"/>
          <w:sz w:val="24"/>
          <w:szCs w:val="24"/>
        </w:rPr>
      </w:pPr>
      <w:r>
        <w:rPr>
          <w:rFonts w:hint="eastAsia" w:ascii="宋体" w:hAnsi="宋体" w:cs="宋体"/>
          <w:color w:val="000000"/>
          <w:sz w:val="24"/>
          <w:szCs w:val="24"/>
        </w:rPr>
        <w:t>11.9本合同附件是合同不可分割的一部分，具有相同的法律效力，具体附件如下：</w:t>
      </w:r>
    </w:p>
    <w:p>
      <w:pPr>
        <w:pStyle w:val="10"/>
        <w:spacing w:line="360" w:lineRule="auto"/>
        <w:ind w:left="584" w:leftChars="278" w:firstLine="120" w:firstLineChars="50"/>
        <w:rPr>
          <w:rFonts w:ascii="宋体" w:hAnsi="宋体" w:cs="宋体"/>
          <w:color w:val="000000"/>
          <w:sz w:val="24"/>
          <w:szCs w:val="24"/>
        </w:rPr>
      </w:pPr>
      <w:r>
        <w:rPr>
          <w:rFonts w:hint="eastAsia" w:ascii="宋体" w:hAnsi="宋体" w:cs="宋体"/>
          <w:color w:val="000000"/>
          <w:sz w:val="24"/>
          <w:szCs w:val="24"/>
        </w:rPr>
        <w:t>附件</w:t>
      </w:r>
      <w:r>
        <w:rPr>
          <w:rFonts w:ascii="宋体" w:hAnsi="宋体" w:cs="宋体"/>
          <w:color w:val="000000"/>
          <w:sz w:val="24"/>
          <w:szCs w:val="24"/>
        </w:rPr>
        <w:t>1：</w:t>
      </w:r>
      <w:r>
        <w:rPr>
          <w:rFonts w:hint="eastAsia" w:ascii="宋体" w:hAnsi="宋体" w:cs="宋体"/>
          <w:b w:val="0"/>
          <w:bCs w:val="0"/>
          <w:color w:val="000000"/>
          <w:sz w:val="24"/>
          <w:szCs w:val="24"/>
        </w:rPr>
        <w:t>发包通知书</w:t>
      </w:r>
    </w:p>
    <w:p>
      <w:pPr>
        <w:pStyle w:val="10"/>
        <w:spacing w:line="360" w:lineRule="auto"/>
        <w:ind w:left="584" w:leftChars="278" w:firstLine="120" w:firstLineChars="50"/>
        <w:rPr>
          <w:rFonts w:ascii="宋体" w:hAnsi="宋体" w:cs="宋体"/>
          <w:color w:val="000000"/>
          <w:sz w:val="24"/>
          <w:szCs w:val="24"/>
        </w:rPr>
      </w:pPr>
      <w:r>
        <w:rPr>
          <w:rFonts w:hint="eastAsia" w:ascii="宋体" w:hAnsi="宋体" w:cs="宋体"/>
          <w:color w:val="000000"/>
          <w:sz w:val="24"/>
          <w:szCs w:val="24"/>
        </w:rPr>
        <w:t>附件</w:t>
      </w:r>
      <w:r>
        <w:rPr>
          <w:rFonts w:ascii="宋体" w:hAnsi="宋体" w:cs="宋体"/>
          <w:color w:val="000000"/>
          <w:sz w:val="24"/>
          <w:szCs w:val="24"/>
        </w:rPr>
        <w:t>2：</w:t>
      </w:r>
      <w:r>
        <w:rPr>
          <w:rFonts w:hint="eastAsia" w:ascii="宋体" w:hAnsi="宋体" w:cs="宋体"/>
          <w:b w:val="0"/>
          <w:bCs w:val="0"/>
          <w:color w:val="000000"/>
          <w:sz w:val="24"/>
          <w:szCs w:val="24"/>
        </w:rPr>
        <w:t>廉洁协议</w:t>
      </w:r>
    </w:p>
    <w:p>
      <w:pPr>
        <w:pStyle w:val="10"/>
        <w:spacing w:line="360" w:lineRule="auto"/>
        <w:ind w:left="584" w:leftChars="278" w:firstLine="120" w:firstLineChars="50"/>
        <w:rPr>
          <w:rFonts w:hint="eastAsia" w:ascii="宋体" w:hAnsi="宋体" w:cs="宋体"/>
          <w:color w:val="000000"/>
          <w:sz w:val="24"/>
          <w:szCs w:val="24"/>
        </w:rPr>
      </w:pPr>
      <w:r>
        <w:rPr>
          <w:rFonts w:hint="eastAsia" w:ascii="宋体" w:hAnsi="宋体" w:cs="宋体"/>
          <w:color w:val="000000"/>
          <w:sz w:val="24"/>
          <w:szCs w:val="24"/>
        </w:rPr>
        <w:t>附件3：安全协议书</w:t>
      </w:r>
    </w:p>
    <w:p>
      <w:pPr>
        <w:pStyle w:val="10"/>
        <w:spacing w:line="360" w:lineRule="auto"/>
        <w:ind w:left="584" w:leftChars="278" w:firstLine="120" w:firstLineChars="5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附件4：不诚信行为的情形及相应被暂停参与投标活动的处理标准</w:t>
      </w:r>
    </w:p>
    <w:p>
      <w:pPr>
        <w:pStyle w:val="10"/>
        <w:spacing w:line="360" w:lineRule="auto"/>
        <w:ind w:left="584" w:leftChars="278" w:firstLine="120" w:firstLineChars="50"/>
        <w:rPr>
          <w:rFonts w:hint="default" w:ascii="宋体" w:hAnsi="宋体" w:cs="宋体" w:eastAsiaTheme="minorEastAsia"/>
          <w:color w:val="000000"/>
          <w:sz w:val="24"/>
          <w:szCs w:val="24"/>
          <w:lang w:val="en-US" w:eastAsia="zh-CN"/>
        </w:rPr>
      </w:pPr>
    </w:p>
    <w:p>
      <w:pPr>
        <w:pStyle w:val="10"/>
        <w:spacing w:line="360" w:lineRule="auto"/>
        <w:ind w:left="465" w:leftChars="50" w:hanging="360" w:hangingChars="150"/>
        <w:rPr>
          <w:rFonts w:ascii="宋体" w:hAnsi="宋体" w:cs="宋体"/>
          <w:color w:val="000000"/>
          <w:sz w:val="24"/>
          <w:szCs w:val="24"/>
        </w:rPr>
      </w:pPr>
      <w:r>
        <w:rPr>
          <w:rFonts w:hint="eastAsia" w:ascii="宋体" w:hAnsi="宋体" w:cs="宋体"/>
          <w:color w:val="000000"/>
          <w:sz w:val="24"/>
          <w:szCs w:val="24"/>
        </w:rPr>
        <w:t>（以下无正文）</w:t>
      </w:r>
    </w:p>
    <w:tbl>
      <w:tblPr>
        <w:tblStyle w:val="20"/>
        <w:tblpPr w:leftFromText="180" w:rightFromText="180" w:vertAnchor="text" w:horzAnchor="page" w:tblpX="1656" w:tblpY="461"/>
        <w:tblOverlap w:val="never"/>
        <w:tblW w:w="8426" w:type="dxa"/>
        <w:jc w:val="center"/>
        <w:tblLayout w:type="fixed"/>
        <w:tblCellMar>
          <w:top w:w="0" w:type="dxa"/>
          <w:left w:w="28" w:type="dxa"/>
          <w:bottom w:w="0" w:type="dxa"/>
          <w:right w:w="28" w:type="dxa"/>
        </w:tblCellMar>
      </w:tblPr>
      <w:tblGrid>
        <w:gridCol w:w="3857"/>
        <w:gridCol w:w="562"/>
        <w:gridCol w:w="4007"/>
      </w:tblGrid>
      <w:tr>
        <w:tblPrEx>
          <w:tblCellMar>
            <w:top w:w="0" w:type="dxa"/>
            <w:left w:w="28" w:type="dxa"/>
            <w:bottom w:w="0" w:type="dxa"/>
            <w:right w:w="28" w:type="dxa"/>
          </w:tblCellMar>
        </w:tblPrEx>
        <w:trPr>
          <w:trHeight w:val="446" w:hRule="atLeast"/>
          <w:jc w:val="center"/>
        </w:trPr>
        <w:tc>
          <w:tcPr>
            <w:tcW w:w="3857" w:type="dxa"/>
            <w:vAlign w:val="center"/>
          </w:tcPr>
          <w:p>
            <w:pPr>
              <w:rPr>
                <w:rFonts w:ascii="宋体" w:hAnsi="宋体" w:cs="宋体"/>
                <w:sz w:val="24"/>
                <w:szCs w:val="24"/>
              </w:rPr>
            </w:pPr>
            <w:r>
              <w:rPr>
                <w:rFonts w:hint="eastAsia" w:ascii="宋体" w:hAnsi="宋体" w:cs="宋体"/>
                <w:color w:val="000000"/>
                <w:sz w:val="24"/>
                <w:szCs w:val="24"/>
              </w:rPr>
              <w:t>甲方：广州市净水有限公司</w:t>
            </w:r>
          </w:p>
        </w:tc>
        <w:tc>
          <w:tcPr>
            <w:tcW w:w="562" w:type="dxa"/>
            <w:vAlign w:val="center"/>
          </w:tcPr>
          <w:p>
            <w:pPr>
              <w:spacing w:line="360" w:lineRule="auto"/>
              <w:rPr>
                <w:rFonts w:ascii="宋体" w:hAnsi="宋体" w:cs="宋体"/>
                <w:color w:val="000000"/>
                <w:sz w:val="24"/>
                <w:szCs w:val="24"/>
              </w:rPr>
            </w:pPr>
          </w:p>
        </w:tc>
        <w:tc>
          <w:tcPr>
            <w:tcW w:w="4007" w:type="dxa"/>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乙方：</w:t>
            </w:r>
          </w:p>
        </w:tc>
      </w:tr>
      <w:tr>
        <w:tblPrEx>
          <w:tblCellMar>
            <w:top w:w="0" w:type="dxa"/>
            <w:left w:w="28" w:type="dxa"/>
            <w:bottom w:w="0" w:type="dxa"/>
            <w:right w:w="28" w:type="dxa"/>
          </w:tblCellMar>
        </w:tblPrEx>
        <w:trPr>
          <w:jc w:val="center"/>
        </w:trPr>
        <w:tc>
          <w:tcPr>
            <w:tcW w:w="3857" w:type="dxa"/>
          </w:tcPr>
          <w:p>
            <w:pPr>
              <w:spacing w:line="360" w:lineRule="auto"/>
              <w:rPr>
                <w:rFonts w:ascii="宋体" w:hAnsi="宋体" w:cs="宋体"/>
                <w:color w:val="000000"/>
                <w:sz w:val="24"/>
                <w:szCs w:val="24"/>
              </w:rPr>
            </w:pPr>
            <w:r>
              <w:rPr>
                <w:rFonts w:hint="eastAsia" w:ascii="宋体" w:hAnsi="宋体" w:cs="宋体"/>
                <w:color w:val="000000"/>
                <w:sz w:val="24"/>
                <w:szCs w:val="24"/>
              </w:rPr>
              <w:t>(盖章)</w:t>
            </w:r>
          </w:p>
          <w:p>
            <w:pPr>
              <w:spacing w:line="360" w:lineRule="auto"/>
              <w:rPr>
                <w:rFonts w:ascii="宋体" w:hAnsi="宋体" w:cs="宋体"/>
                <w:color w:val="000000"/>
                <w:sz w:val="24"/>
                <w:szCs w:val="24"/>
              </w:rPr>
            </w:pPr>
          </w:p>
        </w:tc>
        <w:tc>
          <w:tcPr>
            <w:tcW w:w="562" w:type="dxa"/>
          </w:tcPr>
          <w:p>
            <w:pPr>
              <w:spacing w:line="360" w:lineRule="auto"/>
              <w:rPr>
                <w:rFonts w:ascii="宋体" w:hAnsi="宋体" w:cs="宋体"/>
                <w:color w:val="000000"/>
                <w:sz w:val="24"/>
                <w:szCs w:val="24"/>
              </w:rPr>
            </w:pPr>
          </w:p>
        </w:tc>
        <w:tc>
          <w:tcPr>
            <w:tcW w:w="4007" w:type="dxa"/>
          </w:tcPr>
          <w:p>
            <w:pPr>
              <w:spacing w:line="360" w:lineRule="auto"/>
              <w:rPr>
                <w:rFonts w:ascii="宋体" w:hAnsi="宋体" w:cs="宋体"/>
                <w:color w:val="000000"/>
                <w:sz w:val="24"/>
                <w:szCs w:val="24"/>
              </w:rPr>
            </w:pPr>
            <w:r>
              <w:rPr>
                <w:rFonts w:hint="eastAsia" w:ascii="宋体" w:hAnsi="宋体" w:cs="宋体"/>
                <w:color w:val="000000"/>
                <w:sz w:val="24"/>
                <w:szCs w:val="24"/>
              </w:rPr>
              <w:t>(盖章)</w:t>
            </w:r>
          </w:p>
        </w:tc>
      </w:tr>
      <w:tr>
        <w:tblPrEx>
          <w:tblCellMar>
            <w:top w:w="0" w:type="dxa"/>
            <w:left w:w="28" w:type="dxa"/>
            <w:bottom w:w="0" w:type="dxa"/>
            <w:right w:w="28" w:type="dxa"/>
          </w:tblCellMar>
        </w:tblPrEx>
        <w:trPr>
          <w:jc w:val="center"/>
        </w:trPr>
        <w:tc>
          <w:tcPr>
            <w:tcW w:w="3857" w:type="dxa"/>
          </w:tcPr>
          <w:p>
            <w:pPr>
              <w:spacing w:line="360" w:lineRule="auto"/>
              <w:rPr>
                <w:rFonts w:ascii="宋体" w:hAnsi="宋体" w:cs="宋体"/>
                <w:color w:val="000000"/>
                <w:sz w:val="24"/>
                <w:szCs w:val="24"/>
              </w:rPr>
            </w:pPr>
            <w:r>
              <w:rPr>
                <w:rFonts w:hint="eastAsia" w:ascii="宋体" w:hAnsi="宋体" w:cs="宋体"/>
                <w:color w:val="000000"/>
                <w:sz w:val="24"/>
                <w:szCs w:val="24"/>
              </w:rPr>
              <w:t>法定代表人/授权代理人：</w:t>
            </w:r>
          </w:p>
          <w:p>
            <w:pPr>
              <w:spacing w:line="360" w:lineRule="auto"/>
              <w:rPr>
                <w:rFonts w:ascii="宋体" w:hAnsi="宋体" w:cs="宋体"/>
                <w:color w:val="000000"/>
                <w:sz w:val="24"/>
                <w:szCs w:val="24"/>
              </w:rPr>
            </w:pPr>
          </w:p>
        </w:tc>
        <w:tc>
          <w:tcPr>
            <w:tcW w:w="562" w:type="dxa"/>
          </w:tcPr>
          <w:p>
            <w:pPr>
              <w:spacing w:line="360" w:lineRule="auto"/>
              <w:rPr>
                <w:rFonts w:ascii="宋体" w:hAnsi="宋体" w:cs="宋体"/>
                <w:sz w:val="24"/>
                <w:szCs w:val="24"/>
              </w:rPr>
            </w:pPr>
          </w:p>
        </w:tc>
        <w:tc>
          <w:tcPr>
            <w:tcW w:w="4007" w:type="dxa"/>
          </w:tcPr>
          <w:p>
            <w:pPr>
              <w:spacing w:line="360" w:lineRule="auto"/>
              <w:rPr>
                <w:rFonts w:ascii="宋体" w:hAnsi="宋体" w:cs="宋体"/>
                <w:color w:val="000000"/>
                <w:sz w:val="24"/>
                <w:szCs w:val="24"/>
              </w:rPr>
            </w:pPr>
            <w:r>
              <w:rPr>
                <w:rFonts w:hint="eastAsia" w:ascii="宋体" w:hAnsi="宋体" w:cs="宋体"/>
                <w:color w:val="000000"/>
                <w:sz w:val="24"/>
                <w:szCs w:val="24"/>
              </w:rPr>
              <w:t>法定代表人/授权代理人：</w:t>
            </w:r>
          </w:p>
        </w:tc>
      </w:tr>
      <w:tr>
        <w:tblPrEx>
          <w:tblCellMar>
            <w:top w:w="0" w:type="dxa"/>
            <w:left w:w="28" w:type="dxa"/>
            <w:bottom w:w="0" w:type="dxa"/>
            <w:right w:w="28" w:type="dxa"/>
          </w:tblCellMar>
        </w:tblPrEx>
        <w:trPr>
          <w:jc w:val="center"/>
        </w:trPr>
        <w:tc>
          <w:tcPr>
            <w:tcW w:w="3857" w:type="dxa"/>
            <w:vAlign w:val="center"/>
          </w:tcPr>
          <w:p>
            <w:pPr>
              <w:spacing w:line="360" w:lineRule="auto"/>
              <w:rPr>
                <w:rFonts w:ascii="宋体" w:hAnsi="宋体" w:cs="宋体"/>
                <w:sz w:val="24"/>
                <w:szCs w:val="24"/>
              </w:rPr>
            </w:pPr>
            <w:r>
              <w:rPr>
                <w:rFonts w:hint="eastAsia" w:ascii="宋体" w:hAnsi="宋体" w:cs="宋体"/>
                <w:color w:val="000000"/>
                <w:sz w:val="24"/>
                <w:szCs w:val="24"/>
              </w:rPr>
              <w:t>联系人：</w:t>
            </w:r>
          </w:p>
        </w:tc>
        <w:tc>
          <w:tcPr>
            <w:tcW w:w="562" w:type="dxa"/>
            <w:vAlign w:val="center"/>
          </w:tcPr>
          <w:p>
            <w:pPr>
              <w:spacing w:line="360" w:lineRule="auto"/>
              <w:rPr>
                <w:rFonts w:ascii="宋体" w:hAnsi="宋体" w:cs="宋体"/>
                <w:sz w:val="24"/>
                <w:szCs w:val="24"/>
              </w:rPr>
            </w:pPr>
          </w:p>
        </w:tc>
        <w:tc>
          <w:tcPr>
            <w:tcW w:w="4007" w:type="dxa"/>
            <w:vAlign w:val="center"/>
          </w:tcPr>
          <w:p>
            <w:pPr>
              <w:spacing w:line="360" w:lineRule="auto"/>
              <w:ind w:right="-19" w:rightChars="-9"/>
              <w:rPr>
                <w:rFonts w:ascii="宋体" w:hAnsi="宋体" w:cs="宋体"/>
                <w:color w:val="000000"/>
                <w:sz w:val="24"/>
                <w:szCs w:val="24"/>
              </w:rPr>
            </w:pPr>
            <w:r>
              <w:rPr>
                <w:rFonts w:hint="eastAsia" w:ascii="宋体" w:hAnsi="宋体" w:cs="宋体"/>
                <w:color w:val="000000"/>
                <w:sz w:val="24"/>
                <w:szCs w:val="24"/>
              </w:rPr>
              <w:t>联系人：</w:t>
            </w:r>
          </w:p>
        </w:tc>
      </w:tr>
      <w:tr>
        <w:tblPrEx>
          <w:tblCellMar>
            <w:top w:w="0" w:type="dxa"/>
            <w:left w:w="28" w:type="dxa"/>
            <w:bottom w:w="0" w:type="dxa"/>
            <w:right w:w="28" w:type="dxa"/>
          </w:tblCellMar>
        </w:tblPrEx>
        <w:trPr>
          <w:jc w:val="center"/>
        </w:trPr>
        <w:tc>
          <w:tcPr>
            <w:tcW w:w="3857" w:type="dxa"/>
          </w:tcPr>
          <w:p>
            <w:pPr>
              <w:spacing w:line="360" w:lineRule="auto"/>
              <w:rPr>
                <w:rFonts w:ascii="宋体" w:hAnsi="宋体" w:cs="宋体"/>
                <w:sz w:val="24"/>
                <w:szCs w:val="24"/>
              </w:rPr>
            </w:pPr>
            <w:r>
              <w:rPr>
                <w:rFonts w:hint="eastAsia" w:ascii="宋体" w:hAnsi="宋体" w:cs="宋体"/>
                <w:color w:val="000000"/>
                <w:sz w:val="24"/>
                <w:szCs w:val="24"/>
              </w:rPr>
              <w:t>地址：广州市天河区临江大道501号</w:t>
            </w:r>
          </w:p>
        </w:tc>
        <w:tc>
          <w:tcPr>
            <w:tcW w:w="562" w:type="dxa"/>
          </w:tcPr>
          <w:p>
            <w:pPr>
              <w:spacing w:line="360" w:lineRule="auto"/>
              <w:rPr>
                <w:rFonts w:ascii="宋体" w:hAnsi="宋体" w:cs="宋体"/>
                <w:sz w:val="24"/>
                <w:szCs w:val="24"/>
              </w:rPr>
            </w:pPr>
          </w:p>
        </w:tc>
        <w:tc>
          <w:tcPr>
            <w:tcW w:w="4007" w:type="dxa"/>
          </w:tcPr>
          <w:p>
            <w:pPr>
              <w:spacing w:line="360" w:lineRule="auto"/>
              <w:rPr>
                <w:rFonts w:ascii="宋体" w:hAnsi="宋体" w:cs="宋体"/>
                <w:color w:val="000000"/>
                <w:sz w:val="24"/>
                <w:szCs w:val="24"/>
              </w:rPr>
            </w:pPr>
            <w:r>
              <w:rPr>
                <w:rFonts w:hint="eastAsia" w:ascii="宋体" w:hAnsi="宋体" w:cs="宋体"/>
                <w:color w:val="000000"/>
                <w:sz w:val="24"/>
                <w:szCs w:val="24"/>
              </w:rPr>
              <w:t>地址：</w:t>
            </w:r>
          </w:p>
        </w:tc>
      </w:tr>
      <w:tr>
        <w:tblPrEx>
          <w:tblCellMar>
            <w:top w:w="0" w:type="dxa"/>
            <w:left w:w="28" w:type="dxa"/>
            <w:bottom w:w="0" w:type="dxa"/>
            <w:right w:w="28" w:type="dxa"/>
          </w:tblCellMar>
        </w:tblPrEx>
        <w:trPr>
          <w:jc w:val="center"/>
        </w:trPr>
        <w:tc>
          <w:tcPr>
            <w:tcW w:w="3857" w:type="dxa"/>
            <w:vAlign w:val="center"/>
          </w:tcPr>
          <w:p>
            <w:pPr>
              <w:tabs>
                <w:tab w:val="right" w:pos="4098"/>
              </w:tabs>
              <w:spacing w:line="360" w:lineRule="auto"/>
              <w:rPr>
                <w:rFonts w:ascii="宋体" w:hAnsi="宋体" w:cs="宋体"/>
                <w:sz w:val="24"/>
                <w:szCs w:val="24"/>
              </w:rPr>
            </w:pPr>
            <w:r>
              <w:rPr>
                <w:rFonts w:hint="eastAsia" w:ascii="宋体" w:hAnsi="宋体" w:cs="宋体"/>
                <w:color w:val="000000"/>
                <w:sz w:val="24"/>
                <w:szCs w:val="24"/>
              </w:rPr>
              <w:t>邮政编码：510655</w:t>
            </w:r>
            <w:r>
              <w:rPr>
                <w:rFonts w:hint="eastAsia" w:ascii="宋体" w:hAnsi="宋体" w:cs="宋体"/>
                <w:sz w:val="24"/>
                <w:szCs w:val="24"/>
              </w:rPr>
              <w:tab/>
            </w:r>
          </w:p>
        </w:tc>
        <w:tc>
          <w:tcPr>
            <w:tcW w:w="562" w:type="dxa"/>
            <w:vAlign w:val="center"/>
          </w:tcPr>
          <w:p>
            <w:pPr>
              <w:spacing w:line="360" w:lineRule="auto"/>
              <w:rPr>
                <w:rFonts w:ascii="宋体" w:hAnsi="宋体" w:cs="宋体"/>
                <w:sz w:val="24"/>
                <w:szCs w:val="24"/>
              </w:rPr>
            </w:pPr>
          </w:p>
        </w:tc>
        <w:tc>
          <w:tcPr>
            <w:tcW w:w="4007" w:type="dxa"/>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邮政编码：</w:t>
            </w:r>
          </w:p>
        </w:tc>
      </w:tr>
      <w:tr>
        <w:tblPrEx>
          <w:tblCellMar>
            <w:top w:w="0" w:type="dxa"/>
            <w:left w:w="28" w:type="dxa"/>
            <w:bottom w:w="0" w:type="dxa"/>
            <w:right w:w="28" w:type="dxa"/>
          </w:tblCellMar>
        </w:tblPrEx>
        <w:trPr>
          <w:trHeight w:val="453" w:hRule="atLeast"/>
          <w:jc w:val="center"/>
        </w:trPr>
        <w:tc>
          <w:tcPr>
            <w:tcW w:w="3857" w:type="dxa"/>
            <w:vAlign w:val="center"/>
          </w:tcPr>
          <w:p>
            <w:pPr>
              <w:spacing w:line="360" w:lineRule="auto"/>
              <w:rPr>
                <w:rFonts w:ascii="宋体" w:hAnsi="宋体" w:cs="宋体"/>
                <w:sz w:val="24"/>
                <w:szCs w:val="24"/>
              </w:rPr>
            </w:pPr>
            <w:r>
              <w:rPr>
                <w:rFonts w:hint="eastAsia" w:ascii="宋体" w:hAnsi="宋体" w:cs="宋体"/>
                <w:color w:val="000000"/>
                <w:sz w:val="24"/>
                <w:szCs w:val="24"/>
              </w:rPr>
              <w:t>电话：</w:t>
            </w:r>
          </w:p>
        </w:tc>
        <w:tc>
          <w:tcPr>
            <w:tcW w:w="562" w:type="dxa"/>
            <w:vAlign w:val="center"/>
          </w:tcPr>
          <w:p>
            <w:pPr>
              <w:spacing w:line="360" w:lineRule="auto"/>
              <w:rPr>
                <w:rFonts w:ascii="宋体" w:hAnsi="宋体" w:cs="宋体"/>
                <w:sz w:val="24"/>
                <w:szCs w:val="24"/>
              </w:rPr>
            </w:pPr>
          </w:p>
        </w:tc>
        <w:tc>
          <w:tcPr>
            <w:tcW w:w="4007" w:type="dxa"/>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电话：</w:t>
            </w:r>
          </w:p>
        </w:tc>
      </w:tr>
      <w:tr>
        <w:tblPrEx>
          <w:tblCellMar>
            <w:top w:w="0" w:type="dxa"/>
            <w:left w:w="28" w:type="dxa"/>
            <w:bottom w:w="0" w:type="dxa"/>
            <w:right w:w="28" w:type="dxa"/>
          </w:tblCellMar>
        </w:tblPrEx>
        <w:trPr>
          <w:jc w:val="center"/>
        </w:trPr>
        <w:tc>
          <w:tcPr>
            <w:tcW w:w="3857" w:type="dxa"/>
            <w:vAlign w:val="center"/>
          </w:tcPr>
          <w:p>
            <w:pPr>
              <w:spacing w:line="360" w:lineRule="auto"/>
              <w:rPr>
                <w:rFonts w:ascii="宋体" w:hAnsi="宋体" w:cs="宋体"/>
                <w:sz w:val="24"/>
                <w:szCs w:val="24"/>
              </w:rPr>
            </w:pPr>
            <w:r>
              <w:rPr>
                <w:rFonts w:hint="eastAsia" w:ascii="宋体" w:hAnsi="宋体" w:cs="宋体"/>
                <w:color w:val="000000"/>
                <w:sz w:val="24"/>
                <w:szCs w:val="24"/>
              </w:rPr>
              <w:t>传真：</w:t>
            </w:r>
          </w:p>
        </w:tc>
        <w:tc>
          <w:tcPr>
            <w:tcW w:w="562" w:type="dxa"/>
            <w:vAlign w:val="center"/>
          </w:tcPr>
          <w:p>
            <w:pPr>
              <w:spacing w:line="360" w:lineRule="auto"/>
              <w:rPr>
                <w:rFonts w:ascii="宋体" w:hAnsi="宋体" w:cs="宋体"/>
                <w:sz w:val="24"/>
                <w:szCs w:val="24"/>
              </w:rPr>
            </w:pPr>
          </w:p>
        </w:tc>
        <w:tc>
          <w:tcPr>
            <w:tcW w:w="4007" w:type="dxa"/>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传真：</w:t>
            </w:r>
          </w:p>
        </w:tc>
      </w:tr>
      <w:tr>
        <w:tblPrEx>
          <w:tblCellMar>
            <w:top w:w="0" w:type="dxa"/>
            <w:left w:w="28" w:type="dxa"/>
            <w:bottom w:w="0" w:type="dxa"/>
            <w:right w:w="28" w:type="dxa"/>
          </w:tblCellMar>
        </w:tblPrEx>
        <w:trPr>
          <w:jc w:val="center"/>
        </w:trPr>
        <w:tc>
          <w:tcPr>
            <w:tcW w:w="3857" w:type="dxa"/>
            <w:vAlign w:val="center"/>
          </w:tcPr>
          <w:p>
            <w:pPr>
              <w:spacing w:line="360" w:lineRule="auto"/>
              <w:rPr>
                <w:rFonts w:ascii="宋体" w:hAnsi="宋体" w:cs="宋体"/>
                <w:color w:val="000000"/>
                <w:sz w:val="24"/>
                <w:szCs w:val="24"/>
              </w:rPr>
            </w:pPr>
          </w:p>
        </w:tc>
        <w:tc>
          <w:tcPr>
            <w:tcW w:w="562" w:type="dxa"/>
            <w:vAlign w:val="center"/>
          </w:tcPr>
          <w:p>
            <w:pPr>
              <w:spacing w:line="360" w:lineRule="auto"/>
              <w:rPr>
                <w:rFonts w:ascii="宋体" w:hAnsi="宋体" w:cs="宋体"/>
                <w:sz w:val="24"/>
                <w:szCs w:val="24"/>
              </w:rPr>
            </w:pPr>
          </w:p>
        </w:tc>
        <w:tc>
          <w:tcPr>
            <w:tcW w:w="4007" w:type="dxa"/>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银行帐户：</w:t>
            </w:r>
          </w:p>
        </w:tc>
      </w:tr>
      <w:tr>
        <w:tblPrEx>
          <w:tblCellMar>
            <w:top w:w="0" w:type="dxa"/>
            <w:left w:w="28" w:type="dxa"/>
            <w:bottom w:w="0" w:type="dxa"/>
            <w:right w:w="28" w:type="dxa"/>
          </w:tblCellMar>
        </w:tblPrEx>
        <w:trPr>
          <w:jc w:val="center"/>
        </w:trPr>
        <w:tc>
          <w:tcPr>
            <w:tcW w:w="3857" w:type="dxa"/>
            <w:vAlign w:val="center"/>
          </w:tcPr>
          <w:p>
            <w:pPr>
              <w:spacing w:line="360" w:lineRule="auto"/>
              <w:rPr>
                <w:rFonts w:ascii="宋体" w:hAnsi="宋体" w:cs="宋体"/>
                <w:color w:val="000000"/>
                <w:sz w:val="24"/>
                <w:szCs w:val="24"/>
              </w:rPr>
            </w:pPr>
          </w:p>
        </w:tc>
        <w:tc>
          <w:tcPr>
            <w:tcW w:w="562" w:type="dxa"/>
            <w:vAlign w:val="center"/>
          </w:tcPr>
          <w:p>
            <w:pPr>
              <w:spacing w:line="360" w:lineRule="auto"/>
              <w:rPr>
                <w:rFonts w:ascii="宋体" w:hAnsi="宋体" w:cs="宋体"/>
                <w:sz w:val="24"/>
                <w:szCs w:val="24"/>
              </w:rPr>
            </w:pPr>
          </w:p>
        </w:tc>
        <w:tc>
          <w:tcPr>
            <w:tcW w:w="4007" w:type="dxa"/>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银行帐号：</w:t>
            </w:r>
          </w:p>
        </w:tc>
      </w:tr>
      <w:tr>
        <w:tblPrEx>
          <w:tblCellMar>
            <w:top w:w="0" w:type="dxa"/>
            <w:left w:w="28" w:type="dxa"/>
            <w:bottom w:w="0" w:type="dxa"/>
            <w:right w:w="28" w:type="dxa"/>
          </w:tblCellMar>
        </w:tblPrEx>
        <w:trPr>
          <w:trHeight w:val="416" w:hRule="atLeast"/>
          <w:jc w:val="center"/>
        </w:trPr>
        <w:tc>
          <w:tcPr>
            <w:tcW w:w="3857" w:type="dxa"/>
            <w:vAlign w:val="center"/>
          </w:tcPr>
          <w:p>
            <w:pPr>
              <w:rPr>
                <w:rFonts w:ascii="宋体" w:hAnsi="宋体" w:cs="宋体"/>
                <w:sz w:val="24"/>
                <w:szCs w:val="24"/>
              </w:rPr>
            </w:pPr>
            <w:r>
              <w:rPr>
                <w:rFonts w:hint="eastAsia" w:ascii="宋体" w:hAnsi="宋体" w:cs="宋体"/>
                <w:sz w:val="24"/>
                <w:szCs w:val="24"/>
              </w:rPr>
              <w:t>签约日期：2021年月日</w:t>
            </w:r>
          </w:p>
        </w:tc>
        <w:tc>
          <w:tcPr>
            <w:tcW w:w="562" w:type="dxa"/>
            <w:vAlign w:val="center"/>
          </w:tcPr>
          <w:p>
            <w:pPr>
              <w:rPr>
                <w:rFonts w:ascii="宋体" w:hAnsi="宋体" w:cs="宋体"/>
                <w:sz w:val="24"/>
                <w:szCs w:val="24"/>
              </w:rPr>
            </w:pPr>
          </w:p>
        </w:tc>
        <w:tc>
          <w:tcPr>
            <w:tcW w:w="4007" w:type="dxa"/>
            <w:vAlign w:val="center"/>
          </w:tcPr>
          <w:p>
            <w:pPr>
              <w:rPr>
                <w:rFonts w:ascii="宋体" w:hAnsi="宋体" w:cs="宋体"/>
                <w:sz w:val="24"/>
                <w:szCs w:val="24"/>
              </w:rPr>
            </w:pPr>
            <w:r>
              <w:rPr>
                <w:rFonts w:hint="eastAsia" w:ascii="宋体" w:hAnsi="宋体" w:cs="宋体"/>
                <w:sz w:val="24"/>
                <w:szCs w:val="24"/>
              </w:rPr>
              <w:t>签约日期：2021年月日</w:t>
            </w:r>
          </w:p>
        </w:tc>
      </w:tr>
    </w:tbl>
    <w:p>
      <w:pPr>
        <w:pStyle w:val="10"/>
        <w:spacing w:line="360" w:lineRule="auto"/>
        <w:ind w:left="465" w:leftChars="50" w:hanging="360" w:hangingChars="150"/>
        <w:rPr>
          <w:rFonts w:ascii="宋体" w:hAnsi="宋体" w:cs="宋体"/>
          <w:color w:val="000000"/>
          <w:sz w:val="24"/>
          <w:szCs w:val="24"/>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ascii="宋体" w:hAnsi="宋体" w:cs="宋体"/>
          <w:b/>
          <w:bCs/>
          <w:szCs w:val="21"/>
        </w:rPr>
      </w:pPr>
      <w:r>
        <w:rPr>
          <w:rFonts w:hint="eastAsia" w:ascii="宋体" w:hAnsi="宋体" w:cs="宋体"/>
          <w:b/>
          <w:bCs/>
          <w:szCs w:val="21"/>
        </w:rPr>
        <w:t>附件1  发包通知书</w:t>
      </w:r>
    </w:p>
    <w:p>
      <w:pPr>
        <w:spacing w:line="360" w:lineRule="auto"/>
        <w:rPr>
          <w:rFonts w:ascii="宋体" w:hAnsi="宋体" w:cs="宋体"/>
          <w:b/>
          <w:bCs/>
          <w:szCs w:val="21"/>
        </w:rPr>
      </w:pPr>
      <w:r>
        <w:rPr>
          <w:rFonts w:hint="eastAsia" w:ascii="宋体" w:hAnsi="宋体" w:cs="宋体"/>
          <w:b/>
          <w:bCs/>
          <w:szCs w:val="21"/>
        </w:rPr>
        <w:t>附件2廉洁协议</w:t>
      </w:r>
    </w:p>
    <w:p>
      <w:pPr>
        <w:pStyle w:val="2"/>
      </w:pPr>
    </w:p>
    <w:p>
      <w:pPr>
        <w:keepNext w:val="0"/>
        <w:keepLines w:val="0"/>
        <w:pageBreakBefore w:val="0"/>
        <w:kinsoku/>
        <w:wordWrap/>
        <w:overflowPunct/>
        <w:topLinePunct w:val="0"/>
        <w:autoSpaceDE/>
        <w:autoSpaceDN/>
        <w:bidi w:val="0"/>
        <w:adjustRightInd/>
        <w:snapToGrid/>
        <w:spacing w:line="560" w:lineRule="exact"/>
        <w:ind w:firstLine="4337" w:firstLineChars="1800"/>
        <w:jc w:val="left"/>
        <w:textAlignment w:val="auto"/>
        <w:rPr>
          <w:rFonts w:hint="eastAsia" w:asciiTheme="minorEastAsia" w:hAnsiTheme="minorEastAsia" w:eastAsiaTheme="minorEastAsia" w:cstheme="minorEastAsia"/>
          <w:b w:val="0"/>
          <w:bCs/>
          <w:color w:val="auto"/>
          <w:sz w:val="24"/>
          <w:szCs w:val="24"/>
          <w:highlight w:val="none"/>
        </w:rPr>
      </w:pPr>
      <w:bookmarkStart w:id="11" w:name="_Toc389815339"/>
      <w:bookmarkStart w:id="12" w:name="_Toc389815031"/>
      <w:bookmarkStart w:id="13" w:name="_Toc387080836"/>
      <w:r>
        <w:rPr>
          <w:rFonts w:hint="eastAsia" w:asciiTheme="minorEastAsia" w:hAnsiTheme="minorEastAsia" w:eastAsiaTheme="minorEastAsia" w:cstheme="minorEastAsia"/>
          <w:b/>
          <w:bCs w:val="0"/>
          <w:color w:val="auto"/>
          <w:sz w:val="24"/>
          <w:szCs w:val="24"/>
          <w:highlight w:val="none"/>
        </w:rPr>
        <w:t>廉洁协议</w:t>
      </w:r>
    </w:p>
    <w:p>
      <w:pPr>
        <w:keepNext w:val="0"/>
        <w:keepLines w:val="0"/>
        <w:pageBreakBefore w:val="0"/>
        <w:kinsoku/>
        <w:wordWrap/>
        <w:overflowPunct/>
        <w:topLinePunct w:val="0"/>
        <w:autoSpaceDE/>
        <w:autoSpaceDN/>
        <w:bidi w:val="0"/>
        <w:adjustRightInd/>
        <w:snapToGrid/>
        <w:spacing w:line="560" w:lineRule="exact"/>
        <w:ind w:firstLine="540" w:firstLineChars="225"/>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为促进双方诚信经营、廉洁从业，防范商业贿赂，保护国家、集体和当事人的合法权益，根据国家有关法律法规和广东省、广州市廉政建设的规定，</w:t>
      </w:r>
      <w:r>
        <w:rPr>
          <w:rFonts w:hint="eastAsia" w:asciiTheme="minorEastAsia" w:hAnsiTheme="minorEastAsia" w:eastAsiaTheme="minorEastAsia" w:cstheme="minorEastAsia"/>
          <w:b w:val="0"/>
          <w:bCs/>
          <w:color w:val="auto"/>
          <w:sz w:val="24"/>
          <w:szCs w:val="24"/>
          <w:highlight w:val="none"/>
          <w:u w:val="single"/>
        </w:rPr>
        <w:t>广州市净水有限公司</w:t>
      </w:r>
      <w:r>
        <w:rPr>
          <w:rFonts w:hint="eastAsia" w:asciiTheme="minorEastAsia" w:hAnsiTheme="minorEastAsia" w:eastAsiaTheme="minorEastAsia" w:cstheme="minorEastAsia"/>
          <w:b w:val="0"/>
          <w:bCs/>
          <w:color w:val="auto"/>
          <w:sz w:val="24"/>
          <w:szCs w:val="24"/>
          <w:highlight w:val="none"/>
        </w:rPr>
        <w:t>(以下称甲方)与(以下称乙方)，特此订立本协议共同遵照执行。</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第一条 甲乙双方的权利和义务</w:t>
      </w:r>
    </w:p>
    <w:p>
      <w:pPr>
        <w:keepNext w:val="0"/>
        <w:keepLines w:val="0"/>
        <w:pageBreakBefore w:val="0"/>
        <w:kinsoku/>
        <w:wordWrap/>
        <w:overflowPunct/>
        <w:topLinePunct w:val="0"/>
        <w:autoSpaceDE/>
        <w:autoSpaceDN/>
        <w:bidi w:val="0"/>
        <w:adjustRightInd/>
        <w:snapToGrid/>
        <w:spacing w:line="560" w:lineRule="exact"/>
        <w:ind w:firstLine="360" w:firstLineChars="15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（一）甲乙双方严格遵守国家关于市场准入、项目招标投标、市场经营活动等有关法律、法规相关政策及廉政建设的各项规定。</w:t>
      </w:r>
    </w:p>
    <w:p>
      <w:pPr>
        <w:keepNext w:val="0"/>
        <w:keepLines w:val="0"/>
        <w:pageBreakBefore w:val="0"/>
        <w:kinsoku/>
        <w:wordWrap/>
        <w:overflowPunct/>
        <w:topLinePunct w:val="0"/>
        <w:autoSpaceDE/>
        <w:autoSpaceDN/>
        <w:bidi w:val="0"/>
        <w:adjustRightInd/>
        <w:snapToGrid/>
        <w:spacing w:line="560" w:lineRule="exact"/>
        <w:ind w:firstLine="360" w:firstLineChars="15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（二）严格执行</w:t>
      </w:r>
      <w:r>
        <w:rPr>
          <w:rFonts w:hint="eastAsia" w:asciiTheme="minorEastAsia" w:hAnsiTheme="minorEastAsia" w:eastAsiaTheme="minorEastAsia" w:cstheme="minorEastAsia"/>
          <w:b w:val="0"/>
          <w:bCs/>
          <w:color w:val="auto"/>
          <w:sz w:val="24"/>
          <w:szCs w:val="24"/>
          <w:highlight w:val="none"/>
          <w:u w:val="single"/>
        </w:rPr>
        <w:t xml:space="preserve">       </w:t>
      </w:r>
      <w:r>
        <w:rPr>
          <w:rFonts w:hint="eastAsia" w:asciiTheme="minorEastAsia" w:hAnsiTheme="minorEastAsia" w:eastAsiaTheme="minorEastAsia" w:cstheme="minorEastAsia"/>
          <w:b w:val="0"/>
          <w:bCs/>
          <w:color w:val="auto"/>
          <w:sz w:val="24"/>
          <w:szCs w:val="24"/>
          <w:highlight w:val="none"/>
        </w:rPr>
        <w:t>合同（以下简称：主合同），自觉履行合同约定的相关义务。</w:t>
      </w:r>
    </w:p>
    <w:p>
      <w:pPr>
        <w:keepNext w:val="0"/>
        <w:keepLines w:val="0"/>
        <w:pageBreakBefore w:val="0"/>
        <w:kinsoku/>
        <w:wordWrap/>
        <w:overflowPunct/>
        <w:topLinePunct w:val="0"/>
        <w:autoSpaceDE/>
        <w:autoSpaceDN/>
        <w:bidi w:val="0"/>
        <w:adjustRightInd/>
        <w:snapToGrid/>
        <w:spacing w:line="560" w:lineRule="exact"/>
        <w:ind w:firstLine="360" w:firstLineChars="15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（三）在业务活动中坚持公开、公正、诚信、透明的原则，不得损害国家、集体利益。</w:t>
      </w:r>
    </w:p>
    <w:p>
      <w:pPr>
        <w:keepNext w:val="0"/>
        <w:keepLines w:val="0"/>
        <w:pageBreakBefore w:val="0"/>
        <w:kinsoku/>
        <w:wordWrap/>
        <w:overflowPunct/>
        <w:topLinePunct w:val="0"/>
        <w:autoSpaceDE/>
        <w:autoSpaceDN/>
        <w:bidi w:val="0"/>
        <w:adjustRightInd/>
        <w:snapToGrid/>
        <w:spacing w:line="560" w:lineRule="exact"/>
        <w:ind w:firstLine="360" w:firstLineChars="15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（四）建立健全廉洁从业制度，开展廉洁教育，公布举报电话，监督并认真查处不廉洁及违法违纪行为。</w:t>
      </w:r>
    </w:p>
    <w:p>
      <w:pPr>
        <w:keepNext w:val="0"/>
        <w:keepLines w:val="0"/>
        <w:pageBreakBefore w:val="0"/>
        <w:kinsoku/>
        <w:wordWrap/>
        <w:overflowPunct/>
        <w:topLinePunct w:val="0"/>
        <w:autoSpaceDE/>
        <w:autoSpaceDN/>
        <w:bidi w:val="0"/>
        <w:adjustRightInd/>
        <w:snapToGrid/>
        <w:spacing w:line="560" w:lineRule="exact"/>
        <w:ind w:firstLine="360" w:firstLineChars="15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rPr>
        <w:t>（五）发现对方在业务活动中有不廉洁行为，应及时提醒对方纠正。情节严重的，应向其有关监督部门</w:t>
      </w:r>
      <w:r>
        <w:rPr>
          <w:rFonts w:hint="eastAsia" w:asciiTheme="minorEastAsia" w:hAnsiTheme="minorEastAsia" w:eastAsiaTheme="minorEastAsia" w:cstheme="minorEastAsia"/>
          <w:b w:val="0"/>
          <w:bCs/>
          <w:color w:val="auto"/>
          <w:sz w:val="24"/>
          <w:szCs w:val="24"/>
          <w:highlight w:val="none"/>
          <w:lang w:val="en-US" w:eastAsia="zh-CN"/>
        </w:rPr>
        <w:t>检举。</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第二条甲方的义务</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（一）甲方及其工作人员不得索要或接受乙方的礼金、有价证券和贵重物品，不得在乙方报销任何应由甲方或个人支付的费用等。</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keepNext w:val="0"/>
        <w:keepLines w:val="0"/>
        <w:pageBreakBefore w:val="0"/>
        <w:kinsoku/>
        <w:wordWrap/>
        <w:overflowPunct/>
        <w:topLinePunct w:val="0"/>
        <w:autoSpaceDE/>
        <w:autoSpaceDN/>
        <w:bidi w:val="0"/>
        <w:adjustRightInd/>
        <w:snapToGrid/>
        <w:spacing w:line="560" w:lineRule="exact"/>
        <w:ind w:left="15" w:leftChars="7"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（三）甲方及其工作人员不得要求或者接受乙方为其住房装修、婚丧嫁娶活动、配偶子女工作安排以及出国出境、旅游等提供方便等。</w:t>
      </w:r>
    </w:p>
    <w:p>
      <w:pPr>
        <w:keepNext w:val="0"/>
        <w:keepLines w:val="0"/>
        <w:pageBreakBefore w:val="0"/>
        <w:kinsoku/>
        <w:wordWrap/>
        <w:overflowPunct/>
        <w:topLinePunct w:val="0"/>
        <w:autoSpaceDE/>
        <w:autoSpaceDN/>
        <w:bidi w:val="0"/>
        <w:adjustRightInd/>
        <w:snapToGrid/>
        <w:spacing w:line="560" w:lineRule="exact"/>
        <w:ind w:left="15" w:leftChars="7"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（四）甲方工作人员不得在乙方或与乙方有股权关联的企业兼职，不得向乙方介绍家属或者亲友从事与甲方业务有关的经济活动。</w:t>
      </w:r>
    </w:p>
    <w:p>
      <w:pPr>
        <w:keepNext w:val="0"/>
        <w:keepLines w:val="0"/>
        <w:pageBreakBefore w:val="0"/>
        <w:kinsoku/>
        <w:wordWrap/>
        <w:overflowPunct/>
        <w:topLinePunct w:val="0"/>
        <w:autoSpaceDE/>
        <w:autoSpaceDN/>
        <w:bidi w:val="0"/>
        <w:adjustRightInd/>
        <w:snapToGrid/>
        <w:spacing w:line="560" w:lineRule="exact"/>
        <w:ind w:left="15" w:leftChars="7"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五）甲方工作人员不得以明显低于市场的价格向乙方购买房屋、汽车等物品；不得以明显高于市场的价格向乙方出售房屋、汽车等物品；不得使用乙方提供的与工作无关的房屋、汽车等物品；不得以其他交易形式非法收受请托人财物。</w:t>
      </w:r>
    </w:p>
    <w:p>
      <w:pPr>
        <w:keepNext w:val="0"/>
        <w:keepLines w:val="0"/>
        <w:pageBreakBefore w:val="0"/>
        <w:kinsoku/>
        <w:wordWrap/>
        <w:overflowPunct/>
        <w:topLinePunct w:val="0"/>
        <w:autoSpaceDE/>
        <w:autoSpaceDN/>
        <w:bidi w:val="0"/>
        <w:adjustRightInd/>
        <w:snapToGrid/>
        <w:spacing w:line="560" w:lineRule="exact"/>
        <w:ind w:left="15" w:leftChars="7"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（六）甲方工作人员不得利用职务之便收受乙方以回扣、手续费、加班费、咨询费、劳务费、协调费、辛苦费等各种名义给予或赠送的钱物。</w:t>
      </w:r>
    </w:p>
    <w:p>
      <w:pPr>
        <w:keepNext w:val="0"/>
        <w:keepLines w:val="0"/>
        <w:pageBreakBefore w:val="0"/>
        <w:kinsoku/>
        <w:wordWrap/>
        <w:overflowPunct/>
        <w:topLinePunct w:val="0"/>
        <w:autoSpaceDE/>
        <w:autoSpaceDN/>
        <w:bidi w:val="0"/>
        <w:adjustRightInd/>
        <w:snapToGrid/>
        <w:spacing w:line="560" w:lineRule="exact"/>
        <w:ind w:left="15" w:leftChars="7"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（七）甲方工作人员不得接受乙方给予或赠送的干股或红利。</w:t>
      </w:r>
    </w:p>
    <w:p>
      <w:pPr>
        <w:keepNext w:val="0"/>
        <w:keepLines w:val="0"/>
        <w:pageBreakBefore w:val="0"/>
        <w:kinsoku/>
        <w:wordWrap/>
        <w:overflowPunct/>
        <w:topLinePunct w:val="0"/>
        <w:autoSpaceDE/>
        <w:autoSpaceDN/>
        <w:bidi w:val="0"/>
        <w:adjustRightInd/>
        <w:snapToGrid/>
        <w:spacing w:line="560" w:lineRule="exact"/>
        <w:ind w:left="15" w:leftChars="7"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(八）不得存在其他违反廉洁规定的行为。</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第三条乙方的义务</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（一）乙方不得以任何理由向甲方及其工作人员行贿或馈赠礼金、有价证券、贵重礼品。</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（二)乙方不得以任何名义为甲方及其工作人员报销应由甲方单位或个人支付的任何费用。</w:t>
      </w:r>
    </w:p>
    <w:p>
      <w:pPr>
        <w:keepNext w:val="0"/>
        <w:keepLines w:val="0"/>
        <w:pageBreakBefore w:val="0"/>
        <w:kinsoku/>
        <w:wordWrap/>
        <w:overflowPunct/>
        <w:topLinePunct w:val="0"/>
        <w:autoSpaceDE/>
        <w:autoSpaceDN/>
        <w:bidi w:val="0"/>
        <w:adjustRightInd/>
        <w:snapToGrid/>
        <w:spacing w:line="560" w:lineRule="exact"/>
        <w:ind w:left="25" w:leftChars="12"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（三）乙方不得以任何理由安排甲方工作人员参加可能影响相关业务公开、公正、公平性的宴请及娱乐活动。</w:t>
      </w:r>
    </w:p>
    <w:p>
      <w:pPr>
        <w:pStyle w:val="10"/>
        <w:keepNext w:val="0"/>
        <w:keepLines w:val="0"/>
        <w:pageBreakBefore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（四）乙方不得为甲方单位和个人购置或提供通讯工具和高档办公用品等物品，也不得为甲方提供与工作无关的房屋、汽车等。</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（五）乙方不得擅自与甲方工作人员就</w:t>
      </w:r>
      <w:r>
        <w:rPr>
          <w:rFonts w:hint="eastAsia" w:asciiTheme="minorEastAsia" w:hAnsiTheme="minorEastAsia" w:eastAsiaTheme="minorEastAsia" w:cstheme="minorEastAsia"/>
          <w:b w:val="0"/>
          <w:bCs/>
          <w:color w:val="auto"/>
          <w:sz w:val="24"/>
          <w:szCs w:val="24"/>
          <w:highlight w:val="none"/>
          <w:lang w:val="en-US" w:eastAsia="zh-CN"/>
        </w:rPr>
        <w:t>主</w:t>
      </w:r>
      <w:r>
        <w:rPr>
          <w:rFonts w:hint="eastAsia" w:asciiTheme="minorEastAsia" w:hAnsiTheme="minorEastAsia" w:eastAsiaTheme="minorEastAsia" w:cstheme="minorEastAsia"/>
          <w:b w:val="0"/>
          <w:bCs/>
          <w:color w:val="auto"/>
          <w:sz w:val="24"/>
          <w:szCs w:val="24"/>
          <w:highlight w:val="none"/>
        </w:rPr>
        <w:t>合同中的质量、数量、价格、工程量、验收等条款进行私下商谈或者达成默契。</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（六）乙方不得以回扣、手续费、加班费、咨询费、劳务费、协调费、辛苦费等各种名义向甲方工作人员给予或赠送钱物。</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（七）乙方不得向甲方工作人员提供干股或红利。</w:t>
      </w:r>
    </w:p>
    <w:p>
      <w:pPr>
        <w:keepNext w:val="0"/>
        <w:keepLines w:val="0"/>
        <w:pageBreakBefore w:val="0"/>
        <w:kinsoku/>
        <w:wordWrap/>
        <w:overflowPunct/>
        <w:topLinePunct w:val="0"/>
        <w:autoSpaceDE/>
        <w:autoSpaceDN/>
        <w:bidi w:val="0"/>
        <w:adjustRightInd/>
        <w:snapToGrid/>
        <w:spacing w:line="560" w:lineRule="exact"/>
        <w:ind w:left="15" w:leftChars="7"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(八）不得存在其他违反廉洁规定的行为。</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第四条违约责任</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（一）甲方及其工作人员违反本协议第一、二条。甲方按管理权限，对相关责任人依据有关规定给予处理；涉嫌犯罪的，移交司法机关追究刑事责任；给乙方单位造成经济损失的，应予以赔偿。</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甲方举报投诉联系部门：广州市净水有限公司</w:t>
      </w:r>
      <w:r>
        <w:rPr>
          <w:rFonts w:hint="eastAsia" w:asciiTheme="minorEastAsia" w:hAnsiTheme="minorEastAsia" w:eastAsiaTheme="minorEastAsia" w:cstheme="minorEastAsia"/>
          <w:b w:val="0"/>
          <w:bCs/>
          <w:color w:val="auto"/>
          <w:sz w:val="24"/>
          <w:szCs w:val="24"/>
          <w:highlight w:val="none"/>
          <w:u w:val="single"/>
        </w:rPr>
        <w:t>纪检室</w:t>
      </w:r>
      <w:r>
        <w:rPr>
          <w:rFonts w:hint="eastAsia" w:asciiTheme="minorEastAsia" w:hAnsiTheme="minorEastAsia" w:eastAsiaTheme="minorEastAsia" w:cstheme="minorEastAsia"/>
          <w:b w:val="0"/>
          <w:bCs/>
          <w:color w:val="auto"/>
          <w:sz w:val="24"/>
          <w:szCs w:val="24"/>
          <w:highlight w:val="none"/>
        </w:rPr>
        <w:t>，联系电话：</w:t>
      </w:r>
      <w:r>
        <w:rPr>
          <w:rFonts w:hint="eastAsia" w:asciiTheme="minorEastAsia" w:hAnsiTheme="minorEastAsia" w:eastAsiaTheme="minorEastAsia" w:cstheme="minorEastAsia"/>
          <w:b w:val="0"/>
          <w:bCs/>
          <w:color w:val="auto"/>
          <w:sz w:val="24"/>
          <w:szCs w:val="24"/>
          <w:highlight w:val="none"/>
          <w:u w:val="single"/>
        </w:rPr>
        <w:t xml:space="preserve"> 020-38890265 </w:t>
      </w:r>
      <w:r>
        <w:rPr>
          <w:rFonts w:hint="eastAsia" w:asciiTheme="minorEastAsia" w:hAnsiTheme="minorEastAsia" w:eastAsiaTheme="minorEastAsia" w:cstheme="minorEastAsia"/>
          <w:b w:val="0"/>
          <w:bCs/>
          <w:color w:val="auto"/>
          <w:sz w:val="24"/>
          <w:szCs w:val="24"/>
          <w:highlight w:val="none"/>
        </w:rPr>
        <w:t>。</w:t>
      </w:r>
    </w:p>
    <w:p>
      <w:pPr>
        <w:pStyle w:val="16"/>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Theme="minorEastAsia" w:hAnsiTheme="minorEastAsia" w:eastAsiaTheme="minorEastAsia" w:cstheme="minorEastAsia"/>
          <w:b w:val="0"/>
          <w:bCs/>
          <w:i w:val="0"/>
          <w:iCs w:val="0"/>
          <w:caps w:val="0"/>
          <w:color w:val="auto"/>
          <w:spacing w:val="0"/>
          <w:sz w:val="24"/>
          <w:szCs w:val="24"/>
          <w:highlight w:val="none"/>
        </w:rPr>
      </w:pPr>
      <w:r>
        <w:rPr>
          <w:rFonts w:hint="eastAsia" w:asciiTheme="minorEastAsia" w:hAnsiTheme="minorEastAsia" w:eastAsiaTheme="minorEastAsia" w:cstheme="minorEastAsia"/>
          <w:b w:val="0"/>
          <w:bCs/>
          <w:i w:val="0"/>
          <w:iCs w:val="0"/>
          <w:caps w:val="0"/>
          <w:color w:val="auto"/>
          <w:spacing w:val="0"/>
          <w:sz w:val="24"/>
          <w:szCs w:val="24"/>
          <w:highlight w:val="none"/>
        </w:rPr>
        <w:t>（二）乙方及其工作人员</w:t>
      </w:r>
      <w:r>
        <w:rPr>
          <w:rFonts w:hint="eastAsia" w:asciiTheme="minorEastAsia" w:hAnsiTheme="minorEastAsia" w:eastAsiaTheme="minorEastAsia" w:cstheme="minorEastAsia"/>
          <w:b w:val="0"/>
          <w:bCs/>
          <w:i w:val="0"/>
          <w:iCs w:val="0"/>
          <w:caps w:val="0"/>
          <w:color w:val="auto"/>
          <w:spacing w:val="0"/>
          <w:sz w:val="24"/>
          <w:szCs w:val="24"/>
          <w:highlight w:val="none"/>
          <w:lang w:val="en-US" w:eastAsia="zh-CN"/>
        </w:rPr>
        <w:t>存在</w:t>
      </w:r>
      <w:r>
        <w:rPr>
          <w:rFonts w:hint="eastAsia" w:asciiTheme="minorEastAsia" w:hAnsiTheme="minorEastAsia" w:eastAsiaTheme="minorEastAsia" w:cstheme="minorEastAsia"/>
          <w:b w:val="0"/>
          <w:bCs/>
          <w:i w:val="0"/>
          <w:iCs w:val="0"/>
          <w:caps w:val="0"/>
          <w:color w:val="auto"/>
          <w:spacing w:val="0"/>
          <w:sz w:val="24"/>
          <w:szCs w:val="24"/>
          <w:highlight w:val="none"/>
        </w:rPr>
        <w:t>违反本协议第一、三条规定、或在甲方招标、询价等过程中违反法律法规中的廉洁规定</w:t>
      </w:r>
      <w:r>
        <w:rPr>
          <w:rFonts w:hint="eastAsia" w:asciiTheme="minorEastAsia" w:hAnsiTheme="minorEastAsia" w:eastAsiaTheme="minorEastAsia" w:cstheme="minorEastAsia"/>
          <w:b w:val="0"/>
          <w:bCs/>
          <w:i w:val="0"/>
          <w:iCs w:val="0"/>
          <w:caps w:val="0"/>
          <w:color w:val="auto"/>
          <w:spacing w:val="0"/>
          <w:sz w:val="24"/>
          <w:szCs w:val="24"/>
          <w:highlight w:val="none"/>
          <w:lang w:val="en-US" w:eastAsia="zh-CN"/>
        </w:rPr>
        <w:t>的行为</w:t>
      </w:r>
      <w:r>
        <w:rPr>
          <w:rFonts w:hint="eastAsia" w:asciiTheme="minorEastAsia" w:hAnsiTheme="minorEastAsia" w:eastAsiaTheme="minorEastAsia" w:cstheme="minorEastAsia"/>
          <w:b w:val="0"/>
          <w:bCs/>
          <w:i w:val="0"/>
          <w:iCs w:val="0"/>
          <w:caps w:val="0"/>
          <w:color w:val="auto"/>
          <w:spacing w:val="0"/>
          <w:sz w:val="24"/>
          <w:szCs w:val="24"/>
          <w:highlight w:val="none"/>
        </w:rPr>
        <w:t>，</w:t>
      </w:r>
      <w:r>
        <w:rPr>
          <w:rFonts w:hint="eastAsia" w:asciiTheme="minorEastAsia" w:hAnsiTheme="minorEastAsia" w:eastAsiaTheme="minorEastAsia" w:cstheme="minorEastAsia"/>
          <w:b w:val="0"/>
          <w:bCs/>
          <w:i w:val="0"/>
          <w:iCs w:val="0"/>
          <w:caps w:val="0"/>
          <w:color w:val="auto"/>
          <w:spacing w:val="0"/>
          <w:sz w:val="24"/>
          <w:szCs w:val="24"/>
          <w:highlight w:val="none"/>
          <w:lang w:val="en-US" w:eastAsia="zh-CN"/>
        </w:rPr>
        <w:t>无论该行为是否与主合同有关，</w:t>
      </w:r>
      <w:r>
        <w:rPr>
          <w:rFonts w:hint="eastAsia" w:asciiTheme="minorEastAsia" w:hAnsiTheme="minorEastAsia" w:eastAsiaTheme="minorEastAsia" w:cstheme="minorEastAsia"/>
          <w:b w:val="0"/>
          <w:bCs/>
          <w:i w:val="0"/>
          <w:iCs w:val="0"/>
          <w:caps w:val="0"/>
          <w:color w:val="auto"/>
          <w:spacing w:val="0"/>
          <w:sz w:val="24"/>
          <w:szCs w:val="24"/>
          <w:highlight w:val="none"/>
        </w:rPr>
        <w:t>甲方</w:t>
      </w:r>
      <w:r>
        <w:rPr>
          <w:rFonts w:hint="eastAsia" w:asciiTheme="minorEastAsia" w:hAnsiTheme="minorEastAsia" w:eastAsiaTheme="minorEastAsia" w:cstheme="minorEastAsia"/>
          <w:b w:val="0"/>
          <w:bCs/>
          <w:i w:val="0"/>
          <w:iCs w:val="0"/>
          <w:caps w:val="0"/>
          <w:color w:val="auto"/>
          <w:spacing w:val="0"/>
          <w:sz w:val="24"/>
          <w:szCs w:val="24"/>
          <w:highlight w:val="none"/>
          <w:lang w:val="en-US" w:eastAsia="zh-CN"/>
        </w:rPr>
        <w:t>均</w:t>
      </w:r>
      <w:r>
        <w:rPr>
          <w:rFonts w:hint="eastAsia" w:asciiTheme="minorEastAsia" w:hAnsiTheme="minorEastAsia" w:eastAsiaTheme="minorEastAsia" w:cstheme="minorEastAsia"/>
          <w:b w:val="0"/>
          <w:bCs/>
          <w:i w:val="0"/>
          <w:iCs w:val="0"/>
          <w:caps w:val="0"/>
          <w:color w:val="auto"/>
          <w:spacing w:val="0"/>
          <w:sz w:val="24"/>
          <w:szCs w:val="24"/>
          <w:highlight w:val="none"/>
        </w:rPr>
        <w:t>有权根据具体情节和造成的后果，对乙方采取以下处理</w:t>
      </w:r>
      <w:r>
        <w:rPr>
          <w:rFonts w:hint="eastAsia" w:asciiTheme="minorEastAsia" w:hAnsiTheme="minorEastAsia" w:eastAsiaTheme="minorEastAsia" w:cstheme="minorEastAsia"/>
          <w:b w:val="0"/>
          <w:bCs/>
          <w:i w:val="0"/>
          <w:iCs w:val="0"/>
          <w:caps w:val="0"/>
          <w:color w:val="auto"/>
          <w:spacing w:val="0"/>
          <w:sz w:val="24"/>
          <w:szCs w:val="24"/>
          <w:highlight w:val="none"/>
          <w:lang w:val="en-US" w:eastAsia="zh-CN"/>
        </w:rPr>
        <w:t>方式</w:t>
      </w:r>
      <w:r>
        <w:rPr>
          <w:rFonts w:hint="eastAsia" w:asciiTheme="minorEastAsia" w:hAnsiTheme="minorEastAsia" w:eastAsiaTheme="minorEastAsia" w:cstheme="minorEastAsia"/>
          <w:b w:val="0"/>
          <w:bCs/>
          <w:i w:val="0"/>
          <w:iCs w:val="0"/>
          <w:caps w:val="0"/>
          <w:color w:val="auto"/>
          <w:spacing w:val="0"/>
          <w:sz w:val="24"/>
          <w:szCs w:val="24"/>
          <w:highlight w:val="none"/>
        </w:rPr>
        <w:t>：</w:t>
      </w:r>
    </w:p>
    <w:p>
      <w:pPr>
        <w:pStyle w:val="16"/>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Theme="minorEastAsia" w:hAnsiTheme="minorEastAsia" w:eastAsiaTheme="minorEastAsia" w:cstheme="minorEastAsia"/>
          <w:b w:val="0"/>
          <w:bCs/>
          <w:i w:val="0"/>
          <w:iCs w:val="0"/>
          <w:caps w:val="0"/>
          <w:color w:val="auto"/>
          <w:spacing w:val="0"/>
          <w:sz w:val="24"/>
          <w:szCs w:val="24"/>
          <w:highlight w:val="none"/>
        </w:rPr>
      </w:pPr>
      <w:r>
        <w:rPr>
          <w:rFonts w:hint="eastAsia" w:asciiTheme="minorEastAsia" w:hAnsiTheme="minorEastAsia" w:eastAsiaTheme="minorEastAsia" w:cstheme="minorEastAsia"/>
          <w:b w:val="0"/>
          <w:bCs/>
          <w:i w:val="0"/>
          <w:iCs w:val="0"/>
          <w:caps w:val="0"/>
          <w:color w:val="auto"/>
          <w:spacing w:val="0"/>
          <w:sz w:val="24"/>
          <w:szCs w:val="24"/>
          <w:highlight w:val="none"/>
        </w:rPr>
        <w:t>1、扣除主合同的全部履约保证金；</w:t>
      </w:r>
    </w:p>
    <w:p>
      <w:pPr>
        <w:pStyle w:val="16"/>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Theme="minorEastAsia" w:hAnsiTheme="minorEastAsia" w:eastAsiaTheme="minorEastAsia" w:cstheme="minorEastAsia"/>
          <w:b w:val="0"/>
          <w:bCs/>
          <w:i w:val="0"/>
          <w:iCs w:val="0"/>
          <w:caps w:val="0"/>
          <w:color w:val="auto"/>
          <w:spacing w:val="0"/>
          <w:sz w:val="24"/>
          <w:szCs w:val="24"/>
          <w:highlight w:val="none"/>
        </w:rPr>
      </w:pPr>
      <w:r>
        <w:rPr>
          <w:rFonts w:hint="eastAsia" w:asciiTheme="minorEastAsia" w:hAnsiTheme="minorEastAsia" w:eastAsiaTheme="minorEastAsia" w:cstheme="minorEastAsia"/>
          <w:b w:val="0"/>
          <w:bCs/>
          <w:i w:val="0"/>
          <w:iCs w:val="0"/>
          <w:caps w:val="0"/>
          <w:color w:val="auto"/>
          <w:spacing w:val="0"/>
          <w:sz w:val="24"/>
          <w:szCs w:val="24"/>
          <w:highlight w:val="none"/>
        </w:rPr>
        <w:t>2、解除</w:t>
      </w:r>
      <w:r>
        <w:rPr>
          <w:rFonts w:hint="eastAsia" w:asciiTheme="minorEastAsia" w:hAnsiTheme="minorEastAsia" w:eastAsiaTheme="minorEastAsia" w:cstheme="minorEastAsia"/>
          <w:b w:val="0"/>
          <w:bCs/>
          <w:i w:val="0"/>
          <w:iCs w:val="0"/>
          <w:caps w:val="0"/>
          <w:color w:val="auto"/>
          <w:spacing w:val="0"/>
          <w:sz w:val="24"/>
          <w:szCs w:val="24"/>
          <w:highlight w:val="none"/>
          <w:lang w:val="en-US" w:eastAsia="zh-CN"/>
        </w:rPr>
        <w:t>主合同</w:t>
      </w:r>
      <w:r>
        <w:rPr>
          <w:rFonts w:hint="eastAsia" w:asciiTheme="minorEastAsia" w:hAnsiTheme="minorEastAsia" w:eastAsiaTheme="minorEastAsia" w:cstheme="minorEastAsia"/>
          <w:b w:val="0"/>
          <w:bCs/>
          <w:i w:val="0"/>
          <w:iCs w:val="0"/>
          <w:caps w:val="0"/>
          <w:color w:val="auto"/>
          <w:spacing w:val="0"/>
          <w:sz w:val="24"/>
          <w:szCs w:val="24"/>
          <w:highlight w:val="none"/>
        </w:rPr>
        <w:t>；</w:t>
      </w:r>
    </w:p>
    <w:p>
      <w:pPr>
        <w:pStyle w:val="16"/>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Theme="minorEastAsia" w:hAnsiTheme="minorEastAsia" w:eastAsiaTheme="minorEastAsia" w:cstheme="minorEastAsia"/>
          <w:b w:val="0"/>
          <w:bCs/>
          <w:i w:val="0"/>
          <w:iCs w:val="0"/>
          <w:caps w:val="0"/>
          <w:color w:val="auto"/>
          <w:spacing w:val="0"/>
          <w:sz w:val="24"/>
          <w:szCs w:val="24"/>
          <w:highlight w:val="none"/>
        </w:rPr>
      </w:pPr>
      <w:r>
        <w:rPr>
          <w:rFonts w:hint="eastAsia" w:asciiTheme="minorEastAsia" w:hAnsiTheme="minorEastAsia" w:eastAsiaTheme="minorEastAsia" w:cstheme="minorEastAsia"/>
          <w:b w:val="0"/>
          <w:bCs/>
          <w:i w:val="0"/>
          <w:iCs w:val="0"/>
          <w:caps w:val="0"/>
          <w:color w:val="auto"/>
          <w:spacing w:val="0"/>
          <w:sz w:val="24"/>
          <w:szCs w:val="24"/>
          <w:highlight w:val="none"/>
        </w:rPr>
        <w:t>3、追究乙方其他违约责任；</w:t>
      </w:r>
    </w:p>
    <w:p>
      <w:pPr>
        <w:pStyle w:val="16"/>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Theme="minorEastAsia" w:hAnsiTheme="minorEastAsia" w:eastAsiaTheme="minorEastAsia" w:cstheme="minorEastAsia"/>
          <w:b w:val="0"/>
          <w:bCs/>
          <w:i w:val="0"/>
          <w:iCs w:val="0"/>
          <w:caps w:val="0"/>
          <w:color w:val="auto"/>
          <w:spacing w:val="0"/>
          <w:sz w:val="24"/>
          <w:szCs w:val="24"/>
          <w:highlight w:val="none"/>
        </w:rPr>
      </w:pPr>
      <w:r>
        <w:rPr>
          <w:rFonts w:hint="eastAsia" w:asciiTheme="minorEastAsia" w:hAnsiTheme="minorEastAsia" w:eastAsiaTheme="minorEastAsia" w:cstheme="minorEastAsia"/>
          <w:b w:val="0"/>
          <w:bCs/>
          <w:i w:val="0"/>
          <w:iCs w:val="0"/>
          <w:caps w:val="0"/>
          <w:color w:val="auto"/>
          <w:spacing w:val="0"/>
          <w:sz w:val="24"/>
          <w:szCs w:val="24"/>
          <w:highlight w:val="none"/>
        </w:rPr>
        <w:t>4、根据甲方的有关规章制度，在一定时间内暂停乙方参与甲方及下属单位所有项目的交易资格；</w:t>
      </w:r>
    </w:p>
    <w:p>
      <w:pPr>
        <w:pStyle w:val="16"/>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Theme="minorEastAsia" w:hAnsiTheme="minorEastAsia" w:eastAsiaTheme="minorEastAsia" w:cstheme="minorEastAsia"/>
          <w:b w:val="0"/>
          <w:bCs/>
          <w:i w:val="0"/>
          <w:iCs w:val="0"/>
          <w:caps w:val="0"/>
          <w:color w:val="auto"/>
          <w:spacing w:val="0"/>
          <w:sz w:val="24"/>
          <w:szCs w:val="24"/>
          <w:highlight w:val="none"/>
        </w:rPr>
      </w:pPr>
      <w:r>
        <w:rPr>
          <w:rFonts w:hint="eastAsia" w:asciiTheme="minorEastAsia" w:hAnsiTheme="minorEastAsia" w:eastAsiaTheme="minorEastAsia" w:cstheme="minorEastAsia"/>
          <w:b w:val="0"/>
          <w:bCs/>
          <w:i w:val="0"/>
          <w:iCs w:val="0"/>
          <w:caps w:val="0"/>
          <w:color w:val="auto"/>
          <w:spacing w:val="0"/>
          <w:sz w:val="24"/>
          <w:szCs w:val="24"/>
          <w:highlight w:val="none"/>
        </w:rPr>
        <w:t>5、根据甲方的有关规章制度，将乙方清退出甲方相关企业库；</w:t>
      </w:r>
    </w:p>
    <w:p>
      <w:pPr>
        <w:pStyle w:val="16"/>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Theme="minorEastAsia" w:hAnsiTheme="minorEastAsia" w:eastAsiaTheme="minorEastAsia" w:cstheme="minorEastAsia"/>
          <w:b w:val="0"/>
          <w:bCs/>
          <w:i w:val="0"/>
          <w:iCs w:val="0"/>
          <w:caps w:val="0"/>
          <w:color w:val="auto"/>
          <w:spacing w:val="0"/>
          <w:sz w:val="24"/>
          <w:szCs w:val="24"/>
          <w:highlight w:val="none"/>
        </w:rPr>
      </w:pPr>
      <w:r>
        <w:rPr>
          <w:rFonts w:hint="eastAsia" w:asciiTheme="minorEastAsia" w:hAnsiTheme="minorEastAsia" w:eastAsiaTheme="minorEastAsia" w:cstheme="minorEastAsia"/>
          <w:b w:val="0"/>
          <w:bCs/>
          <w:i w:val="0"/>
          <w:iCs w:val="0"/>
          <w:caps w:val="0"/>
          <w:color w:val="auto"/>
          <w:spacing w:val="0"/>
          <w:sz w:val="24"/>
          <w:szCs w:val="24"/>
          <w:highlight w:val="none"/>
        </w:rPr>
        <w:t>6、根据甲方上级单位、行政主管部门的意见、决定执行；</w:t>
      </w:r>
    </w:p>
    <w:p>
      <w:pPr>
        <w:pStyle w:val="16"/>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Theme="minorEastAsia" w:hAnsiTheme="minorEastAsia" w:eastAsiaTheme="minorEastAsia" w:cstheme="minorEastAsia"/>
          <w:b w:val="0"/>
          <w:bCs/>
          <w:i w:val="0"/>
          <w:iCs w:val="0"/>
          <w:caps w:val="0"/>
          <w:color w:val="auto"/>
          <w:spacing w:val="0"/>
          <w:sz w:val="24"/>
          <w:szCs w:val="24"/>
          <w:highlight w:val="none"/>
        </w:rPr>
      </w:pPr>
      <w:r>
        <w:rPr>
          <w:rFonts w:hint="eastAsia" w:asciiTheme="minorEastAsia" w:hAnsiTheme="minorEastAsia" w:eastAsiaTheme="minorEastAsia" w:cstheme="minorEastAsia"/>
          <w:b w:val="0"/>
          <w:bCs/>
          <w:i w:val="0"/>
          <w:iCs w:val="0"/>
          <w:caps w:val="0"/>
          <w:color w:val="auto"/>
          <w:spacing w:val="0"/>
          <w:sz w:val="24"/>
          <w:szCs w:val="24"/>
          <w:highlight w:val="none"/>
        </w:rPr>
        <w:t>7、按规定向有关行政监督部门、乙方业务管理部门进行投诉、报告。</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i w:val="0"/>
          <w:iCs w:val="0"/>
          <w:caps w:val="0"/>
          <w:color w:val="auto"/>
          <w:spacing w:val="0"/>
          <w:sz w:val="24"/>
          <w:szCs w:val="24"/>
          <w:highlight w:val="none"/>
        </w:rPr>
        <w:t>乙方无条件接受甲方的处理决定并承担给甲方造成的损失，全额返还通过不正当手段获取的非法所得，并承担相应的法律责任。</w:t>
      </w:r>
    </w:p>
    <w:p>
      <w:pPr>
        <w:keepNext w:val="0"/>
        <w:keepLines w:val="0"/>
        <w:pageBreakBefore w:val="0"/>
        <w:kinsoku/>
        <w:wordWrap/>
        <w:overflowPunct/>
        <w:topLinePunct w:val="0"/>
        <w:autoSpaceDE/>
        <w:autoSpaceDN/>
        <w:bidi w:val="0"/>
        <w:adjustRightInd/>
        <w:snapToGrid/>
        <w:spacing w:after="0" w:line="560" w:lineRule="exact"/>
        <w:ind w:firstLine="480" w:firstLineChars="200"/>
        <w:textAlignment w:val="auto"/>
        <w:rPr>
          <w:rFonts w:hint="eastAsia" w:asciiTheme="minorEastAsia" w:hAnsiTheme="minorEastAsia" w:eastAsiaTheme="minorEastAsia" w:cstheme="minorEastAsia"/>
          <w:b w:val="0"/>
          <w:bCs/>
          <w:color w:val="auto"/>
          <w:kern w:val="0"/>
          <w:sz w:val="24"/>
          <w:szCs w:val="24"/>
          <w:highlight w:val="none"/>
        </w:rPr>
      </w:pPr>
      <w:r>
        <w:rPr>
          <w:rFonts w:hint="eastAsia" w:asciiTheme="minorEastAsia" w:hAnsiTheme="minorEastAsia" w:eastAsiaTheme="minorEastAsia" w:cstheme="minorEastAsia"/>
          <w:b w:val="0"/>
          <w:bCs/>
          <w:color w:val="auto"/>
          <w:sz w:val="24"/>
          <w:szCs w:val="24"/>
          <w:highlight w:val="none"/>
        </w:rPr>
        <w:t xml:space="preserve">第五条 </w:t>
      </w:r>
      <w:r>
        <w:rPr>
          <w:rFonts w:hint="eastAsia" w:asciiTheme="minorEastAsia" w:hAnsiTheme="minorEastAsia" w:eastAsiaTheme="minorEastAsia" w:cstheme="minorEastAsia"/>
          <w:b w:val="0"/>
          <w:bCs/>
          <w:color w:val="auto"/>
          <w:kern w:val="0"/>
          <w:sz w:val="24"/>
          <w:szCs w:val="24"/>
          <w:highlight w:val="none"/>
        </w:rPr>
        <w:t xml:space="preserve">本协议执行情况，接受有管辖权的纪检、监察部门的监督，双方应予以配合检查调查。 </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第六条本协议作为</w:t>
      </w:r>
      <w:r>
        <w:rPr>
          <w:rFonts w:hint="eastAsia" w:asciiTheme="minorEastAsia" w:hAnsiTheme="minorEastAsia" w:eastAsiaTheme="minorEastAsia" w:cstheme="minorEastAsia"/>
          <w:b w:val="0"/>
          <w:bCs/>
          <w:color w:val="auto"/>
          <w:sz w:val="24"/>
          <w:szCs w:val="24"/>
          <w:highlight w:val="none"/>
          <w:u w:val="single"/>
        </w:rPr>
        <w:t>（合同名称）+（合同编号）</w:t>
      </w:r>
      <w:r>
        <w:rPr>
          <w:rFonts w:hint="eastAsia" w:asciiTheme="minorEastAsia" w:hAnsiTheme="minorEastAsia" w:eastAsiaTheme="minorEastAsia" w:cstheme="minorEastAsia"/>
          <w:b w:val="0"/>
          <w:bCs/>
          <w:color w:val="auto"/>
          <w:sz w:val="24"/>
          <w:szCs w:val="24"/>
          <w:highlight w:val="none"/>
        </w:rPr>
        <w:t>合同的附件，并具有同等的法律效力，本协议自双方签字盖章之日起生效，与主合同同时终止。</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第七条本协议一式</w:t>
      </w:r>
      <w:r>
        <w:rPr>
          <w:rFonts w:hint="eastAsia" w:asciiTheme="minorEastAsia" w:hAnsiTheme="minorEastAsia" w:eastAsiaTheme="minorEastAsia" w:cstheme="minorEastAsia"/>
          <w:b w:val="0"/>
          <w:bCs/>
          <w:color w:val="auto"/>
          <w:sz w:val="24"/>
          <w:szCs w:val="24"/>
          <w:highlight w:val="none"/>
          <w:u w:val="single"/>
        </w:rPr>
        <w:t>…</w:t>
      </w:r>
      <w:r>
        <w:rPr>
          <w:rFonts w:hint="eastAsia" w:asciiTheme="minorEastAsia" w:hAnsiTheme="minorEastAsia" w:eastAsiaTheme="minorEastAsia" w:cstheme="minorEastAsia"/>
          <w:b w:val="0"/>
          <w:bCs/>
          <w:color w:val="auto"/>
          <w:sz w:val="24"/>
          <w:szCs w:val="24"/>
          <w:highlight w:val="none"/>
        </w:rPr>
        <w:t>份，甲方</w:t>
      </w:r>
      <w:r>
        <w:rPr>
          <w:rFonts w:hint="eastAsia" w:asciiTheme="minorEastAsia" w:hAnsiTheme="minorEastAsia" w:eastAsiaTheme="minorEastAsia" w:cstheme="minorEastAsia"/>
          <w:b w:val="0"/>
          <w:bCs/>
          <w:color w:val="auto"/>
          <w:sz w:val="24"/>
          <w:szCs w:val="24"/>
          <w:highlight w:val="none"/>
          <w:u w:val="single"/>
        </w:rPr>
        <w:t>…</w:t>
      </w:r>
      <w:r>
        <w:rPr>
          <w:rFonts w:hint="eastAsia" w:asciiTheme="minorEastAsia" w:hAnsiTheme="minorEastAsia" w:eastAsiaTheme="minorEastAsia" w:cstheme="minorEastAsia"/>
          <w:b w:val="0"/>
          <w:bCs/>
          <w:color w:val="auto"/>
          <w:sz w:val="24"/>
          <w:szCs w:val="24"/>
          <w:highlight w:val="none"/>
        </w:rPr>
        <w:t>份，乙方</w:t>
      </w:r>
      <w:r>
        <w:rPr>
          <w:rFonts w:hint="eastAsia" w:asciiTheme="minorEastAsia" w:hAnsiTheme="minorEastAsia" w:eastAsiaTheme="minorEastAsia" w:cstheme="minorEastAsia"/>
          <w:b w:val="0"/>
          <w:bCs/>
          <w:color w:val="auto"/>
          <w:sz w:val="24"/>
          <w:szCs w:val="24"/>
          <w:highlight w:val="none"/>
          <w:u w:val="single"/>
        </w:rPr>
        <w:t>…</w:t>
      </w:r>
      <w:r>
        <w:rPr>
          <w:rFonts w:hint="eastAsia" w:asciiTheme="minorEastAsia" w:hAnsiTheme="minorEastAsia" w:eastAsiaTheme="minorEastAsia" w:cstheme="minorEastAsia"/>
          <w:b w:val="0"/>
          <w:bCs/>
          <w:color w:val="auto"/>
          <w:sz w:val="24"/>
          <w:szCs w:val="24"/>
          <w:highlight w:val="none"/>
        </w:rPr>
        <w:t>份。</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甲方（盖章）：                     乙方（盖章）：</w:t>
      </w:r>
    </w:p>
    <w:p>
      <w:pPr>
        <w:pStyle w:val="33"/>
        <w:keepNext w:val="0"/>
        <w:keepLines w:val="0"/>
        <w:pageBreakBefore w:val="0"/>
        <w:tabs>
          <w:tab w:val="left" w:pos="5100"/>
        </w:tabs>
        <w:kinsoku/>
        <w:wordWrap/>
        <w:overflowPunct/>
        <w:topLinePunct w:val="0"/>
        <w:autoSpaceDE/>
        <w:autoSpaceDN/>
        <w:bidi w:val="0"/>
        <w:adjustRightInd/>
        <w:snapToGrid/>
        <w:spacing w:line="560" w:lineRule="exact"/>
        <w:ind w:left="7200" w:firstLine="0" w:firstLineChars="0"/>
        <w:jc w:val="left"/>
        <w:textAlignment w:val="auto"/>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tabs>
          <w:tab w:val="left" w:pos="5100"/>
        </w:tabs>
        <w:kinsoku/>
        <w:wordWrap/>
        <w:overflowPunct/>
        <w:topLinePunct w:val="0"/>
        <w:autoSpaceDE/>
        <w:autoSpaceDN/>
        <w:bidi w:val="0"/>
        <w:adjustRightInd/>
        <w:snapToGrid/>
        <w:spacing w:line="560" w:lineRule="exact"/>
        <w:ind w:left="7200" w:hanging="7200" w:hangingChars="30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签约代表：                         签约代表：</w:t>
      </w:r>
    </w:p>
    <w:p>
      <w:pPr>
        <w:spacing w:line="360" w:lineRule="auto"/>
        <w:jc w:val="center"/>
        <w:rPr>
          <w:rFonts w:ascii="宋体" w:hAnsi="宋体"/>
          <w:sz w:val="24"/>
        </w:rPr>
      </w:pPr>
      <w:r>
        <w:rPr>
          <w:rFonts w:hint="eastAsia" w:asciiTheme="minorEastAsia" w:hAnsiTheme="minorEastAsia" w:eastAsiaTheme="minorEastAsia" w:cstheme="minorEastAsia"/>
          <w:b w:val="0"/>
          <w:bCs/>
          <w:color w:val="auto"/>
          <w:sz w:val="24"/>
          <w:szCs w:val="24"/>
          <w:highlight w:val="none"/>
        </w:rPr>
        <w:t>日期:    年  月  日</w:t>
      </w:r>
      <w:r>
        <w:rPr>
          <w:rFonts w:hint="eastAsia" w:asciiTheme="minorEastAsia" w:hAnsiTheme="minorEastAsia" w:eastAsiaTheme="minorEastAsia" w:cstheme="minorEastAsia"/>
          <w:b w:val="0"/>
          <w:bCs/>
          <w:color w:val="auto"/>
          <w:sz w:val="24"/>
          <w:szCs w:val="24"/>
          <w:highlight w:val="none"/>
        </w:rPr>
        <w:tab/>
      </w:r>
      <w:r>
        <w:rPr>
          <w:rFonts w:hint="eastAsia" w:asciiTheme="minorEastAsia" w:hAnsiTheme="minorEastAsia" w:eastAsiaTheme="minorEastAsia" w:cstheme="minorEastAsia"/>
          <w:b w:val="0"/>
          <w:bCs/>
          <w:color w:val="auto"/>
          <w:sz w:val="24"/>
          <w:szCs w:val="24"/>
          <w:highlight w:val="none"/>
        </w:rPr>
        <w:t>日期：  年  月  日</w:t>
      </w:r>
    </w:p>
    <w:p>
      <w:pPr>
        <w:spacing w:line="560" w:lineRule="exact"/>
        <w:jc w:val="center"/>
        <w:rPr>
          <w:rFonts w:ascii="黑体" w:hAnsi="Batang" w:eastAsia="黑体" w:cs="Batang"/>
          <w:bCs/>
          <w:kern w:val="0"/>
          <w:sz w:val="44"/>
          <w:szCs w:val="44"/>
        </w:rPr>
      </w:pPr>
    </w:p>
    <w:p>
      <w:pPr>
        <w:spacing w:line="560" w:lineRule="exact"/>
        <w:jc w:val="center"/>
        <w:rPr>
          <w:rFonts w:ascii="黑体" w:hAnsi="Batang" w:eastAsia="黑体" w:cs="Batang"/>
          <w:bCs/>
          <w:kern w:val="0"/>
          <w:sz w:val="44"/>
          <w:szCs w:val="44"/>
        </w:rPr>
      </w:pPr>
    </w:p>
    <w:p>
      <w:pPr>
        <w:spacing w:line="560" w:lineRule="exact"/>
        <w:jc w:val="center"/>
        <w:rPr>
          <w:rFonts w:ascii="黑体" w:hAnsi="Batang" w:eastAsia="黑体" w:cs="Batang"/>
          <w:bCs/>
          <w:kern w:val="0"/>
          <w:sz w:val="44"/>
          <w:szCs w:val="44"/>
        </w:rPr>
      </w:pPr>
    </w:p>
    <w:p>
      <w:pPr>
        <w:spacing w:line="560" w:lineRule="exact"/>
        <w:jc w:val="center"/>
        <w:rPr>
          <w:rFonts w:ascii="黑体" w:hAnsi="Batang" w:eastAsia="黑体" w:cs="Batang"/>
          <w:bCs/>
          <w:kern w:val="0"/>
          <w:sz w:val="44"/>
          <w:szCs w:val="44"/>
        </w:rPr>
      </w:pPr>
    </w:p>
    <w:p>
      <w:pPr>
        <w:spacing w:line="560" w:lineRule="exact"/>
        <w:jc w:val="center"/>
        <w:rPr>
          <w:rFonts w:ascii="黑体" w:hAnsi="Batang" w:eastAsia="黑体" w:cs="Batang"/>
          <w:bCs/>
          <w:kern w:val="0"/>
          <w:sz w:val="44"/>
          <w:szCs w:val="44"/>
        </w:rPr>
      </w:pPr>
    </w:p>
    <w:p>
      <w:pPr>
        <w:spacing w:line="560" w:lineRule="exact"/>
        <w:jc w:val="center"/>
        <w:rPr>
          <w:rFonts w:ascii="黑体" w:hAnsi="Batang" w:eastAsia="黑体" w:cs="Batang"/>
          <w:bCs/>
          <w:kern w:val="0"/>
          <w:sz w:val="44"/>
          <w:szCs w:val="44"/>
        </w:rPr>
      </w:pPr>
    </w:p>
    <w:p>
      <w:pPr>
        <w:spacing w:line="560" w:lineRule="exact"/>
        <w:jc w:val="center"/>
        <w:rPr>
          <w:rFonts w:ascii="黑体" w:hAnsi="Batang" w:eastAsia="黑体" w:cs="Batang"/>
          <w:bCs/>
          <w:kern w:val="0"/>
          <w:sz w:val="44"/>
          <w:szCs w:val="44"/>
        </w:rPr>
      </w:pPr>
    </w:p>
    <w:p>
      <w:pPr>
        <w:spacing w:line="560" w:lineRule="exact"/>
        <w:jc w:val="center"/>
        <w:rPr>
          <w:rFonts w:ascii="黑体" w:hAnsi="Batang" w:eastAsia="黑体" w:cs="Batang"/>
          <w:bCs/>
          <w:kern w:val="0"/>
          <w:sz w:val="44"/>
          <w:szCs w:val="44"/>
        </w:rPr>
      </w:pPr>
    </w:p>
    <w:p>
      <w:pPr>
        <w:spacing w:line="560" w:lineRule="exact"/>
        <w:jc w:val="center"/>
        <w:rPr>
          <w:rFonts w:ascii="黑体" w:hAnsi="Batang" w:eastAsia="黑体" w:cs="Batang"/>
          <w:bCs/>
          <w:kern w:val="0"/>
          <w:sz w:val="44"/>
          <w:szCs w:val="44"/>
        </w:rPr>
      </w:pPr>
    </w:p>
    <w:p>
      <w:pPr>
        <w:spacing w:line="560" w:lineRule="exact"/>
        <w:jc w:val="both"/>
        <w:rPr>
          <w:rFonts w:ascii="黑体" w:hAnsi="Batang" w:eastAsia="黑体" w:cs="Batang"/>
          <w:bCs/>
          <w:kern w:val="0"/>
          <w:sz w:val="44"/>
          <w:szCs w:val="44"/>
        </w:rPr>
      </w:pPr>
    </w:p>
    <w:p>
      <w:pPr>
        <w:spacing w:line="560" w:lineRule="exact"/>
        <w:jc w:val="left"/>
        <w:rPr>
          <w:rFonts w:hint="eastAsia" w:ascii="宋体" w:hAnsi="宋体" w:cs="宋体"/>
          <w:b/>
          <w:bCs/>
          <w:szCs w:val="21"/>
        </w:rPr>
      </w:pPr>
    </w:p>
    <w:p>
      <w:pPr>
        <w:spacing w:line="560" w:lineRule="exact"/>
        <w:jc w:val="left"/>
        <w:rPr>
          <w:rFonts w:hint="eastAsia" w:ascii="宋体" w:hAnsi="宋体" w:cs="宋体"/>
          <w:b/>
          <w:bCs/>
          <w:szCs w:val="21"/>
        </w:rPr>
      </w:pPr>
    </w:p>
    <w:p>
      <w:pPr>
        <w:spacing w:line="560" w:lineRule="exact"/>
        <w:jc w:val="left"/>
        <w:rPr>
          <w:rFonts w:hint="eastAsia" w:ascii="宋体" w:hAnsi="宋体" w:cs="宋体"/>
          <w:b/>
          <w:bCs/>
          <w:szCs w:val="21"/>
        </w:rPr>
      </w:pPr>
    </w:p>
    <w:p>
      <w:pPr>
        <w:spacing w:line="560" w:lineRule="exact"/>
        <w:jc w:val="left"/>
        <w:rPr>
          <w:rFonts w:hint="eastAsia" w:ascii="宋体" w:hAnsi="宋体" w:cs="宋体"/>
          <w:b/>
          <w:bCs/>
          <w:szCs w:val="21"/>
        </w:rPr>
      </w:pPr>
    </w:p>
    <w:p>
      <w:pPr>
        <w:spacing w:line="560" w:lineRule="exact"/>
        <w:jc w:val="left"/>
        <w:rPr>
          <w:rFonts w:hint="eastAsia" w:ascii="宋体" w:hAnsi="宋体" w:cs="宋体"/>
          <w:b/>
          <w:bCs/>
          <w:szCs w:val="21"/>
        </w:rPr>
      </w:pPr>
    </w:p>
    <w:p>
      <w:pPr>
        <w:spacing w:line="560" w:lineRule="exact"/>
        <w:jc w:val="left"/>
        <w:rPr>
          <w:rFonts w:hint="eastAsia" w:ascii="宋体" w:hAnsi="宋体" w:cs="宋体"/>
          <w:b/>
          <w:bCs/>
          <w:szCs w:val="21"/>
        </w:rPr>
      </w:pPr>
    </w:p>
    <w:p>
      <w:pPr>
        <w:spacing w:line="560" w:lineRule="exact"/>
        <w:jc w:val="left"/>
        <w:rPr>
          <w:rFonts w:hint="eastAsia" w:ascii="宋体" w:hAnsi="宋体" w:cs="宋体"/>
          <w:b/>
          <w:bCs/>
          <w:szCs w:val="21"/>
        </w:rPr>
      </w:pPr>
    </w:p>
    <w:p>
      <w:pPr>
        <w:spacing w:line="560" w:lineRule="exact"/>
        <w:jc w:val="left"/>
        <w:rPr>
          <w:rFonts w:hint="eastAsia" w:ascii="宋体" w:hAnsi="宋体" w:cs="宋体"/>
          <w:b/>
          <w:bCs/>
          <w:szCs w:val="21"/>
        </w:rPr>
      </w:pPr>
    </w:p>
    <w:p>
      <w:pPr>
        <w:spacing w:line="560" w:lineRule="exact"/>
        <w:jc w:val="left"/>
        <w:rPr>
          <w:rFonts w:hint="eastAsia" w:ascii="宋体" w:hAnsi="宋体" w:cs="宋体"/>
          <w:b/>
          <w:bCs/>
          <w:szCs w:val="21"/>
        </w:rPr>
      </w:pPr>
    </w:p>
    <w:p>
      <w:pPr>
        <w:spacing w:line="560" w:lineRule="exact"/>
        <w:jc w:val="left"/>
        <w:rPr>
          <w:rFonts w:hint="eastAsia" w:ascii="宋体" w:hAnsi="宋体" w:cs="宋体"/>
          <w:b/>
          <w:bCs/>
          <w:szCs w:val="21"/>
        </w:rPr>
      </w:pPr>
    </w:p>
    <w:p>
      <w:pPr>
        <w:spacing w:line="560" w:lineRule="exact"/>
        <w:jc w:val="left"/>
        <w:rPr>
          <w:rFonts w:hint="eastAsia" w:ascii="宋体" w:hAnsi="宋体" w:cs="宋体"/>
          <w:b/>
          <w:bCs/>
          <w:szCs w:val="21"/>
        </w:rPr>
      </w:pPr>
    </w:p>
    <w:p>
      <w:pPr>
        <w:spacing w:line="560" w:lineRule="exact"/>
        <w:jc w:val="left"/>
        <w:rPr>
          <w:rFonts w:hint="eastAsia" w:ascii="宋体" w:hAnsi="宋体" w:cs="宋体"/>
          <w:b/>
          <w:bCs/>
          <w:szCs w:val="21"/>
        </w:rPr>
      </w:pPr>
    </w:p>
    <w:p>
      <w:pPr>
        <w:spacing w:line="560" w:lineRule="exact"/>
        <w:jc w:val="left"/>
        <w:rPr>
          <w:rFonts w:ascii="黑体" w:hAnsi="Batang" w:eastAsia="黑体" w:cs="Batang"/>
          <w:bCs/>
          <w:kern w:val="0"/>
          <w:sz w:val="28"/>
          <w:szCs w:val="28"/>
        </w:rPr>
      </w:pPr>
      <w:r>
        <w:rPr>
          <w:rFonts w:hint="eastAsia" w:ascii="宋体" w:hAnsi="宋体" w:cs="宋体"/>
          <w:b/>
          <w:bCs/>
          <w:szCs w:val="21"/>
        </w:rPr>
        <w:t>附件3 安全协议书</w:t>
      </w:r>
    </w:p>
    <w:p>
      <w:pPr>
        <w:spacing w:line="560" w:lineRule="exact"/>
        <w:jc w:val="center"/>
        <w:rPr>
          <w:rFonts w:ascii="黑体" w:hAnsi="Batang" w:eastAsia="黑体" w:cs="Batang"/>
          <w:bCs/>
          <w:kern w:val="0"/>
          <w:sz w:val="44"/>
          <w:szCs w:val="44"/>
        </w:rPr>
      </w:pPr>
      <w:r>
        <w:rPr>
          <w:rFonts w:hint="eastAsia" w:ascii="黑体" w:hAnsi="Batang" w:eastAsia="黑体" w:cs="Batang"/>
          <w:bCs/>
          <w:kern w:val="0"/>
          <w:sz w:val="44"/>
          <w:szCs w:val="44"/>
        </w:rPr>
        <w:t>安全协议书</w:t>
      </w:r>
    </w:p>
    <w:p>
      <w:pPr>
        <w:spacing w:line="560" w:lineRule="exact"/>
        <w:rPr>
          <w:rFonts w:ascii="仿宋_GB2312" w:hAnsi="宋体" w:eastAsia="仿宋_GB2312"/>
          <w:sz w:val="24"/>
        </w:rPr>
      </w:pPr>
    </w:p>
    <w:p>
      <w:pPr>
        <w:spacing w:line="560" w:lineRule="exact"/>
        <w:rPr>
          <w:rFonts w:ascii="宋体" w:hAnsi="宋体" w:cs="Arial"/>
          <w:kern w:val="0"/>
          <w:sz w:val="24"/>
        </w:rPr>
      </w:pPr>
      <w:bookmarkStart w:id="14" w:name="_Toc21391"/>
      <w:r>
        <w:rPr>
          <w:rFonts w:hint="eastAsia" w:ascii="宋体" w:hAnsi="宋体" w:cs="Arial"/>
          <w:kern w:val="0"/>
          <w:sz w:val="24"/>
        </w:rPr>
        <w:t>甲方：</w:t>
      </w:r>
      <w:r>
        <w:rPr>
          <w:rFonts w:hint="eastAsia"/>
          <w:sz w:val="24"/>
        </w:rPr>
        <w:t>广州市净水有限公司</w:t>
      </w:r>
    </w:p>
    <w:p>
      <w:pPr>
        <w:spacing w:line="560" w:lineRule="exact"/>
        <w:rPr>
          <w:rFonts w:ascii="宋体" w:hAnsi="宋体" w:cs="Arial"/>
          <w:kern w:val="0"/>
          <w:sz w:val="24"/>
        </w:rPr>
      </w:pPr>
      <w:r>
        <w:rPr>
          <w:rFonts w:hint="eastAsia" w:ascii="宋体" w:hAnsi="宋体" w:cs="Arial"/>
          <w:kern w:val="0"/>
          <w:sz w:val="24"/>
        </w:rPr>
        <w:t xml:space="preserve">乙方： </w:t>
      </w:r>
    </w:p>
    <w:p>
      <w:pPr>
        <w:adjustRightInd w:val="0"/>
        <w:snapToGrid w:val="0"/>
        <w:spacing w:line="560" w:lineRule="exact"/>
        <w:jc w:val="left"/>
        <w:rPr>
          <w:rStyle w:val="23"/>
          <w:rFonts w:asciiTheme="minorEastAsia" w:hAnsiTheme="minorEastAsia" w:eastAsiaTheme="minorEastAsia"/>
          <w:b w:val="0"/>
          <w:u w:val="single"/>
        </w:rPr>
      </w:pPr>
    </w:p>
    <w:bookmarkEnd w:id="14"/>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根据《中华人民共和国安全生产法》、《生产安全事故报告和调查处理条例》等国家及地方有关安全生产法律法规, 经双方协商，签订本协议书，以明确各自的安全生产、职业卫生责任、消防安全责任并共同遵守。</w:t>
      </w:r>
    </w:p>
    <w:p>
      <w:pPr>
        <w:adjustRightInd w:val="0"/>
        <w:snapToGrid w:val="0"/>
        <w:spacing w:line="560" w:lineRule="exact"/>
        <w:ind w:firstLine="482" w:firstLineChars="200"/>
        <w:jc w:val="left"/>
        <w:rPr>
          <w:rFonts w:asciiTheme="minorEastAsia" w:hAnsiTheme="minorEastAsia"/>
          <w:b/>
          <w:sz w:val="24"/>
        </w:rPr>
      </w:pPr>
      <w:r>
        <w:rPr>
          <w:rFonts w:hint="eastAsia" w:asciiTheme="minorEastAsia" w:hAnsiTheme="minorEastAsia"/>
          <w:b/>
          <w:sz w:val="24"/>
        </w:rPr>
        <w:t>一、本协议与主合同的关系</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本协议作为的组成部分，与主合同具有同等法律。</w:t>
      </w:r>
    </w:p>
    <w:p>
      <w:pPr>
        <w:adjustRightInd w:val="0"/>
        <w:snapToGrid w:val="0"/>
        <w:spacing w:line="560" w:lineRule="exact"/>
        <w:ind w:firstLine="482" w:firstLineChars="200"/>
        <w:jc w:val="left"/>
        <w:rPr>
          <w:rFonts w:asciiTheme="minorEastAsia" w:hAnsiTheme="minorEastAsia"/>
          <w:b/>
          <w:sz w:val="24"/>
        </w:rPr>
      </w:pPr>
      <w:r>
        <w:rPr>
          <w:rFonts w:hint="eastAsia" w:asciiTheme="minorEastAsia" w:hAnsiTheme="minorEastAsia"/>
          <w:b/>
          <w:sz w:val="24"/>
        </w:rPr>
        <w:t>二、甲方权责</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（一）告知乙方该场所可能存在的安全风险，要求乙方在作业前应重新识别现场的安全风险并采取措施进行管控。</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（二）乙方对存在问题拒不整改，或违法甲方安全管理要求的，视为违约，甲方有权按主合同相关条款对乙方进行违约金扣罚。如乙方拒不缴纳违约金的，甲方有权在履约保证金中扣除。</w:t>
      </w:r>
    </w:p>
    <w:p>
      <w:pPr>
        <w:adjustRightInd w:val="0"/>
        <w:snapToGrid w:val="0"/>
        <w:spacing w:line="560" w:lineRule="exact"/>
        <w:ind w:firstLine="482" w:firstLineChars="200"/>
        <w:jc w:val="left"/>
        <w:rPr>
          <w:rFonts w:asciiTheme="minorEastAsia" w:hAnsiTheme="minorEastAsia"/>
          <w:b/>
          <w:sz w:val="24"/>
        </w:rPr>
      </w:pPr>
      <w:r>
        <w:rPr>
          <w:rFonts w:hint="eastAsia" w:asciiTheme="minorEastAsia" w:hAnsiTheme="minorEastAsia"/>
          <w:b/>
          <w:sz w:val="24"/>
        </w:rPr>
        <w:t>三、乙方权责</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（一）对甲方的违章指挥，拒绝执行，但需书面明确指出甲方所违反的具体法律法规、标准规范等。</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（二）根据乙方单位管理制度及合同约定的本次工作，制定相应的应急预案。明确发生突发事件时，相关人员按预案开展应急处置工作。</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（三）严格执行国家、地方和行业主管部门的强制性标准、地方行政法规、管理要求。</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（四）遵守甲方制定的安全管理要求。</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（五）配合甲方的安全监督检查，并立即对提出的问题隐患进行整改。</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六）严格履行本协议，遵守甲方各项安全管理规定，服从管理。乙方对存在问题拒不整改的，视为违约，甲方有权对乙方按主合同相关条款进行违约金扣罚。如乙方拒不缴纳违约金的，甲方有权在履约保证金中扣除。</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（七）乙方聘请、委托的个人或单位，违反本协议的，全部责任均由乙方承担。</w:t>
      </w:r>
    </w:p>
    <w:p>
      <w:pPr>
        <w:adjustRightInd w:val="0"/>
        <w:snapToGrid w:val="0"/>
        <w:spacing w:line="560" w:lineRule="exact"/>
        <w:ind w:firstLine="482" w:firstLineChars="200"/>
        <w:jc w:val="left"/>
        <w:rPr>
          <w:rFonts w:asciiTheme="minorEastAsia" w:hAnsiTheme="minorEastAsia"/>
          <w:b/>
          <w:sz w:val="24"/>
        </w:rPr>
      </w:pPr>
      <w:r>
        <w:rPr>
          <w:rFonts w:hint="eastAsia" w:asciiTheme="minorEastAsia" w:hAnsiTheme="minorEastAsia"/>
          <w:b/>
          <w:sz w:val="24"/>
        </w:rPr>
        <w:t>四、事故责任</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（一）在乙方承包范围内，由于乙方责任发生生产安全事故时，造成的甲方、乙方或者第三方人身伤害事故，乙方负全部责任。</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（二）乙方人员违规进入甲方或第三方承包区域，造成事故的，乙方负全部事故责任；乙方人员遭受人身伤害的，乙方负全部责任。</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三）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（四）乙方在甲方生产区域内发生生产安全事故后，必须在第一时间向甲方报告，迟报或者隐瞒不报生产安全事故，承担事故的全部责任。</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（五）乙方各类人员在甲方生产区域内发生人身伤害事故和其他事故，由乙方负责调查、处理和统计上报，并报甲方安全监督部门备案。</w:t>
      </w:r>
    </w:p>
    <w:p>
      <w:pPr>
        <w:spacing w:line="560" w:lineRule="exact"/>
        <w:ind w:firstLine="480" w:firstLineChars="200"/>
        <w:rPr>
          <w:rFonts w:asciiTheme="minorEastAsia" w:hAnsiTheme="minorEastAsia"/>
          <w:sz w:val="24"/>
        </w:rPr>
      </w:pPr>
      <w:r>
        <w:rPr>
          <w:rFonts w:hint="eastAsia" w:asciiTheme="minorEastAsia" w:hAnsiTheme="minorEastAsia"/>
          <w:sz w:val="24"/>
        </w:rPr>
        <w:t>（六）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spacing w:line="560" w:lineRule="exact"/>
        <w:ind w:firstLine="480" w:firstLineChars="200"/>
        <w:rPr>
          <w:rFonts w:asciiTheme="minorEastAsia" w:hAnsiTheme="minorEastAsia"/>
          <w:sz w:val="24"/>
        </w:rPr>
      </w:pPr>
      <w:r>
        <w:rPr>
          <w:rFonts w:hint="eastAsia" w:asciiTheme="minorEastAsia" w:hAnsiTheme="minorEastAsia"/>
          <w:sz w:val="24"/>
        </w:rPr>
        <w:t>（七）委托的第三方运输单位或个人，违反本协议的，全部责任均由乙方承担。</w:t>
      </w:r>
    </w:p>
    <w:p>
      <w:pPr>
        <w:pStyle w:val="44"/>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五、补充条款：</w:t>
      </w:r>
      <w:r>
        <w:rPr>
          <w:rFonts w:hint="eastAsia" w:asciiTheme="minorEastAsia" w:hAnsiTheme="minorEastAsia" w:eastAsiaTheme="minorEastAsia"/>
          <w:sz w:val="24"/>
        </w:rPr>
        <w:t>。</w:t>
      </w:r>
    </w:p>
    <w:p>
      <w:pPr>
        <w:adjustRightInd w:val="0"/>
        <w:snapToGrid w:val="0"/>
        <w:spacing w:line="560" w:lineRule="exact"/>
        <w:ind w:firstLine="482" w:firstLineChars="200"/>
        <w:jc w:val="left"/>
        <w:rPr>
          <w:rFonts w:asciiTheme="minorEastAsia" w:hAnsiTheme="minorEastAsia"/>
          <w:b/>
          <w:sz w:val="24"/>
        </w:rPr>
      </w:pPr>
      <w:r>
        <w:rPr>
          <w:rFonts w:hint="eastAsia" w:asciiTheme="minorEastAsia" w:hAnsiTheme="minorEastAsia"/>
          <w:b/>
          <w:sz w:val="24"/>
        </w:rPr>
        <w:t>六、附则</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（一）本协议未尽事宜，依据有关法律、法规、规章处理。法律、法规、规章没有明确规定的，经双方协商处理解决。</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（二）本协议与主合同同时签订、同时终止、同时生效，具有相同的法律效力，自甲方、乙方双方签字、盖章生效，甲方、乙方双方执持数量与主合同一致。</w:t>
      </w:r>
    </w:p>
    <w:p>
      <w:pPr>
        <w:adjustRightInd w:val="0"/>
        <w:snapToGrid w:val="0"/>
        <w:spacing w:line="560" w:lineRule="exact"/>
        <w:ind w:firstLine="480" w:firstLineChars="200"/>
        <w:jc w:val="left"/>
        <w:rPr>
          <w:rFonts w:asciiTheme="minorEastAsia" w:hAnsiTheme="minorEastAsia"/>
          <w:sz w:val="24"/>
        </w:rPr>
      </w:pPr>
    </w:p>
    <w:tbl>
      <w:tblPr>
        <w:tblStyle w:val="2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73"/>
        <w:gridCol w:w="4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73" w:type="dxa"/>
          </w:tcPr>
          <w:p>
            <w:pPr>
              <w:adjustRightInd w:val="0"/>
              <w:snapToGrid w:val="0"/>
              <w:spacing w:line="560" w:lineRule="exact"/>
              <w:rPr>
                <w:rFonts w:asciiTheme="minorEastAsia" w:hAnsiTheme="minorEastAsia"/>
                <w:sz w:val="24"/>
              </w:rPr>
            </w:pPr>
            <w:r>
              <w:rPr>
                <w:rFonts w:hint="eastAsia" w:asciiTheme="minorEastAsia" w:hAnsiTheme="minorEastAsia"/>
                <w:sz w:val="24"/>
              </w:rPr>
              <w:t>甲方：</w:t>
            </w:r>
          </w:p>
          <w:p>
            <w:pPr>
              <w:adjustRightInd w:val="0"/>
              <w:snapToGrid w:val="0"/>
              <w:spacing w:line="560" w:lineRule="exact"/>
              <w:rPr>
                <w:rFonts w:asciiTheme="minorEastAsia" w:hAnsiTheme="minorEastAsia"/>
                <w:sz w:val="24"/>
              </w:rPr>
            </w:pPr>
            <w:r>
              <w:rPr>
                <w:rFonts w:hint="eastAsia" w:asciiTheme="minorEastAsia" w:hAnsiTheme="minorEastAsia"/>
                <w:sz w:val="24"/>
              </w:rPr>
              <w:t>签约代表：</w:t>
            </w:r>
          </w:p>
          <w:p>
            <w:pPr>
              <w:adjustRightInd w:val="0"/>
              <w:snapToGrid w:val="0"/>
              <w:spacing w:line="560" w:lineRule="exact"/>
              <w:rPr>
                <w:rFonts w:asciiTheme="minorEastAsia" w:hAnsiTheme="minorEastAsia"/>
                <w:sz w:val="24"/>
              </w:rPr>
            </w:pPr>
            <w:r>
              <w:rPr>
                <w:rFonts w:hint="eastAsia" w:asciiTheme="minorEastAsia" w:hAnsiTheme="minorEastAsia"/>
                <w:sz w:val="24"/>
              </w:rPr>
              <w:t>联系电话：</w:t>
            </w:r>
          </w:p>
          <w:p>
            <w:pPr>
              <w:adjustRightInd w:val="0"/>
              <w:snapToGrid w:val="0"/>
              <w:spacing w:line="560" w:lineRule="exact"/>
              <w:ind w:firstLine="240" w:firstLineChars="100"/>
              <w:jc w:val="right"/>
              <w:rPr>
                <w:rFonts w:asciiTheme="minorEastAsia" w:hAnsiTheme="minorEastAsia"/>
                <w:sz w:val="24"/>
              </w:rPr>
            </w:pPr>
            <w:r>
              <w:rPr>
                <w:rFonts w:hint="eastAsia" w:asciiTheme="minorEastAsia" w:hAnsiTheme="minorEastAsia"/>
                <w:sz w:val="24"/>
              </w:rPr>
              <w:t>年月日</w:t>
            </w:r>
          </w:p>
        </w:tc>
        <w:tc>
          <w:tcPr>
            <w:tcW w:w="4474" w:type="dxa"/>
          </w:tcPr>
          <w:p>
            <w:pPr>
              <w:adjustRightInd w:val="0"/>
              <w:snapToGrid w:val="0"/>
              <w:spacing w:line="560" w:lineRule="exact"/>
              <w:rPr>
                <w:rFonts w:asciiTheme="minorEastAsia" w:hAnsiTheme="minorEastAsia"/>
                <w:sz w:val="24"/>
              </w:rPr>
            </w:pPr>
            <w:r>
              <w:rPr>
                <w:rFonts w:hint="eastAsia" w:asciiTheme="minorEastAsia" w:hAnsiTheme="minorEastAsia"/>
                <w:sz w:val="24"/>
              </w:rPr>
              <w:t>乙方：</w:t>
            </w:r>
          </w:p>
          <w:p>
            <w:pPr>
              <w:adjustRightInd w:val="0"/>
              <w:snapToGrid w:val="0"/>
              <w:spacing w:line="560" w:lineRule="exact"/>
              <w:rPr>
                <w:rFonts w:asciiTheme="minorEastAsia" w:hAnsiTheme="minorEastAsia"/>
                <w:sz w:val="24"/>
              </w:rPr>
            </w:pPr>
            <w:r>
              <w:rPr>
                <w:rFonts w:hint="eastAsia" w:asciiTheme="minorEastAsia" w:hAnsiTheme="minorEastAsia"/>
                <w:sz w:val="24"/>
              </w:rPr>
              <w:t>签约代表：</w:t>
            </w:r>
          </w:p>
          <w:p>
            <w:pPr>
              <w:adjustRightInd w:val="0"/>
              <w:snapToGrid w:val="0"/>
              <w:spacing w:line="560" w:lineRule="exact"/>
              <w:rPr>
                <w:rFonts w:asciiTheme="minorEastAsia" w:hAnsiTheme="minorEastAsia"/>
                <w:sz w:val="24"/>
              </w:rPr>
            </w:pPr>
            <w:r>
              <w:rPr>
                <w:rFonts w:hint="eastAsia" w:asciiTheme="minorEastAsia" w:hAnsiTheme="minorEastAsia"/>
                <w:sz w:val="24"/>
              </w:rPr>
              <w:t>联系电话：</w:t>
            </w:r>
          </w:p>
          <w:p>
            <w:pPr>
              <w:adjustRightInd w:val="0"/>
              <w:snapToGrid w:val="0"/>
              <w:spacing w:line="560" w:lineRule="exact"/>
              <w:jc w:val="right"/>
              <w:rPr>
                <w:rFonts w:asciiTheme="minorEastAsia" w:hAnsiTheme="minorEastAsia"/>
                <w:sz w:val="24"/>
              </w:rPr>
            </w:pPr>
            <w:r>
              <w:rPr>
                <w:rFonts w:hint="eastAsia" w:asciiTheme="minorEastAsia" w:hAnsiTheme="minorEastAsia"/>
                <w:sz w:val="24"/>
              </w:rPr>
              <w:t>年月日</w:t>
            </w:r>
          </w:p>
        </w:tc>
      </w:tr>
    </w:tbl>
    <w:p>
      <w:pPr>
        <w:pStyle w:val="2"/>
      </w:pPr>
    </w:p>
    <w:p>
      <w:pPr>
        <w:spacing w:line="360" w:lineRule="auto"/>
        <w:jc w:val="center"/>
        <w:rPr>
          <w:rFonts w:ascii="宋体" w:hAnsi="宋体"/>
          <w:b/>
          <w:sz w:val="32"/>
          <w:szCs w:val="32"/>
          <w:highlight w:val="yellow"/>
        </w:rPr>
      </w:pPr>
    </w:p>
    <w:p>
      <w:pPr>
        <w:spacing w:line="360" w:lineRule="auto"/>
        <w:jc w:val="center"/>
        <w:rPr>
          <w:rFonts w:ascii="宋体" w:hAnsi="宋体"/>
          <w:b/>
          <w:sz w:val="32"/>
          <w:szCs w:val="32"/>
          <w:highlight w:val="yellow"/>
        </w:rPr>
      </w:pPr>
    </w:p>
    <w:p>
      <w:pPr>
        <w:tabs>
          <w:tab w:val="left" w:pos="4170"/>
        </w:tabs>
        <w:spacing w:line="360" w:lineRule="auto"/>
        <w:rPr>
          <w:rFonts w:ascii="宋体" w:hAnsi="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pStyle w:val="2"/>
        <w:rPr>
          <w:rFonts w:hint="eastAsia" w:ascii="宋体" w:hAnsi="宋体" w:cs="宋体"/>
          <w:color w:val="000000" w:themeColor="text1"/>
          <w:szCs w:val="21"/>
          <w:highlight w:val="none"/>
          <w14:textFill>
            <w14:solidFill>
              <w14:schemeClr w14:val="tx1"/>
            </w14:solidFill>
          </w14:textFill>
        </w:rPr>
      </w:pPr>
    </w:p>
    <w:p>
      <w:pPr>
        <w:pStyle w:val="2"/>
        <w:rPr>
          <w:rFonts w:hint="eastAsia" w:ascii="宋体" w:hAnsi="宋体" w:cs="宋体"/>
          <w:color w:val="000000" w:themeColor="text1"/>
          <w:szCs w:val="21"/>
          <w:highlight w:val="none"/>
          <w14:textFill>
            <w14:solidFill>
              <w14:schemeClr w14:val="tx1"/>
            </w14:solidFill>
          </w14:textFill>
        </w:rPr>
      </w:pPr>
    </w:p>
    <w:p>
      <w:pPr>
        <w:pStyle w:val="2"/>
        <w:rPr>
          <w:rFonts w:hint="eastAsia" w:ascii="宋体" w:hAnsi="宋体" w:cs="宋体"/>
          <w:color w:val="000000" w:themeColor="text1"/>
          <w:szCs w:val="21"/>
          <w:highlight w:val="none"/>
          <w14:textFill>
            <w14:solidFill>
              <w14:schemeClr w14:val="tx1"/>
            </w14:solidFill>
          </w14:textFill>
        </w:rPr>
      </w:pPr>
    </w:p>
    <w:p>
      <w:pPr>
        <w:pStyle w:val="2"/>
        <w:rPr>
          <w:rFonts w:hint="eastAsia" w:ascii="宋体" w:hAnsi="宋体" w:cs="宋体"/>
          <w:color w:val="000000" w:themeColor="text1"/>
          <w:szCs w:val="21"/>
          <w:highlight w:val="none"/>
          <w14:textFill>
            <w14:solidFill>
              <w14:schemeClr w14:val="tx1"/>
            </w14:solidFill>
          </w14:textFill>
        </w:rPr>
      </w:pPr>
    </w:p>
    <w:p>
      <w:pPr>
        <w:pStyle w:val="2"/>
        <w:rPr>
          <w:rFonts w:hint="eastAsia" w:ascii="宋体" w:hAnsi="宋体" w:cs="宋体"/>
          <w:color w:val="000000" w:themeColor="text1"/>
          <w:szCs w:val="21"/>
          <w:highlight w:val="none"/>
          <w14:textFill>
            <w14:solidFill>
              <w14:schemeClr w14:val="tx1"/>
            </w14:solidFill>
          </w14:textFill>
        </w:rPr>
      </w:pPr>
    </w:p>
    <w:p>
      <w:pPr>
        <w:pStyle w:val="2"/>
        <w:rPr>
          <w:rFonts w:hint="eastAsia" w:ascii="宋体" w:hAnsi="宋体" w:cs="宋体"/>
          <w:color w:val="000000" w:themeColor="text1"/>
          <w:szCs w:val="21"/>
          <w:highlight w:val="none"/>
          <w14:textFill>
            <w14:solidFill>
              <w14:schemeClr w14:val="tx1"/>
            </w14:solidFill>
          </w14:textFill>
        </w:rPr>
      </w:pPr>
    </w:p>
    <w:p>
      <w:pPr>
        <w:pStyle w:val="2"/>
        <w:rPr>
          <w:rFonts w:hint="eastAsia" w:ascii="宋体" w:hAnsi="宋体" w:cs="宋体"/>
          <w:color w:val="000000" w:themeColor="text1"/>
          <w:szCs w:val="21"/>
          <w:highlight w:val="none"/>
          <w14:textFill>
            <w14:solidFill>
              <w14:schemeClr w14:val="tx1"/>
            </w14:solidFill>
          </w14:textFill>
        </w:rPr>
      </w:pPr>
    </w:p>
    <w:p>
      <w:pPr>
        <w:pStyle w:val="2"/>
        <w:rPr>
          <w:rFonts w:hint="eastAsia" w:ascii="宋体" w:hAnsi="宋体" w:cs="宋体"/>
          <w:color w:val="000000" w:themeColor="text1"/>
          <w:szCs w:val="21"/>
          <w:highlight w:val="none"/>
          <w14:textFill>
            <w14:solidFill>
              <w14:schemeClr w14:val="tx1"/>
            </w14:solidFill>
          </w14:textFill>
        </w:rPr>
      </w:pPr>
    </w:p>
    <w:p>
      <w:pPr>
        <w:pStyle w:val="2"/>
        <w:rPr>
          <w:rFonts w:hint="eastAsia" w:ascii="宋体" w:hAnsi="宋体" w:cs="宋体"/>
          <w:color w:val="000000" w:themeColor="text1"/>
          <w:szCs w:val="21"/>
          <w:highlight w:val="none"/>
          <w14:textFill>
            <w14:solidFill>
              <w14:schemeClr w14:val="tx1"/>
            </w14:solidFill>
          </w14:textFill>
        </w:rPr>
      </w:pPr>
    </w:p>
    <w:p>
      <w:pPr>
        <w:pStyle w:val="2"/>
        <w:rPr>
          <w:rFonts w:hint="eastAsia" w:ascii="宋体" w:hAnsi="宋体" w:cs="宋体"/>
          <w:color w:val="000000" w:themeColor="text1"/>
          <w:szCs w:val="21"/>
          <w:highlight w:val="none"/>
          <w14:textFill>
            <w14:solidFill>
              <w14:schemeClr w14:val="tx1"/>
            </w14:solidFill>
          </w14:textFill>
        </w:rPr>
      </w:pPr>
    </w:p>
    <w:p>
      <w:pPr>
        <w:pStyle w:val="2"/>
        <w:rPr>
          <w:rFonts w:hint="eastAsia" w:ascii="宋体" w:hAnsi="宋体" w:cs="宋体"/>
          <w:color w:val="000000" w:themeColor="text1"/>
          <w:szCs w:val="21"/>
          <w:highlight w:val="none"/>
          <w14:textFill>
            <w14:solidFill>
              <w14:schemeClr w14:val="tx1"/>
            </w14:solidFill>
          </w14:textFill>
        </w:rPr>
      </w:pPr>
    </w:p>
    <w:p>
      <w:pPr>
        <w:pStyle w:val="2"/>
        <w:rPr>
          <w:rFonts w:hint="eastAsia" w:ascii="宋体" w:hAnsi="宋体" w:cs="宋体"/>
          <w:color w:val="000000" w:themeColor="text1"/>
          <w:szCs w:val="21"/>
          <w:highlight w:val="none"/>
          <w14:textFill>
            <w14:solidFill>
              <w14:schemeClr w14:val="tx1"/>
            </w14:solidFill>
          </w14:textFill>
        </w:rPr>
      </w:pPr>
    </w:p>
    <w:p>
      <w:pPr>
        <w:pStyle w:val="2"/>
        <w:rPr>
          <w:rFonts w:hint="eastAsia" w:ascii="宋体" w:hAnsi="宋体" w:cs="宋体"/>
          <w:color w:val="000000" w:themeColor="text1"/>
          <w:szCs w:val="21"/>
          <w:highlight w:val="none"/>
          <w14:textFill>
            <w14:solidFill>
              <w14:schemeClr w14:val="tx1"/>
            </w14:solidFill>
          </w14:textFill>
        </w:rPr>
      </w:pPr>
    </w:p>
    <w:p>
      <w:pPr>
        <w:pStyle w:val="2"/>
        <w:rPr>
          <w:rFonts w:hint="eastAsia" w:ascii="宋体" w:hAnsi="宋体" w:cs="宋体"/>
          <w:color w:val="000000" w:themeColor="text1"/>
          <w:szCs w:val="21"/>
          <w:highlight w:val="none"/>
          <w14:textFill>
            <w14:solidFill>
              <w14:schemeClr w14:val="tx1"/>
            </w14:solidFill>
          </w14:textFill>
        </w:rPr>
      </w:pPr>
    </w:p>
    <w:p>
      <w:pPr>
        <w:pStyle w:val="2"/>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附件</w:t>
      </w:r>
      <w:r>
        <w:rPr>
          <w:rFonts w:hint="eastAsia" w:ascii="宋体" w:hAnsi="宋体" w:eastAsia="宋体" w:cs="宋体"/>
          <w:b/>
          <w:bCs/>
          <w:color w:val="000000" w:themeColor="text1"/>
          <w:szCs w:val="21"/>
          <w:highlight w:val="none"/>
          <w:lang w:val="en-US" w:eastAsia="zh-CN"/>
          <w14:textFill>
            <w14:solidFill>
              <w14:schemeClr w14:val="tx1"/>
            </w14:solidFill>
          </w14:textFill>
        </w:rPr>
        <w:t>4</w:t>
      </w:r>
      <w:r>
        <w:rPr>
          <w:rFonts w:hint="eastAsia" w:ascii="宋体" w:hAnsi="宋体" w:eastAsia="宋体" w:cs="宋体"/>
          <w:b/>
          <w:bCs/>
          <w:color w:val="000000" w:themeColor="text1"/>
          <w:szCs w:val="21"/>
          <w:highlight w:val="none"/>
          <w14:textFill>
            <w14:solidFill>
              <w14:schemeClr w14:val="tx1"/>
            </w14:solidFill>
          </w14:textFill>
        </w:rPr>
        <w:t>：</w:t>
      </w:r>
    </w:p>
    <w:p>
      <w:pPr>
        <w:pStyle w:val="2"/>
        <w:rPr>
          <w:rFonts w:hint="eastAsia" w:ascii="宋体" w:hAnsi="宋体" w:eastAsia="宋体" w:cs="宋体"/>
          <w:b/>
          <w:bCs/>
          <w:color w:val="000000" w:themeColor="text1"/>
          <w:szCs w:val="21"/>
          <w:highlight w:val="none"/>
          <w14:textFill>
            <w14:solidFill>
              <w14:schemeClr w14:val="tx1"/>
            </w14:solidFill>
          </w14:textFill>
        </w:rPr>
      </w:pPr>
    </w:p>
    <w:p>
      <w:pPr>
        <w:adjustRightInd w:val="0"/>
        <w:snapToGrid w:val="0"/>
        <w:jc w:val="center"/>
        <w:rPr>
          <w:rFonts w:hint="eastAsia" w:ascii="方正小标宋简体" w:hAnsi="方正小标宋简体" w:eastAsia="方正小标宋简体" w:cs="方正小标宋简体"/>
          <w:color w:val="auto"/>
          <w:sz w:val="32"/>
          <w:szCs w:val="32"/>
          <w:highlight w:val="none"/>
        </w:rPr>
      </w:pPr>
      <w:r>
        <w:rPr>
          <w:rFonts w:hint="eastAsia" w:ascii="宋体" w:hAnsi="宋体" w:eastAsia="宋体" w:cs="宋体"/>
          <w:b/>
          <w:bCs/>
          <w:color w:val="auto"/>
          <w:sz w:val="32"/>
          <w:szCs w:val="32"/>
          <w:highlight w:val="none"/>
        </w:rPr>
        <w:t>不诚信行为的情形及相应被暂停参与投标活动的处理标准</w:t>
      </w:r>
    </w:p>
    <w:tbl>
      <w:tblPr>
        <w:tblStyle w:val="20"/>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426"/>
        <w:gridCol w:w="5245"/>
        <w:gridCol w:w="850"/>
        <w:gridCol w:w="198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序号</w:t>
            </w:r>
          </w:p>
        </w:tc>
        <w:tc>
          <w:tcPr>
            <w:tcW w:w="567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不诚信行为的情形</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处理</w:t>
            </w:r>
          </w:p>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期限</w:t>
            </w:r>
          </w:p>
        </w:tc>
        <w:tc>
          <w:tcPr>
            <w:tcW w:w="19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情节严重或拒不改正的延长处理期限</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w:t>
            </w:r>
          </w:p>
        </w:tc>
        <w:tc>
          <w:tcPr>
            <w:tcW w:w="42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安全不诚信行为</w:t>
            </w: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（一）建设生产现场发生人员</w:t>
            </w:r>
            <w:r>
              <w:rPr>
                <w:rFonts w:hint="eastAsia" w:ascii="仿宋_GB2312" w:hAnsi="仿宋_GB2312" w:eastAsia="仿宋_GB2312" w:cs="仿宋_GB2312"/>
                <w:color w:val="auto"/>
                <w:szCs w:val="24"/>
                <w:highlight w:val="none"/>
                <w:lang w:eastAsia="zh-CN"/>
              </w:rPr>
              <w:t>重伤或</w:t>
            </w:r>
            <w:r>
              <w:rPr>
                <w:rFonts w:hint="eastAsia" w:ascii="仿宋_GB2312" w:hAnsi="仿宋_GB2312" w:eastAsia="仿宋_GB2312" w:cs="仿宋_GB2312"/>
                <w:color w:val="auto"/>
                <w:szCs w:val="24"/>
                <w:highlight w:val="none"/>
              </w:rPr>
              <w:t>死亡的。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发生</w:t>
            </w:r>
            <w:r>
              <w:rPr>
                <w:rFonts w:hint="eastAsia" w:ascii="仿宋_GB2312" w:hAnsi="仿宋_GB2312" w:eastAsia="仿宋_GB2312" w:cs="仿宋_GB2312"/>
                <w:color w:val="auto"/>
                <w:szCs w:val="24"/>
                <w:highlight w:val="none"/>
                <w:lang w:eastAsia="zh-CN"/>
              </w:rPr>
              <w:t>重伤或</w:t>
            </w:r>
            <w:r>
              <w:rPr>
                <w:rFonts w:hint="eastAsia" w:ascii="仿宋_GB2312" w:hAnsi="仿宋_GB2312" w:eastAsia="仿宋_GB2312" w:cs="仿宋_GB2312"/>
                <w:color w:val="auto"/>
                <w:szCs w:val="24"/>
                <w:highlight w:val="none"/>
              </w:rPr>
              <w:t>死亡1～2人的，暂停投标1年至2年（含）。</w:t>
            </w:r>
          </w:p>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发生</w:t>
            </w:r>
            <w:r>
              <w:rPr>
                <w:rFonts w:hint="eastAsia" w:ascii="仿宋_GB2312" w:hAnsi="仿宋_GB2312" w:eastAsia="仿宋_GB2312" w:cs="仿宋_GB2312"/>
                <w:color w:val="auto"/>
                <w:szCs w:val="24"/>
                <w:highlight w:val="none"/>
                <w:lang w:eastAsia="zh-CN"/>
              </w:rPr>
              <w:t>重伤或</w:t>
            </w:r>
            <w:r>
              <w:rPr>
                <w:rFonts w:hint="eastAsia" w:ascii="仿宋_GB2312" w:hAnsi="仿宋_GB2312" w:eastAsia="仿宋_GB2312" w:cs="仿宋_GB2312"/>
                <w:color w:val="auto"/>
                <w:szCs w:val="24"/>
                <w:highlight w:val="none"/>
              </w:rPr>
              <w:t>死亡3～9人的，暂停投标2年以上至4年。</w:t>
            </w:r>
          </w:p>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发生</w:t>
            </w:r>
            <w:r>
              <w:rPr>
                <w:rFonts w:hint="eastAsia" w:ascii="仿宋_GB2312" w:hAnsi="仿宋_GB2312" w:eastAsia="仿宋_GB2312" w:cs="仿宋_GB2312"/>
                <w:color w:val="auto"/>
                <w:sz w:val="21"/>
                <w:szCs w:val="24"/>
                <w:highlight w:val="none"/>
                <w:lang w:val="en-US" w:eastAsia="zh-CN"/>
              </w:rPr>
              <w:t>重伤10人以上（含）、或</w:t>
            </w:r>
            <w:r>
              <w:rPr>
                <w:rFonts w:hint="eastAsia" w:ascii="仿宋_GB2312" w:hAnsi="仿宋_GB2312" w:eastAsia="仿宋_GB2312" w:cs="仿宋_GB2312"/>
                <w:color w:val="auto"/>
                <w:szCs w:val="24"/>
                <w:highlight w:val="none"/>
              </w:rPr>
              <w:t>重大及以上事故的，暂停投标4年或以上</w:t>
            </w:r>
            <w:r>
              <w:rPr>
                <w:rFonts w:hint="eastAsia" w:ascii="仿宋_GB2312" w:hAnsi="仿宋_GB2312" w:eastAsia="仿宋_GB2312" w:cs="仿宋_GB2312"/>
                <w:color w:val="auto"/>
                <w:szCs w:val="24"/>
                <w:highlight w:val="none"/>
                <w:lang w:eastAsia="zh-CN"/>
              </w:rPr>
              <w:t>。</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政府认定责任事故增加6个月。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二）发生基坑坍塌、高支模坍塌、结构坍塌、周边建筑物沉降、管线损坏、火灾、爆炸等，虽无人员伤亡但造成重大社会负面影响的事件。重大社会负面影响包括但不限于交通中断、大面积停水停电停气、大范围通信中断、人员紧急疏散、中断行车2小时以上，</w:t>
            </w:r>
            <w:r>
              <w:rPr>
                <w:rFonts w:hint="eastAsia" w:ascii="仿宋_GB2312" w:hAnsi="仿宋_GB2312" w:eastAsia="仿宋_GB2312" w:cs="仿宋_GB2312"/>
                <w:color w:val="auto"/>
                <w:szCs w:val="24"/>
                <w:highlight w:val="none"/>
                <w:lang w:eastAsia="zh-CN"/>
              </w:rPr>
              <w:t>大面积运营晚点，</w:t>
            </w:r>
            <w:r>
              <w:rPr>
                <w:rFonts w:hint="eastAsia" w:ascii="仿宋_GB2312" w:hAnsi="仿宋_GB2312" w:eastAsia="仿宋_GB2312" w:cs="仿宋_GB2312"/>
                <w:color w:val="auto"/>
                <w:szCs w:val="24"/>
                <w:highlight w:val="none"/>
              </w:rPr>
              <w:t>或群体性事件等。</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视情况暂停投标1至2年。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3</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（三）</w:t>
            </w:r>
            <w:r>
              <w:rPr>
                <w:rFonts w:hint="eastAsia" w:ascii="仿宋_GB2312" w:hAnsi="仿宋_GB2312" w:eastAsia="仿宋_GB2312" w:cs="仿宋_GB2312"/>
                <w:color w:val="auto"/>
                <w:sz w:val="21"/>
                <w:szCs w:val="24"/>
                <w:highlight w:val="none"/>
                <w:lang w:val="en-US" w:eastAsia="zh-CN"/>
              </w:rPr>
              <w:t>根据《广州市净水有限公司工程项目承包单位考评细则》安全管理未达标且符合限制投标处罚标准的。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暂停投标1年。若至下一个自然年度项目尚未完结，仍出现该款情形的，继续暂停投标1年；同理执行至工程建设项目完工验收完成。</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4</w:t>
            </w:r>
          </w:p>
        </w:tc>
        <w:tc>
          <w:tcPr>
            <w:tcW w:w="42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质量不诚信行为</w:t>
            </w: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（一）由于质量问题对建设项目的使用功能造成影响且无法挽回的。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暂停投标1年。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5</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w:t>
            </w:r>
            <w:r>
              <w:rPr>
                <w:rFonts w:hint="eastAsia" w:ascii="仿宋_GB2312" w:hAnsi="仿宋_GB2312" w:eastAsia="仿宋_GB2312" w:cs="仿宋_GB2312"/>
                <w:color w:val="auto"/>
                <w:szCs w:val="24"/>
                <w:highlight w:val="none"/>
                <w:lang w:eastAsia="zh-CN"/>
              </w:rPr>
              <w:t>二</w:t>
            </w:r>
            <w:r>
              <w:rPr>
                <w:rFonts w:hint="eastAsia" w:ascii="仿宋_GB2312" w:hAnsi="仿宋_GB2312" w:eastAsia="仿宋_GB2312" w:cs="仿宋_GB2312"/>
                <w:color w:val="auto"/>
                <w:szCs w:val="24"/>
                <w:highlight w:val="none"/>
              </w:rPr>
              <w:t>）</w:t>
            </w:r>
            <w:r>
              <w:rPr>
                <w:rFonts w:hint="eastAsia" w:ascii="仿宋_GB2312" w:hAnsi="仿宋_GB2312" w:eastAsia="仿宋_GB2312" w:cs="仿宋_GB2312"/>
                <w:color w:val="auto"/>
                <w:sz w:val="21"/>
                <w:szCs w:val="24"/>
                <w:highlight w:val="none"/>
                <w:lang w:val="en-US" w:eastAsia="zh-CN"/>
              </w:rPr>
              <w:t>根据《广州市净水有限公司工程项目承包单位考评细则》质量管理未达标且符合限制投标处罚标准的。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暂停投标</w:t>
            </w:r>
            <w:r>
              <w:rPr>
                <w:rFonts w:hint="eastAsia" w:ascii="仿宋_GB2312" w:hAnsi="仿宋_GB2312" w:eastAsia="仿宋_GB2312" w:cs="仿宋_GB2312"/>
                <w:color w:val="auto"/>
                <w:szCs w:val="24"/>
                <w:highlight w:val="none"/>
                <w:lang w:val="en-US" w:eastAsia="zh-CN"/>
              </w:rPr>
              <w:t>1</w:t>
            </w:r>
            <w:r>
              <w:rPr>
                <w:rFonts w:hint="eastAsia" w:ascii="仿宋_GB2312" w:hAnsi="仿宋_GB2312" w:eastAsia="仿宋_GB2312" w:cs="仿宋_GB2312"/>
                <w:color w:val="auto"/>
                <w:szCs w:val="24"/>
                <w:highlight w:val="none"/>
                <w:lang w:eastAsia="zh-CN"/>
              </w:rPr>
              <w:t>年</w:t>
            </w:r>
            <w:r>
              <w:rPr>
                <w:rFonts w:hint="eastAsia" w:ascii="仿宋_GB2312" w:hAnsi="仿宋_GB2312" w:eastAsia="仿宋_GB2312" w:cs="仿宋_GB2312"/>
                <w:color w:val="auto"/>
                <w:szCs w:val="24"/>
                <w:highlight w:val="none"/>
              </w:rPr>
              <w:t>。若至下一个自然年度项目尚未完结，仍出现该款情形的，继续暂停投标</w:t>
            </w:r>
            <w:r>
              <w:rPr>
                <w:rFonts w:hint="eastAsia" w:ascii="仿宋_GB2312" w:hAnsi="仿宋_GB2312" w:eastAsia="仿宋_GB2312" w:cs="仿宋_GB2312"/>
                <w:color w:val="auto"/>
                <w:szCs w:val="24"/>
                <w:highlight w:val="none"/>
                <w:lang w:val="en-US" w:eastAsia="zh-CN"/>
              </w:rPr>
              <w:t>1</w:t>
            </w:r>
            <w:r>
              <w:rPr>
                <w:rFonts w:hint="eastAsia" w:ascii="仿宋_GB2312" w:hAnsi="仿宋_GB2312" w:eastAsia="仿宋_GB2312" w:cs="仿宋_GB2312"/>
                <w:color w:val="auto"/>
                <w:szCs w:val="24"/>
                <w:highlight w:val="none"/>
                <w:lang w:eastAsia="zh-CN"/>
              </w:rPr>
              <w:t>年</w:t>
            </w:r>
            <w:r>
              <w:rPr>
                <w:rFonts w:hint="eastAsia" w:ascii="仿宋_GB2312" w:hAnsi="仿宋_GB2312" w:eastAsia="仿宋_GB2312" w:cs="仿宋_GB2312"/>
                <w:color w:val="auto"/>
                <w:szCs w:val="24"/>
                <w:highlight w:val="none"/>
              </w:rPr>
              <w:t>；同理执行至工程建设项目完工验收完成。</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（三）发生其他由质量问题而引起的重大社会负面影响事件的。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7</w:t>
            </w:r>
          </w:p>
        </w:tc>
        <w:tc>
          <w:tcPr>
            <w:tcW w:w="42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其他不诚信</w:t>
            </w:r>
          </w:p>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行为</w:t>
            </w: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（一）</w:t>
            </w:r>
            <w:r>
              <w:rPr>
                <w:rFonts w:hint="eastAsia" w:ascii="仿宋_GB2312" w:hAnsi="仿宋_GB2312" w:eastAsia="仿宋_GB2312" w:cs="仿宋_GB2312"/>
                <w:color w:val="auto"/>
                <w:sz w:val="21"/>
                <w:szCs w:val="24"/>
                <w:highlight w:val="none"/>
                <w:lang w:val="en-US" w:eastAsia="zh-CN"/>
              </w:rPr>
              <w:t>投标、询价过程弄虚作假、串通报价投标、任意弃标</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8</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（二）发生质量事故或安全事故造成社会负面影响需要面对媒体和进行危机公关，参建企业法定代表人在规定的时间内未到现场面对媒体进行危机公关的。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9</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（三）因参建企业原因造成信访、维稳事件，造成较大社会影响。</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10</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（四）中标后转包工程、非法分包工程、非法转让业务的。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11</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（五）因人员、机械投入及配套服务投入不足，主要管理人员未按照投标文件响应到位，导致严重影响工期，被市水投集团相关部门及发包人督办、警告和约谈3次的。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12</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（六）未经批准擅自更换项目经理的。</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6个月</w:t>
            </w:r>
          </w:p>
        </w:tc>
        <w:tc>
          <w:tcPr>
            <w:tcW w:w="19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13</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（七）严重违反合同约定的，具体包括但不限于以下行为：</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14</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1.提供或使用假冒伪劣或以次充好产品、不符合国家规范规定材料的。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6个月</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15</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2.工程竣工验收后，不出具质量保修书的，或质量保修的内容、期限违反规定的。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6个月</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16</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3.不履行保修义务或者拖延履行保修义务的。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6个月</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17</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4.其他经认定为严重违反合同规定的。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18</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（八）违反廉洁协议约定的。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19</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（九）拖欠农民工工资，造成不良后果的。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20</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（十）为谋取非法利益，给市水投集团或发包人造成损失的。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21</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（十一）因参建企业原因造成第三者财产重大损失的。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22</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numPr>
                <w:ilvl w:val="0"/>
                <w:numId w:val="0"/>
              </w:numPr>
              <w:adjustRightInd w:val="0"/>
              <w:snapToGrid w:val="0"/>
              <w:jc w:val="left"/>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（十二）</w:t>
            </w:r>
            <w:r>
              <w:rPr>
                <w:rFonts w:hint="eastAsia" w:ascii="仿宋_GB2312" w:hAnsi="仿宋_GB2312" w:eastAsia="仿宋_GB2312" w:cs="仿宋_GB2312"/>
                <w:color w:val="auto"/>
                <w:sz w:val="21"/>
                <w:szCs w:val="24"/>
                <w:highlight w:val="none"/>
                <w:lang w:val="en-US" w:eastAsia="zh-CN"/>
              </w:rPr>
              <w:t>经发包人认定的其他不诚信行为</w:t>
            </w:r>
            <w:r>
              <w:rPr>
                <w:rFonts w:hint="eastAsia" w:ascii="仿宋_GB2312" w:hAnsi="仿宋_GB2312" w:eastAsia="仿宋_GB2312" w:cs="仿宋_GB2312"/>
                <w:color w:val="auto"/>
                <w:szCs w:val="24"/>
                <w:highlight w:val="none"/>
              </w:rPr>
              <w:t>。</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bl>
    <w:p>
      <w:pPr>
        <w:numPr>
          <w:ilvl w:val="0"/>
          <w:numId w:val="0"/>
        </w:numPr>
        <w:ind w:firstLine="0" w:firstLineChars="0"/>
        <w:contextualSpacing/>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备注：本处理标准出自</w:t>
      </w:r>
      <w:r>
        <w:rPr>
          <w:rFonts w:hint="eastAsia" w:ascii="仿宋_GB2312" w:hAnsi="仿宋_GB2312" w:eastAsia="仿宋_GB2312" w:cs="仿宋_GB2312"/>
          <w:color w:val="000000" w:themeColor="text1"/>
          <w:sz w:val="24"/>
          <w:szCs w:val="24"/>
          <w:highlight w:val="none"/>
          <w14:textFill>
            <w14:solidFill>
              <w14:schemeClr w14:val="tx1"/>
            </w14:solidFill>
          </w14:textFill>
        </w:rPr>
        <w:t>《广州市净水有限公司经营建设项目参建企业不诚信行为管理办法》</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p>
    <w:p>
      <w:pPr>
        <w:widowControl/>
        <w:jc w:val="left"/>
        <w:rPr>
          <w:rFonts w:hint="eastAsia" w:ascii="宋体" w:hAnsi="宋体" w:cs="宋体"/>
          <w:color w:val="000000" w:themeColor="text1"/>
          <w:szCs w:val="21"/>
          <w:highlight w:val="none"/>
          <w:lang w:eastAsia="zh-CN"/>
          <w14:textFill>
            <w14:solidFill>
              <w14:schemeClr w14:val="tx1"/>
            </w14:solidFill>
          </w14:textFill>
        </w:rPr>
      </w:pPr>
    </w:p>
    <w:p>
      <w:pPr>
        <w:widowControl/>
        <w:jc w:val="left"/>
        <w:rPr>
          <w:rFonts w:hint="eastAsia" w:ascii="宋体" w:hAnsi="宋体" w:cs="宋体"/>
          <w:color w:val="000000" w:themeColor="text1"/>
          <w:szCs w:val="21"/>
          <w:highlight w:val="none"/>
          <w:lang w:eastAsia="zh-CN"/>
          <w14:textFill>
            <w14:solidFill>
              <w14:schemeClr w14:val="tx1"/>
            </w14:solidFill>
          </w14:textFill>
        </w:rPr>
      </w:pPr>
    </w:p>
    <w:p>
      <w:pPr>
        <w:rPr>
          <w:rFonts w:hint="eastAsia" w:ascii="宋体" w:hAnsi="宋体" w:cs="宋体"/>
          <w:b/>
          <w:bCs/>
          <w:color w:val="000000" w:themeColor="text1"/>
          <w:sz w:val="24"/>
          <w:szCs w:val="24"/>
          <w:highlight w:val="none"/>
          <w:lang w:val="en-US" w:eastAsia="zh-CN"/>
          <w14:textFill>
            <w14:solidFill>
              <w14:schemeClr w14:val="tx1"/>
            </w14:solidFill>
          </w14:textFill>
        </w:rPr>
      </w:pPr>
    </w:p>
    <w:bookmarkEnd w:id="11"/>
    <w:bookmarkEnd w:id="12"/>
    <w:bookmarkEnd w:id="13"/>
    <w:p>
      <w:pPr>
        <w:pStyle w:val="4"/>
        <w:spacing w:line="360" w:lineRule="auto"/>
        <w:jc w:val="both"/>
        <w:rPr>
          <w:rFonts w:hint="eastAsia" w:ascii="仿宋" w:hAnsi="仿宋" w:eastAsia="仿宋" w:cs="仿宋_GB2312"/>
          <w:color w:val="000000" w:themeColor="text1"/>
          <w14:textFill>
            <w14:solidFill>
              <w14:schemeClr w14:val="tx1"/>
            </w14:solidFill>
          </w14:textFill>
        </w:rPr>
      </w:pPr>
    </w:p>
    <w:p>
      <w:pPr>
        <w:pStyle w:val="4"/>
        <w:spacing w:line="360" w:lineRule="auto"/>
        <w:jc w:val="center"/>
        <w:rPr>
          <w:rFonts w:hint="eastAsia" w:ascii="仿宋" w:hAnsi="仿宋" w:eastAsia="仿宋" w:cs="仿宋_GB2312"/>
          <w:color w:val="000000" w:themeColor="text1"/>
          <w14:textFill>
            <w14:solidFill>
              <w14:schemeClr w14:val="tx1"/>
            </w14:solidFill>
          </w14:textFill>
        </w:rPr>
      </w:pPr>
    </w:p>
    <w:p>
      <w:pPr>
        <w:rPr>
          <w:rFonts w:hint="eastAsia" w:ascii="仿宋" w:hAnsi="仿宋" w:eastAsia="仿宋" w:cs="仿宋_GB2312"/>
          <w:color w:val="000000" w:themeColor="text1"/>
          <w14:textFill>
            <w14:solidFill>
              <w14:schemeClr w14:val="tx1"/>
            </w14:solidFill>
          </w14:textFill>
        </w:rPr>
      </w:pPr>
    </w:p>
    <w:p>
      <w:pPr>
        <w:pStyle w:val="19"/>
        <w:rPr>
          <w:rFonts w:hint="eastAsia" w:ascii="仿宋" w:hAnsi="仿宋" w:eastAsia="仿宋" w:cs="仿宋_GB2312"/>
          <w:color w:val="000000" w:themeColor="text1"/>
          <w14:textFill>
            <w14:solidFill>
              <w14:schemeClr w14:val="tx1"/>
            </w14:solidFill>
          </w14:textFill>
        </w:rPr>
      </w:pPr>
    </w:p>
    <w:p>
      <w:pPr>
        <w:pStyle w:val="19"/>
        <w:rPr>
          <w:rFonts w:hint="eastAsia" w:ascii="仿宋" w:hAnsi="仿宋" w:eastAsia="仿宋" w:cs="仿宋_GB2312"/>
          <w:color w:val="000000" w:themeColor="text1"/>
          <w14:textFill>
            <w14:solidFill>
              <w14:schemeClr w14:val="tx1"/>
            </w14:solidFill>
          </w14:textFill>
        </w:rPr>
      </w:pPr>
    </w:p>
    <w:p>
      <w:pPr>
        <w:pStyle w:val="19"/>
        <w:rPr>
          <w:rFonts w:hint="eastAsia" w:ascii="仿宋" w:hAnsi="仿宋" w:eastAsia="仿宋" w:cs="仿宋_GB2312"/>
          <w:color w:val="000000" w:themeColor="text1"/>
          <w14:textFill>
            <w14:solidFill>
              <w14:schemeClr w14:val="tx1"/>
            </w14:solidFill>
          </w14:textFill>
        </w:rPr>
      </w:pPr>
    </w:p>
    <w:p>
      <w:pPr>
        <w:pStyle w:val="19"/>
        <w:rPr>
          <w:rFonts w:hint="eastAsia" w:ascii="仿宋" w:hAnsi="仿宋" w:eastAsia="仿宋" w:cs="仿宋_GB2312"/>
          <w:color w:val="000000" w:themeColor="text1"/>
          <w14:textFill>
            <w14:solidFill>
              <w14:schemeClr w14:val="tx1"/>
            </w14:solidFill>
          </w14:textFill>
        </w:rPr>
      </w:pPr>
    </w:p>
    <w:p>
      <w:pPr>
        <w:pStyle w:val="4"/>
        <w:spacing w:line="360" w:lineRule="auto"/>
        <w:jc w:val="center"/>
        <w:rPr>
          <w:rFonts w:hint="eastAsia" w:ascii="仿宋" w:hAnsi="仿宋" w:eastAsia="仿宋" w:cs="仿宋_GB2312"/>
          <w:color w:val="000000" w:themeColor="text1"/>
          <w14:textFill>
            <w14:solidFill>
              <w14:schemeClr w14:val="tx1"/>
            </w14:solidFill>
          </w14:textFill>
        </w:rPr>
      </w:pPr>
    </w:p>
    <w:p>
      <w:pPr>
        <w:pStyle w:val="4"/>
        <w:spacing w:line="360" w:lineRule="auto"/>
        <w:jc w:val="cente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第五部分　响应文件格式</w:t>
      </w:r>
    </w:p>
    <w:p>
      <w:pPr>
        <w:pStyle w:val="9"/>
        <w:tabs>
          <w:tab w:val="left" w:pos="1260"/>
        </w:tabs>
        <w:jc w:val="center"/>
        <w:rPr>
          <w:rFonts w:ascii="仿宋" w:hAnsi="仿宋" w:eastAsia="仿宋" w:cs="仿宋_GB2312"/>
          <w:b/>
          <w:color w:val="000000" w:themeColor="text1"/>
          <w:kern w:val="0"/>
          <w:sz w:val="24"/>
          <w:szCs w:val="24"/>
          <w14:textFill>
            <w14:solidFill>
              <w14:schemeClr w14:val="tx1"/>
            </w14:solidFill>
          </w14:textFill>
        </w:rPr>
      </w:pPr>
    </w:p>
    <w:p>
      <w:pPr>
        <w:pStyle w:val="9"/>
        <w:tabs>
          <w:tab w:val="left" w:pos="1260"/>
        </w:tabs>
        <w:jc w:val="center"/>
        <w:rPr>
          <w:rFonts w:ascii="仿宋" w:hAnsi="仿宋" w:eastAsia="仿宋" w:cs="仿宋_GB2312"/>
          <w:b/>
          <w:color w:val="000000" w:themeColor="text1"/>
          <w:kern w:val="0"/>
          <w:sz w:val="24"/>
          <w:szCs w:val="24"/>
          <w14:textFill>
            <w14:solidFill>
              <w14:schemeClr w14:val="tx1"/>
            </w14:solidFill>
          </w14:textFill>
        </w:rPr>
      </w:pPr>
    </w:p>
    <w:p>
      <w:pPr>
        <w:pStyle w:val="9"/>
        <w:tabs>
          <w:tab w:val="left" w:pos="1260"/>
        </w:tabs>
        <w:jc w:val="center"/>
        <w:rPr>
          <w:rFonts w:ascii="仿宋" w:hAnsi="仿宋" w:eastAsia="仿宋" w:cs="仿宋_GB2312"/>
          <w:b/>
          <w:color w:val="000000" w:themeColor="text1"/>
          <w:kern w:val="0"/>
          <w:sz w:val="24"/>
          <w:szCs w:val="24"/>
          <w14:textFill>
            <w14:solidFill>
              <w14:schemeClr w14:val="tx1"/>
            </w14:solidFill>
          </w14:textFill>
        </w:rPr>
      </w:pPr>
    </w:p>
    <w:p>
      <w:pPr>
        <w:pStyle w:val="9"/>
        <w:tabs>
          <w:tab w:val="left" w:pos="1260"/>
        </w:tabs>
        <w:jc w:val="center"/>
        <w:rPr>
          <w:rFonts w:ascii="仿宋" w:hAnsi="仿宋" w:eastAsia="仿宋" w:cs="仿宋_GB2312"/>
          <w:b/>
          <w:color w:val="000000" w:themeColor="text1"/>
          <w:kern w:val="0"/>
          <w:sz w:val="24"/>
          <w:szCs w:val="24"/>
          <w14:textFill>
            <w14:solidFill>
              <w14:schemeClr w14:val="tx1"/>
            </w14:solidFill>
          </w14:textFill>
        </w:rPr>
      </w:pPr>
    </w:p>
    <w:p>
      <w:pPr>
        <w:pStyle w:val="9"/>
        <w:tabs>
          <w:tab w:val="left" w:pos="1260"/>
        </w:tabs>
        <w:jc w:val="center"/>
        <w:rPr>
          <w:rFonts w:ascii="仿宋" w:hAnsi="仿宋" w:eastAsia="仿宋" w:cs="仿宋_GB2312"/>
          <w:b/>
          <w:bCs/>
          <w:color w:val="000000" w:themeColor="text1"/>
          <w:sz w:val="28"/>
          <w:szCs w:val="28"/>
          <w14:textFill>
            <w14:solidFill>
              <w14:schemeClr w14:val="tx1"/>
            </w14:solidFill>
          </w14:textFill>
        </w:rPr>
      </w:pPr>
      <w:r>
        <w:rPr>
          <w:rFonts w:hint="eastAsia" w:ascii="仿宋" w:hAnsi="仿宋" w:eastAsia="仿宋" w:cs="仿宋_GB2312"/>
          <w:b/>
          <w:bCs/>
          <w:color w:val="000000" w:themeColor="text1"/>
          <w:sz w:val="28"/>
          <w:szCs w:val="28"/>
          <w14:textFill>
            <w14:solidFill>
              <w14:schemeClr w14:val="tx1"/>
            </w14:solidFill>
          </w14:textFill>
        </w:rPr>
        <w:t>广州市净水有限公司</w:t>
      </w:r>
    </w:p>
    <w:p>
      <w:pPr>
        <w:pStyle w:val="9"/>
        <w:tabs>
          <w:tab w:val="left" w:pos="1260"/>
        </w:tabs>
        <w:jc w:val="center"/>
        <w:rPr>
          <w:rFonts w:ascii="仿宋" w:hAnsi="仿宋" w:eastAsia="仿宋" w:cs="仿宋_GB2312"/>
          <w:b/>
          <w:bCs/>
          <w:color w:val="000000" w:themeColor="text1"/>
          <w:sz w:val="28"/>
          <w:szCs w:val="28"/>
          <w14:textFill>
            <w14:solidFill>
              <w14:schemeClr w14:val="tx1"/>
            </w14:solidFill>
          </w14:textFill>
        </w:rPr>
      </w:pPr>
      <w:r>
        <w:rPr>
          <w:rFonts w:ascii="仿宋" w:hAnsi="仿宋" w:eastAsia="仿宋" w:cs="仿宋_GB2312"/>
          <w:b/>
          <w:bCs/>
          <w:color w:val="000000" w:themeColor="text1"/>
          <w:sz w:val="28"/>
          <w:szCs w:val="28"/>
          <w14:textFill>
            <w14:solidFill>
              <w14:schemeClr w14:val="tx1"/>
            </w14:solidFill>
          </w14:textFill>
        </w:rPr>
        <w:t>（项目名称）</w:t>
      </w:r>
    </w:p>
    <w:p>
      <w:pPr>
        <w:pStyle w:val="9"/>
        <w:jc w:val="center"/>
        <w:rPr>
          <w:rFonts w:ascii="仿宋" w:hAnsi="仿宋" w:eastAsia="仿宋" w:cs="仿宋_GB2312"/>
          <w:b/>
          <w:color w:val="000000" w:themeColor="text1"/>
          <w:sz w:val="24"/>
          <w:szCs w:val="24"/>
          <w14:textFill>
            <w14:solidFill>
              <w14:schemeClr w14:val="tx1"/>
            </w14:solidFill>
          </w14:textFill>
        </w:rPr>
      </w:pPr>
    </w:p>
    <w:p>
      <w:pPr>
        <w:pStyle w:val="9"/>
        <w:jc w:val="center"/>
        <w:rPr>
          <w:rFonts w:ascii="仿宋" w:hAnsi="仿宋" w:eastAsia="仿宋" w:cs="仿宋_GB2312"/>
          <w:b/>
          <w:color w:val="000000" w:themeColor="text1"/>
          <w:sz w:val="24"/>
          <w:szCs w:val="24"/>
          <w14:textFill>
            <w14:solidFill>
              <w14:schemeClr w14:val="tx1"/>
            </w14:solidFill>
          </w14:textFill>
        </w:rPr>
      </w:pPr>
    </w:p>
    <w:p>
      <w:pPr>
        <w:pStyle w:val="9"/>
        <w:jc w:val="center"/>
        <w:rPr>
          <w:rFonts w:ascii="仿宋" w:hAnsi="仿宋" w:eastAsia="仿宋" w:cs="仿宋_GB2312"/>
          <w:b/>
          <w:color w:val="000000" w:themeColor="text1"/>
          <w:sz w:val="24"/>
          <w:szCs w:val="24"/>
          <w14:textFill>
            <w14:solidFill>
              <w14:schemeClr w14:val="tx1"/>
            </w14:solidFill>
          </w14:textFill>
        </w:rPr>
      </w:pPr>
    </w:p>
    <w:p>
      <w:pPr>
        <w:pStyle w:val="9"/>
        <w:jc w:val="center"/>
        <w:rPr>
          <w:rFonts w:ascii="仿宋" w:hAnsi="仿宋" w:eastAsia="仿宋" w:cs="仿宋_GB2312"/>
          <w:b/>
          <w:color w:val="000000" w:themeColor="text1"/>
          <w:sz w:val="24"/>
          <w:szCs w:val="24"/>
          <w14:textFill>
            <w14:solidFill>
              <w14:schemeClr w14:val="tx1"/>
            </w14:solidFill>
          </w14:textFill>
        </w:rPr>
      </w:pPr>
    </w:p>
    <w:p>
      <w:pPr>
        <w:pStyle w:val="9"/>
        <w:tabs>
          <w:tab w:val="left" w:pos="1260"/>
        </w:tabs>
        <w:jc w:val="center"/>
        <w:rPr>
          <w:rFonts w:ascii="仿宋" w:hAnsi="仿宋" w:eastAsia="仿宋" w:cs="仿宋_GB2312"/>
          <w:b/>
          <w:color w:val="000000" w:themeColor="text1"/>
          <w:spacing w:val="100"/>
          <w:w w:val="110"/>
          <w:sz w:val="28"/>
          <w:szCs w:val="28"/>
          <w14:textFill>
            <w14:solidFill>
              <w14:schemeClr w14:val="tx1"/>
            </w14:solidFill>
          </w14:textFill>
        </w:rPr>
      </w:pPr>
      <w:r>
        <w:rPr>
          <w:rFonts w:hint="eastAsia" w:ascii="仿宋" w:hAnsi="仿宋" w:eastAsia="仿宋" w:cs="仿宋_GB2312"/>
          <w:b/>
          <w:color w:val="000000" w:themeColor="text1"/>
          <w:spacing w:val="100"/>
          <w:w w:val="110"/>
          <w:kern w:val="0"/>
          <w:sz w:val="28"/>
          <w:szCs w:val="28"/>
          <w14:textFill>
            <w14:solidFill>
              <w14:schemeClr w14:val="tx1"/>
            </w14:solidFill>
          </w14:textFill>
        </w:rPr>
        <w:t>询价响应文件</w:t>
      </w:r>
    </w:p>
    <w:p>
      <w:pPr>
        <w:pStyle w:val="9"/>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（正本</w:t>
      </w:r>
      <w:r>
        <w:rPr>
          <w:rFonts w:ascii="仿宋" w:hAnsi="仿宋" w:eastAsia="仿宋" w:cs="仿宋_GB2312"/>
          <w:b/>
          <w:color w:val="000000" w:themeColor="text1"/>
          <w:sz w:val="28"/>
          <w:szCs w:val="28"/>
          <w14:textFill>
            <w14:solidFill>
              <w14:schemeClr w14:val="tx1"/>
            </w14:solidFill>
          </w14:textFill>
        </w:rPr>
        <w:t>/副本）</w:t>
      </w:r>
    </w:p>
    <w:p>
      <w:pPr>
        <w:pStyle w:val="9"/>
        <w:jc w:val="center"/>
        <w:rPr>
          <w:rFonts w:ascii="仿宋" w:hAnsi="仿宋" w:eastAsia="仿宋" w:cs="仿宋_GB2312"/>
          <w:b/>
          <w:color w:val="000000" w:themeColor="text1"/>
          <w14:textFill>
            <w14:solidFill>
              <w14:schemeClr w14:val="tx1"/>
            </w14:solidFill>
          </w14:textFill>
        </w:rPr>
      </w:pPr>
    </w:p>
    <w:p>
      <w:pPr>
        <w:pStyle w:val="9"/>
        <w:jc w:val="center"/>
        <w:rPr>
          <w:rFonts w:ascii="仿宋" w:hAnsi="仿宋" w:eastAsia="仿宋" w:cs="仿宋_GB2312"/>
          <w:b/>
          <w:color w:val="000000" w:themeColor="text1"/>
          <w14:textFill>
            <w14:solidFill>
              <w14:schemeClr w14:val="tx1"/>
            </w14:solidFill>
          </w14:textFill>
        </w:rPr>
      </w:pPr>
    </w:p>
    <w:p>
      <w:pPr>
        <w:pStyle w:val="9"/>
        <w:jc w:val="center"/>
        <w:rPr>
          <w:rFonts w:ascii="仿宋" w:hAnsi="仿宋" w:eastAsia="仿宋" w:cs="仿宋_GB2312"/>
          <w:b/>
          <w:color w:val="000000" w:themeColor="text1"/>
          <w14:textFill>
            <w14:solidFill>
              <w14:schemeClr w14:val="tx1"/>
            </w14:solidFill>
          </w14:textFill>
        </w:rPr>
      </w:pPr>
    </w:p>
    <w:p>
      <w:pPr>
        <w:pStyle w:val="9"/>
        <w:jc w:val="center"/>
        <w:rPr>
          <w:rFonts w:ascii="仿宋" w:hAnsi="仿宋" w:eastAsia="仿宋" w:cs="仿宋_GB2312"/>
          <w:b/>
          <w:color w:val="000000" w:themeColor="text1"/>
          <w14:textFill>
            <w14:solidFill>
              <w14:schemeClr w14:val="tx1"/>
            </w14:solidFill>
          </w14:textFill>
        </w:rPr>
      </w:pPr>
    </w:p>
    <w:p>
      <w:pPr>
        <w:pStyle w:val="9"/>
        <w:jc w:val="center"/>
        <w:rPr>
          <w:rFonts w:ascii="仿宋" w:hAnsi="仿宋" w:eastAsia="仿宋" w:cs="仿宋_GB2312"/>
          <w:b/>
          <w:color w:val="000000" w:themeColor="text1"/>
          <w14:textFill>
            <w14:solidFill>
              <w14:schemeClr w14:val="tx1"/>
            </w14:solidFill>
          </w14:textFill>
        </w:rPr>
      </w:pPr>
    </w:p>
    <w:p>
      <w:pPr>
        <w:pStyle w:val="9"/>
        <w:jc w:val="center"/>
        <w:rPr>
          <w:rFonts w:ascii="仿宋" w:hAnsi="仿宋" w:eastAsia="仿宋" w:cs="仿宋_GB2312"/>
          <w:b/>
          <w:color w:val="000000" w:themeColor="text1"/>
          <w:sz w:val="28"/>
          <w:szCs w:val="28"/>
          <w14:textFill>
            <w14:solidFill>
              <w14:schemeClr w14:val="tx1"/>
            </w14:solidFill>
          </w14:textFill>
        </w:rPr>
      </w:pPr>
    </w:p>
    <w:p>
      <w:pPr>
        <w:pStyle w:val="9"/>
        <w:spacing w:line="360" w:lineRule="auto"/>
        <w:ind w:firstLine="980" w:firstLineChars="350"/>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项目编号（包、组号）：</w:t>
      </w:r>
    </w:p>
    <w:p>
      <w:pPr>
        <w:pStyle w:val="8"/>
        <w:spacing w:line="360" w:lineRule="auto"/>
        <w:ind w:firstLine="560" w:firstLineChars="200"/>
        <w:rPr>
          <w:rFonts w:hint="eastAsia" w:ascii="仿宋" w:hAnsi="仿宋" w:eastAsia="仿宋" w:cs="仿宋_GB2312"/>
          <w:color w:val="000000" w:themeColor="text1"/>
          <w:sz w:val="28"/>
          <w:szCs w:val="28"/>
          <w:u w:val="single"/>
          <w:lang w:eastAsia="zh-CN"/>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项目名称：广州市净水有限公司石井净水厂地块控制性详细规划阶段海绵城市（含防洪排涝风险评估）专篇编制</w:t>
      </w:r>
      <w:r>
        <w:rPr>
          <w:rFonts w:hint="eastAsia" w:ascii="仿宋" w:hAnsi="仿宋" w:eastAsia="仿宋" w:cs="仿宋_GB2312"/>
          <w:color w:val="000000" w:themeColor="text1"/>
          <w:sz w:val="28"/>
          <w:szCs w:val="28"/>
          <w:lang w:eastAsia="zh-CN"/>
          <w14:textFill>
            <w14:solidFill>
              <w14:schemeClr w14:val="tx1"/>
            </w14:solidFill>
          </w14:textFill>
        </w:rPr>
        <w:t>（</w:t>
      </w:r>
      <w:r>
        <w:rPr>
          <w:rFonts w:hint="eastAsia" w:ascii="仿宋" w:hAnsi="仿宋" w:eastAsia="仿宋" w:cs="仿宋_GB2312"/>
          <w:color w:val="000000" w:themeColor="text1"/>
          <w:sz w:val="28"/>
          <w:szCs w:val="28"/>
          <w:lang w:val="en-US" w:eastAsia="zh-CN"/>
          <w14:textFill>
            <w14:solidFill>
              <w14:schemeClr w14:val="tx1"/>
            </w14:solidFill>
          </w14:textFill>
        </w:rPr>
        <w:t>第二次</w:t>
      </w:r>
      <w:r>
        <w:rPr>
          <w:rFonts w:hint="eastAsia" w:ascii="仿宋" w:hAnsi="仿宋" w:eastAsia="仿宋" w:cs="仿宋_GB2312"/>
          <w:color w:val="000000" w:themeColor="text1"/>
          <w:sz w:val="28"/>
          <w:szCs w:val="28"/>
          <w:lang w:eastAsia="zh-CN"/>
          <w14:textFill>
            <w14:solidFill>
              <w14:schemeClr w14:val="tx1"/>
            </w14:solidFill>
          </w14:textFill>
        </w:rPr>
        <w:t>）</w:t>
      </w:r>
    </w:p>
    <w:p>
      <w:pPr>
        <w:pStyle w:val="9"/>
        <w:ind w:firstLine="632" w:firstLineChars="300"/>
        <w:rPr>
          <w:rFonts w:ascii="仿宋" w:hAnsi="仿宋" w:eastAsia="仿宋" w:cs="仿宋_GB2312"/>
          <w:b/>
          <w:color w:val="000000" w:themeColor="text1"/>
          <w14:textFill>
            <w14:solidFill>
              <w14:schemeClr w14:val="tx1"/>
            </w14:solidFill>
          </w14:textFill>
        </w:rPr>
      </w:pPr>
    </w:p>
    <w:p>
      <w:pPr>
        <w:pStyle w:val="9"/>
        <w:ind w:firstLine="632" w:firstLineChars="300"/>
        <w:rPr>
          <w:rFonts w:ascii="仿宋" w:hAnsi="仿宋" w:eastAsia="仿宋" w:cs="仿宋_GB2312"/>
          <w:b/>
          <w:color w:val="000000" w:themeColor="text1"/>
          <w14:textFill>
            <w14:solidFill>
              <w14:schemeClr w14:val="tx1"/>
            </w14:solidFill>
          </w14:textFill>
        </w:rPr>
      </w:pPr>
    </w:p>
    <w:p>
      <w:pPr>
        <w:pStyle w:val="9"/>
        <w:ind w:firstLine="632" w:firstLineChars="300"/>
        <w:rPr>
          <w:rFonts w:ascii="仿宋" w:hAnsi="仿宋" w:eastAsia="仿宋" w:cs="仿宋_GB2312"/>
          <w:b/>
          <w:color w:val="000000" w:themeColor="text1"/>
          <w14:textFill>
            <w14:solidFill>
              <w14:schemeClr w14:val="tx1"/>
            </w14:solidFill>
          </w14:textFill>
        </w:rPr>
      </w:pPr>
    </w:p>
    <w:p>
      <w:pPr>
        <w:pStyle w:val="9"/>
        <w:ind w:firstLine="632" w:firstLineChars="300"/>
        <w:rPr>
          <w:rFonts w:ascii="仿宋" w:hAnsi="仿宋" w:eastAsia="仿宋" w:cs="仿宋_GB2312"/>
          <w:b/>
          <w:color w:val="000000" w:themeColor="text1"/>
          <w14:textFill>
            <w14:solidFill>
              <w14:schemeClr w14:val="tx1"/>
            </w14:solidFill>
          </w14:textFill>
        </w:rPr>
      </w:pPr>
    </w:p>
    <w:p>
      <w:pPr>
        <w:pStyle w:val="9"/>
        <w:ind w:firstLine="632" w:firstLineChars="300"/>
        <w:rPr>
          <w:rFonts w:ascii="仿宋" w:hAnsi="仿宋" w:eastAsia="仿宋" w:cs="仿宋_GB2312"/>
          <w:b/>
          <w:color w:val="000000" w:themeColor="text1"/>
          <w14:textFill>
            <w14:solidFill>
              <w14:schemeClr w14:val="tx1"/>
            </w14:solidFill>
          </w14:textFill>
        </w:rPr>
      </w:pPr>
    </w:p>
    <w:p>
      <w:pPr>
        <w:pStyle w:val="9"/>
        <w:ind w:firstLine="632" w:firstLineChars="300"/>
        <w:rPr>
          <w:rFonts w:ascii="仿宋" w:hAnsi="仿宋" w:eastAsia="仿宋" w:cs="仿宋_GB2312"/>
          <w:b/>
          <w:color w:val="000000" w:themeColor="text1"/>
          <w14:textFill>
            <w14:solidFill>
              <w14:schemeClr w14:val="tx1"/>
            </w14:solidFill>
          </w14:textFill>
        </w:rPr>
      </w:pPr>
    </w:p>
    <w:p>
      <w:pPr>
        <w:pStyle w:val="9"/>
        <w:ind w:firstLine="632" w:firstLineChars="300"/>
        <w:rPr>
          <w:rFonts w:ascii="仿宋" w:hAnsi="仿宋" w:eastAsia="仿宋" w:cs="仿宋_GB2312"/>
          <w:b/>
          <w:color w:val="000000" w:themeColor="text1"/>
          <w14:textFill>
            <w14:solidFill>
              <w14:schemeClr w14:val="tx1"/>
            </w14:solidFill>
          </w14:textFill>
        </w:rPr>
      </w:pPr>
    </w:p>
    <w:p>
      <w:pPr>
        <w:pStyle w:val="9"/>
        <w:ind w:firstLine="632" w:firstLineChars="300"/>
        <w:rPr>
          <w:rFonts w:ascii="仿宋" w:hAnsi="仿宋" w:eastAsia="仿宋" w:cs="仿宋_GB2312"/>
          <w:b/>
          <w:color w:val="000000" w:themeColor="text1"/>
          <w14:textFill>
            <w14:solidFill>
              <w14:schemeClr w14:val="tx1"/>
            </w14:solidFill>
          </w14:textFill>
        </w:rPr>
      </w:pPr>
    </w:p>
    <w:p>
      <w:pPr>
        <w:pStyle w:val="9"/>
        <w:spacing w:line="360" w:lineRule="auto"/>
        <w:ind w:firstLine="3117" w:firstLineChars="1109"/>
        <w:rPr>
          <w:rFonts w:ascii="仿宋" w:hAnsi="仿宋" w:eastAsia="仿宋" w:cs="仿宋_GB2312"/>
          <w:b/>
          <w:color w:val="000000" w:themeColor="text1"/>
          <w:sz w:val="28"/>
          <w:szCs w:val="28"/>
          <w:u w:val="single"/>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报价单位名称：</w:t>
      </w:r>
    </w:p>
    <w:p>
      <w:pPr>
        <w:autoSpaceDE w:val="0"/>
        <w:autoSpaceDN w:val="0"/>
        <w:spacing w:line="240" w:lineRule="atLeast"/>
        <w:ind w:firstLine="3117" w:firstLineChars="1109"/>
        <w:rPr>
          <w:rFonts w:ascii="仿宋" w:hAnsi="仿宋" w:eastAsia="仿宋" w:cs="仿宋_GB2312"/>
          <w:b/>
          <w:color w:val="000000" w:themeColor="text1"/>
          <w:sz w:val="28"/>
          <w:szCs w:val="28"/>
          <w:u w:val="single"/>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日期：   年      月      日</w:t>
      </w:r>
    </w:p>
    <w:p>
      <w:pPr>
        <w:widowControl/>
        <w:jc w:val="left"/>
        <w:rPr>
          <w:rFonts w:ascii="宋体" w:hAnsi="宋体" w:cs="宋体"/>
          <w:bCs/>
          <w:sz w:val="24"/>
        </w:rPr>
      </w:pPr>
      <w:r>
        <w:rPr>
          <w:rFonts w:ascii="宋体" w:hAnsi="宋体" w:cs="宋体"/>
          <w:bCs/>
          <w:sz w:val="24"/>
        </w:rPr>
        <w:br w:type="page"/>
      </w:r>
    </w:p>
    <w:p>
      <w:pPr>
        <w:pStyle w:val="4"/>
        <w:jc w:val="left"/>
      </w:pPr>
      <w:r>
        <w:rPr>
          <w:rFonts w:hint="eastAsia"/>
        </w:rPr>
        <w:t>1、法定代表人/负责人资格证明书及授权委托书</w:t>
      </w:r>
    </w:p>
    <w:p>
      <w:pPr>
        <w:spacing w:line="48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w:t>
      </w:r>
      <w:r>
        <w:rPr>
          <w:rFonts w:ascii="仿宋" w:hAnsi="仿宋" w:eastAsia="仿宋" w:cs="仿宋_GB2312"/>
          <w:b/>
          <w:color w:val="000000" w:themeColor="text1"/>
          <w:sz w:val="28"/>
          <w:szCs w:val="28"/>
          <w14:textFill>
            <w14:solidFill>
              <w14:schemeClr w14:val="tx1"/>
            </w14:solidFill>
          </w14:textFill>
        </w:rPr>
        <w:t>1）法定代表人/负责人资格证明书</w:t>
      </w:r>
    </w:p>
    <w:p>
      <w:pPr>
        <w:spacing w:line="480" w:lineRule="exact"/>
        <w:rPr>
          <w:rFonts w:ascii="仿宋" w:hAnsi="仿宋" w:eastAsia="仿宋" w:cs="仿宋_GB2312"/>
          <w:color w:val="000000" w:themeColor="text1"/>
          <w:sz w:val="28"/>
          <w:szCs w:val="28"/>
          <w14:textFill>
            <w14:solidFill>
              <w14:schemeClr w14:val="tx1"/>
            </w14:solidFill>
          </w14:textFill>
        </w:rPr>
      </w:pPr>
    </w:p>
    <w:p>
      <w:pPr>
        <w:spacing w:line="480" w:lineRule="exact"/>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致：（项目实施单位）</w:t>
      </w:r>
    </w:p>
    <w:p>
      <w:pPr>
        <w:rPr>
          <w:rFonts w:ascii="仿宋" w:hAnsi="仿宋" w:eastAsia="仿宋" w:cs="仿宋_GB2312"/>
          <w:color w:val="000000" w:themeColor="text1"/>
          <w:sz w:val="28"/>
          <w:szCs w:val="28"/>
          <w:highlight w:val="none"/>
          <w14:textFill>
            <w14:solidFill>
              <w14:schemeClr w14:val="tx1"/>
            </w14:solidFill>
          </w14:textFill>
        </w:rPr>
      </w:pPr>
    </w:p>
    <w:p>
      <w:pPr>
        <w:spacing w:line="440" w:lineRule="exact"/>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 xml:space="preserve">     </w:t>
      </w:r>
      <w:r>
        <w:rPr>
          <w:rFonts w:hint="eastAsia" w:ascii="仿宋" w:hAnsi="仿宋" w:eastAsia="仿宋" w:cs="仿宋_GB2312"/>
          <w:color w:val="000000" w:themeColor="text1"/>
          <w:sz w:val="28"/>
          <w:szCs w:val="28"/>
          <w:highlight w:val="none"/>
          <w:u w:val="single"/>
          <w14:textFill>
            <w14:solidFill>
              <w14:schemeClr w14:val="tx1"/>
            </w14:solidFill>
          </w14:textFill>
        </w:rPr>
        <w:t xml:space="preserve">          </w:t>
      </w:r>
      <w:r>
        <w:rPr>
          <w:rFonts w:hint="eastAsia" w:ascii="仿宋" w:hAnsi="仿宋" w:eastAsia="仿宋" w:cs="仿宋_GB2312"/>
          <w:color w:val="000000" w:themeColor="text1"/>
          <w:sz w:val="28"/>
          <w:szCs w:val="28"/>
          <w:highlight w:val="none"/>
          <w14:textFill>
            <w14:solidFill>
              <w14:schemeClr w14:val="tx1"/>
            </w14:solidFill>
          </w14:textFill>
        </w:rPr>
        <w:t>同志为本单位法定代表人，特此证明。</w:t>
      </w:r>
    </w:p>
    <w:p>
      <w:pPr>
        <w:spacing w:line="440" w:lineRule="exact"/>
        <w:ind w:firstLine="280" w:firstLineChars="100"/>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签发日期：           单位：           （盖单位公章）</w:t>
      </w:r>
    </w:p>
    <w:p>
      <w:pPr>
        <w:spacing w:line="440" w:lineRule="exact"/>
        <w:ind w:firstLine="280" w:firstLineChars="100"/>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附：代表人性别：            年龄：           身份证号码：</w:t>
      </w:r>
    </w:p>
    <w:p>
      <w:pPr>
        <w:spacing w:line="440" w:lineRule="exact"/>
        <w:ind w:firstLine="280" w:firstLineChars="100"/>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联系电话：</w:t>
      </w:r>
    </w:p>
    <w:p>
      <w:pPr>
        <w:spacing w:line="440" w:lineRule="exact"/>
        <w:ind w:firstLine="280" w:firstLineChars="100"/>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营业执照号码：                       经济性质：</w:t>
      </w:r>
    </w:p>
    <w:p>
      <w:pPr>
        <w:spacing w:line="440" w:lineRule="exact"/>
        <w:ind w:firstLine="280" w:firstLineChars="100"/>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机构代码：                           机构性质：</w:t>
      </w:r>
    </w:p>
    <w:p>
      <w:pPr>
        <w:spacing w:line="440" w:lineRule="exact"/>
        <w:ind w:firstLine="280" w:firstLineChars="100"/>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主营：</w:t>
      </w:r>
    </w:p>
    <w:p>
      <w:pPr>
        <w:spacing w:line="440" w:lineRule="exact"/>
        <w:ind w:firstLine="280" w:firstLineChars="100"/>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兼营：</w:t>
      </w:r>
    </w:p>
    <w:p>
      <w:pPr>
        <w:spacing w:line="440" w:lineRule="exact"/>
        <w:ind w:firstLine="0" w:firstLineChars="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法定代表人</w:t>
      </w:r>
      <w:r>
        <w:rPr>
          <w:rFonts w:hint="eastAsia" w:ascii="宋体" w:hAnsi="宋体"/>
          <w:sz w:val="24"/>
          <w:szCs w:val="24"/>
        </w:rPr>
        <w:t>身份证复印件</w:t>
      </w:r>
      <w:r>
        <w:rPr>
          <w:rFonts w:hint="eastAsia" w:ascii="宋体" w:hAnsi="宋体"/>
          <w:sz w:val="24"/>
          <w:szCs w:val="24"/>
          <w:lang w:eastAsia="zh-CN"/>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8"/>
        <w:gridCol w:w="4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2" w:hRule="atLeast"/>
        </w:trPr>
        <w:tc>
          <w:tcPr>
            <w:tcW w:w="4814" w:type="dxa"/>
          </w:tcPr>
          <w:p>
            <w:pPr>
              <w:spacing w:line="360" w:lineRule="auto"/>
              <w:jc w:val="both"/>
              <w:rPr>
                <w:rFonts w:hint="eastAsia" w:ascii="宋体" w:hAnsi="宋体"/>
                <w:sz w:val="24"/>
                <w:szCs w:val="24"/>
              </w:rPr>
            </w:pPr>
          </w:p>
          <w:p>
            <w:pPr>
              <w:spacing w:line="360" w:lineRule="auto"/>
              <w:jc w:val="center"/>
              <w:rPr>
                <w:rFonts w:hint="eastAsia" w:ascii="宋体" w:hAnsi="宋体" w:eastAsia="宋体" w:cs="Times New Roman"/>
                <w:sz w:val="24"/>
                <w:szCs w:val="24"/>
              </w:rPr>
            </w:pPr>
          </w:p>
          <w:p>
            <w:pPr>
              <w:spacing w:line="360" w:lineRule="auto"/>
              <w:jc w:val="center"/>
              <w:rPr>
                <w:rFonts w:hint="eastAsia" w:ascii="宋体" w:hAnsi="宋体" w:eastAsia="宋体" w:cs="Times New Roman"/>
                <w:sz w:val="24"/>
                <w:szCs w:val="24"/>
              </w:rPr>
            </w:pPr>
          </w:p>
          <w:p>
            <w:pPr>
              <w:spacing w:line="360" w:lineRule="auto"/>
              <w:jc w:val="center"/>
              <w:rPr>
                <w:rFonts w:hint="default" w:ascii="宋体" w:hAnsi="宋体" w:eastAsia="宋体"/>
                <w:sz w:val="24"/>
                <w:szCs w:val="24"/>
                <w:lang w:val="en-US" w:eastAsia="zh-CN"/>
              </w:rPr>
            </w:pPr>
            <w:r>
              <w:rPr>
                <w:rFonts w:hint="eastAsia" w:ascii="宋体" w:hAnsi="宋体" w:eastAsia="宋体" w:cs="Times New Roman"/>
                <w:color w:val="auto"/>
                <w:sz w:val="24"/>
                <w:szCs w:val="24"/>
                <w:highlight w:val="none"/>
              </w:rPr>
              <w:t>人像面</w:t>
            </w:r>
            <w:r>
              <w:rPr>
                <w:rFonts w:hint="eastAsia" w:ascii="宋体" w:hAnsi="宋体" w:cs="Times New Roman"/>
                <w:sz w:val="24"/>
                <w:szCs w:val="24"/>
                <w:lang w:eastAsia="zh-CN"/>
              </w:rPr>
              <w:t>，</w:t>
            </w:r>
            <w:r>
              <w:rPr>
                <w:rFonts w:hint="eastAsia" w:ascii="宋体" w:hAnsi="宋体"/>
                <w:sz w:val="24"/>
                <w:szCs w:val="24"/>
                <w:lang w:val="en-US" w:eastAsia="zh-CN"/>
              </w:rPr>
              <w:t>盖单位公章</w:t>
            </w:r>
          </w:p>
          <w:p>
            <w:pPr>
              <w:spacing w:line="360" w:lineRule="auto"/>
              <w:jc w:val="left"/>
              <w:rPr>
                <w:rFonts w:ascii="宋体" w:hAnsi="宋体"/>
                <w:sz w:val="24"/>
                <w:szCs w:val="24"/>
              </w:rPr>
            </w:pPr>
          </w:p>
          <w:p>
            <w:pPr>
              <w:spacing w:line="360" w:lineRule="auto"/>
              <w:jc w:val="left"/>
              <w:rPr>
                <w:rFonts w:ascii="宋体" w:hAnsi="宋体"/>
                <w:sz w:val="24"/>
                <w:szCs w:val="24"/>
              </w:rPr>
            </w:pPr>
          </w:p>
          <w:p>
            <w:pPr>
              <w:spacing w:line="360" w:lineRule="auto"/>
              <w:jc w:val="left"/>
              <w:rPr>
                <w:rFonts w:ascii="宋体" w:hAnsi="宋体"/>
                <w:sz w:val="24"/>
                <w:szCs w:val="24"/>
              </w:rPr>
            </w:pPr>
          </w:p>
        </w:tc>
        <w:tc>
          <w:tcPr>
            <w:tcW w:w="4814" w:type="dxa"/>
          </w:tcPr>
          <w:p>
            <w:pPr>
              <w:widowControl/>
              <w:spacing w:line="440" w:lineRule="exact"/>
              <w:ind w:firstLine="0" w:firstLineChars="0"/>
              <w:jc w:val="both"/>
              <w:rPr>
                <w:rFonts w:hint="eastAsia" w:ascii="仿宋" w:hAnsi="仿宋" w:eastAsia="仿宋" w:cs="仿宋_GB2312"/>
                <w:color w:val="000000" w:themeColor="text1"/>
                <w:sz w:val="24"/>
                <w:szCs w:val="24"/>
                <w:highlight w:val="none"/>
                <w14:textFill>
                  <w14:solidFill>
                    <w14:schemeClr w14:val="tx1"/>
                  </w14:solidFill>
                </w14:textFill>
              </w:rPr>
            </w:pPr>
          </w:p>
          <w:p>
            <w:pPr>
              <w:spacing w:line="360" w:lineRule="auto"/>
              <w:jc w:val="center"/>
              <w:rPr>
                <w:rFonts w:hint="eastAsia" w:ascii="宋体" w:hAnsi="宋体" w:eastAsia="宋体" w:cs="Times New Roman"/>
                <w:sz w:val="24"/>
                <w:szCs w:val="24"/>
              </w:rPr>
            </w:pPr>
          </w:p>
          <w:p>
            <w:pPr>
              <w:spacing w:line="360" w:lineRule="auto"/>
              <w:jc w:val="center"/>
              <w:rPr>
                <w:rFonts w:hint="eastAsia" w:ascii="宋体" w:hAnsi="宋体" w:eastAsia="宋体" w:cs="Times New Roman"/>
                <w:sz w:val="24"/>
                <w:szCs w:val="24"/>
              </w:rPr>
            </w:pPr>
          </w:p>
          <w:p>
            <w:pPr>
              <w:spacing w:line="360" w:lineRule="auto"/>
              <w:jc w:val="center"/>
              <w:rPr>
                <w:rFonts w:hint="eastAsia" w:ascii="宋体" w:hAnsi="宋体" w:eastAsia="宋体"/>
                <w:sz w:val="24"/>
                <w:szCs w:val="24"/>
                <w:lang w:val="en-US" w:eastAsia="zh-CN"/>
              </w:rPr>
            </w:pPr>
            <w:r>
              <w:rPr>
                <w:rFonts w:hint="eastAsia" w:ascii="宋体" w:hAnsi="宋体" w:eastAsia="宋体" w:cs="Times New Roman"/>
                <w:color w:val="auto"/>
                <w:sz w:val="24"/>
                <w:szCs w:val="24"/>
                <w:highlight w:val="none"/>
              </w:rPr>
              <w:t>国徽面</w:t>
            </w:r>
            <w:r>
              <w:rPr>
                <w:rFonts w:hint="eastAsia" w:ascii="宋体" w:hAnsi="宋体" w:cs="Times New Roman"/>
                <w:sz w:val="24"/>
                <w:szCs w:val="24"/>
                <w:lang w:eastAsia="zh-CN"/>
              </w:rPr>
              <w:t>，</w:t>
            </w:r>
            <w:r>
              <w:rPr>
                <w:rFonts w:hint="eastAsia" w:ascii="宋体" w:hAnsi="宋体"/>
                <w:sz w:val="24"/>
                <w:szCs w:val="24"/>
                <w:lang w:val="en-US" w:eastAsia="zh-CN"/>
              </w:rPr>
              <w:t>盖单位公章</w:t>
            </w:r>
          </w:p>
          <w:p>
            <w:pPr>
              <w:pStyle w:val="2"/>
              <w:rPr>
                <w:rFonts w:hint="eastAsia"/>
              </w:rPr>
            </w:pPr>
          </w:p>
          <w:p>
            <w:pPr>
              <w:spacing w:line="360" w:lineRule="auto"/>
              <w:jc w:val="left"/>
              <w:rPr>
                <w:rFonts w:ascii="宋体" w:hAnsi="宋体"/>
                <w:sz w:val="24"/>
                <w:szCs w:val="24"/>
              </w:rPr>
            </w:pPr>
          </w:p>
        </w:tc>
      </w:tr>
    </w:tbl>
    <w:p>
      <w:pPr>
        <w:rPr>
          <w:rFonts w:ascii="仿宋" w:hAnsi="仿宋" w:eastAsia="仿宋" w:cs="仿宋_GB2312"/>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_GB2312" w:hAnsi="仿宋_GB2312" w:eastAsia="仿宋_GB2312" w:cs="仿宋_GB2312"/>
          <w:sz w:val="28"/>
          <w:szCs w:val="28"/>
        </w:rPr>
      </w:pPr>
    </w:p>
    <w:p>
      <w:pPr>
        <w:spacing w:line="480" w:lineRule="exact"/>
        <w:jc w:val="both"/>
        <w:rPr>
          <w:rFonts w:ascii="仿宋" w:hAnsi="仿宋" w:eastAsia="仿宋" w:cs="仿宋_GB2312"/>
          <w:b/>
          <w:color w:val="000000" w:themeColor="text1"/>
          <w:sz w:val="28"/>
          <w:szCs w:val="28"/>
          <w14:textFill>
            <w14:solidFill>
              <w14:schemeClr w14:val="tx1"/>
            </w14:solidFill>
          </w14:textFill>
        </w:rPr>
      </w:pPr>
      <w:r>
        <w:rPr>
          <w:rFonts w:ascii="仿宋_GB2312" w:hAnsi="仿宋_GB2312" w:eastAsia="仿宋_GB2312" w:cs="仿宋_GB2312"/>
          <w:b/>
          <w:sz w:val="28"/>
          <w:szCs w:val="28"/>
        </w:rPr>
        <w:br w:type="page"/>
      </w:r>
      <w:r>
        <w:rPr>
          <w:rFonts w:hint="eastAsia" w:ascii="仿宋" w:hAnsi="仿宋" w:eastAsia="仿宋" w:cs="仿宋_GB2312"/>
          <w:b/>
          <w:color w:val="000000" w:themeColor="text1"/>
          <w:sz w:val="28"/>
          <w:szCs w:val="28"/>
          <w14:textFill>
            <w14:solidFill>
              <w14:schemeClr w14:val="tx1"/>
            </w14:solidFill>
          </w14:textFill>
        </w:rPr>
        <w:t>（</w:t>
      </w:r>
      <w:r>
        <w:rPr>
          <w:rFonts w:ascii="仿宋" w:hAnsi="仿宋" w:eastAsia="仿宋" w:cs="仿宋_GB2312"/>
          <w:b/>
          <w:color w:val="000000" w:themeColor="text1"/>
          <w:sz w:val="28"/>
          <w:szCs w:val="28"/>
          <w14:textFill>
            <w14:solidFill>
              <w14:schemeClr w14:val="tx1"/>
            </w14:solidFill>
          </w14:textFill>
        </w:rPr>
        <w:t>2）法定代表人/负责人授权委托书</w:t>
      </w:r>
    </w:p>
    <w:p>
      <w:pPr>
        <w:spacing w:line="360" w:lineRule="auto"/>
        <w:rPr>
          <w:rFonts w:ascii="仿宋" w:hAnsi="仿宋" w:eastAsia="仿宋" w:cs="仿宋_GB2312"/>
          <w:color w:val="000000" w:themeColor="text1"/>
          <w:sz w:val="28"/>
          <w:szCs w:val="28"/>
          <w14:textFill>
            <w14:solidFill>
              <w14:schemeClr w14:val="tx1"/>
            </w14:solidFill>
          </w14:textFill>
        </w:rPr>
      </w:pPr>
    </w:p>
    <w:p>
      <w:pPr>
        <w:spacing w:line="36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致：（项目实施单位）</w:t>
      </w:r>
    </w:p>
    <w:p>
      <w:pPr>
        <w:spacing w:line="480" w:lineRule="exact"/>
        <w:ind w:firstLine="562" w:firstLineChars="200"/>
        <w:rPr>
          <w:rFonts w:ascii="仿宋" w:hAnsi="仿宋" w:eastAsia="仿宋" w:cs="仿宋_GB2312"/>
          <w:b/>
          <w:color w:val="000000" w:themeColor="text1"/>
          <w:sz w:val="28"/>
          <w:szCs w:val="28"/>
          <w14:textFill>
            <w14:solidFill>
              <w14:schemeClr w14:val="tx1"/>
            </w14:solidFill>
          </w14:textFill>
        </w:rPr>
      </w:pPr>
    </w:p>
    <w:p>
      <w:pPr>
        <w:spacing w:line="480" w:lineRule="exact"/>
        <w:ind w:firstLine="560" w:firstLineChars="200"/>
        <w:rPr>
          <w:rFonts w:hint="eastAsia" w:ascii="仿宋" w:hAnsi="仿宋" w:eastAsia="仿宋" w:cs="仿宋_GB2312"/>
          <w:color w:val="000000"/>
          <w:sz w:val="28"/>
          <w:szCs w:val="28"/>
          <w:highlight w:val="none"/>
        </w:rPr>
      </w:pPr>
      <w:r>
        <w:rPr>
          <w:rFonts w:hint="eastAsia" w:ascii="仿宋" w:hAnsi="仿宋" w:eastAsia="仿宋" w:cs="仿宋_GB2312"/>
          <w:color w:val="000000"/>
          <w:sz w:val="28"/>
          <w:szCs w:val="28"/>
          <w:highlight w:val="none"/>
        </w:rPr>
        <w:t>本人</w:t>
      </w:r>
      <w:r>
        <w:rPr>
          <w:rFonts w:hint="eastAsia" w:ascii="仿宋" w:hAnsi="仿宋" w:eastAsia="仿宋" w:cs="仿宋_GB2312"/>
          <w:color w:val="000000"/>
          <w:sz w:val="28"/>
          <w:szCs w:val="28"/>
          <w:highlight w:val="none"/>
          <w:u w:val="single"/>
        </w:rPr>
        <w:t>（</w:t>
      </w:r>
      <w:r>
        <w:rPr>
          <w:rFonts w:hint="eastAsia" w:ascii="仿宋" w:hAnsi="仿宋" w:eastAsia="仿宋" w:cs="仿宋_GB2312"/>
          <w:color w:val="000000"/>
          <w:sz w:val="28"/>
          <w:szCs w:val="28"/>
          <w:highlight w:val="none"/>
          <w:u w:val="single"/>
          <w:lang w:val="en-US" w:eastAsia="zh-CN"/>
        </w:rPr>
        <w:t>法人</w:t>
      </w:r>
      <w:r>
        <w:rPr>
          <w:rFonts w:hint="eastAsia" w:ascii="仿宋" w:hAnsi="仿宋" w:eastAsia="仿宋" w:cs="仿宋_GB2312"/>
          <w:color w:val="000000"/>
          <w:sz w:val="28"/>
          <w:szCs w:val="28"/>
          <w:highlight w:val="none"/>
          <w:u w:val="single"/>
        </w:rPr>
        <w:t>姓名）</w:t>
      </w:r>
      <w:r>
        <w:rPr>
          <w:rFonts w:hint="eastAsia" w:ascii="仿宋" w:hAnsi="仿宋" w:eastAsia="仿宋" w:cs="仿宋_GB2312"/>
          <w:color w:val="000000"/>
          <w:sz w:val="28"/>
          <w:szCs w:val="28"/>
          <w:highlight w:val="none"/>
          <w:u w:val="single"/>
          <w:lang w:eastAsia="zh-CN"/>
        </w:rPr>
        <w:t>（</w:t>
      </w:r>
      <w:r>
        <w:rPr>
          <w:rFonts w:hint="eastAsia" w:ascii="仿宋" w:hAnsi="仿宋" w:eastAsia="仿宋" w:cs="仿宋_GB2312"/>
          <w:color w:val="000000"/>
          <w:sz w:val="28"/>
          <w:szCs w:val="28"/>
          <w:highlight w:val="none"/>
          <w:u w:val="single"/>
          <w:lang w:val="en-US" w:eastAsia="zh-CN"/>
        </w:rPr>
        <w:t>法人签字或盖私章</w:t>
      </w:r>
      <w:r>
        <w:rPr>
          <w:rFonts w:hint="eastAsia" w:ascii="仿宋" w:hAnsi="仿宋" w:eastAsia="仿宋" w:cs="仿宋_GB2312"/>
          <w:color w:val="000000"/>
          <w:sz w:val="28"/>
          <w:szCs w:val="28"/>
          <w:highlight w:val="none"/>
          <w:u w:val="single"/>
          <w:lang w:eastAsia="zh-CN"/>
        </w:rPr>
        <w:t>）</w:t>
      </w:r>
      <w:r>
        <w:rPr>
          <w:rFonts w:hint="eastAsia" w:ascii="仿宋" w:hAnsi="仿宋" w:eastAsia="仿宋" w:cs="仿宋_GB2312"/>
          <w:color w:val="000000"/>
          <w:sz w:val="28"/>
          <w:szCs w:val="28"/>
          <w:highlight w:val="none"/>
        </w:rPr>
        <w:t>系</w:t>
      </w:r>
      <w:r>
        <w:rPr>
          <w:rFonts w:hint="eastAsia" w:ascii="仿宋" w:hAnsi="仿宋" w:eastAsia="仿宋" w:cs="仿宋_GB2312"/>
          <w:color w:val="000000"/>
          <w:sz w:val="28"/>
          <w:szCs w:val="28"/>
          <w:highlight w:val="none"/>
          <w:u w:val="single"/>
        </w:rPr>
        <w:t>（供应商名称）</w:t>
      </w:r>
      <w:r>
        <w:rPr>
          <w:rFonts w:hint="eastAsia" w:ascii="仿宋" w:hAnsi="仿宋" w:eastAsia="仿宋" w:cs="仿宋_GB2312"/>
          <w:color w:val="000000"/>
          <w:sz w:val="28"/>
          <w:szCs w:val="28"/>
          <w:highlight w:val="none"/>
          <w:u w:val="single"/>
          <w:lang w:eastAsia="zh-CN"/>
        </w:rPr>
        <w:t>（盖</w:t>
      </w:r>
      <w:r>
        <w:rPr>
          <w:rFonts w:hint="eastAsia" w:ascii="仿宋" w:hAnsi="仿宋" w:eastAsia="仿宋" w:cs="仿宋_GB2312"/>
          <w:color w:val="000000"/>
          <w:sz w:val="28"/>
          <w:szCs w:val="28"/>
          <w:highlight w:val="none"/>
          <w:u w:val="single"/>
          <w:lang w:val="en-US" w:eastAsia="zh-CN"/>
        </w:rPr>
        <w:t>单位公章</w:t>
      </w:r>
      <w:r>
        <w:rPr>
          <w:rFonts w:hint="eastAsia" w:ascii="仿宋" w:hAnsi="仿宋" w:eastAsia="仿宋" w:cs="仿宋_GB2312"/>
          <w:color w:val="000000"/>
          <w:sz w:val="28"/>
          <w:szCs w:val="28"/>
          <w:highlight w:val="none"/>
          <w:u w:val="single"/>
          <w:lang w:eastAsia="zh-CN"/>
        </w:rPr>
        <w:t>）</w:t>
      </w:r>
      <w:r>
        <w:rPr>
          <w:rFonts w:hint="eastAsia" w:ascii="仿宋" w:hAnsi="仿宋" w:eastAsia="仿宋" w:cs="仿宋_GB2312"/>
          <w:color w:val="000000"/>
          <w:sz w:val="28"/>
          <w:szCs w:val="28"/>
          <w:highlight w:val="none"/>
        </w:rPr>
        <w:t>法定代表人，现授权</w:t>
      </w:r>
      <w:r>
        <w:rPr>
          <w:rFonts w:hint="eastAsia" w:ascii="仿宋" w:hAnsi="仿宋" w:eastAsia="仿宋" w:cs="仿宋_GB2312"/>
          <w:color w:val="000000"/>
          <w:sz w:val="28"/>
          <w:szCs w:val="28"/>
          <w:highlight w:val="none"/>
          <w:u w:val="single"/>
        </w:rPr>
        <w:t>（委托代理人姓名）</w:t>
      </w:r>
      <w:r>
        <w:rPr>
          <w:rFonts w:hint="eastAsia" w:ascii="仿宋" w:hAnsi="仿宋" w:eastAsia="仿宋" w:cs="仿宋_GB2312"/>
          <w:color w:val="000000"/>
          <w:sz w:val="28"/>
          <w:szCs w:val="28"/>
          <w:highlight w:val="none"/>
        </w:rPr>
        <w:t>为我方合法委托代理人，参加</w:t>
      </w:r>
      <w:r>
        <w:rPr>
          <w:rFonts w:hint="eastAsia" w:ascii="仿宋" w:hAnsi="仿宋" w:eastAsia="仿宋" w:cs="仿宋_GB2312"/>
          <w:color w:val="000000"/>
          <w:sz w:val="28"/>
          <w:szCs w:val="28"/>
          <w:highlight w:val="none"/>
          <w:u w:val="single"/>
          <w:lang w:val="en-US" w:eastAsia="zh-CN"/>
        </w:rPr>
        <w:t xml:space="preserve">                      </w:t>
      </w:r>
      <w:r>
        <w:rPr>
          <w:rFonts w:hint="eastAsia" w:ascii="仿宋" w:hAnsi="仿宋" w:eastAsia="仿宋" w:cs="仿宋_GB2312"/>
          <w:color w:val="000000"/>
          <w:sz w:val="28"/>
          <w:szCs w:val="28"/>
          <w:highlight w:val="none"/>
        </w:rPr>
        <w:t>项目(项目编号：</w:t>
      </w:r>
      <w:r>
        <w:rPr>
          <w:rFonts w:hint="eastAsia" w:ascii="仿宋" w:hAnsi="仿宋" w:eastAsia="仿宋" w:cs="仿宋_GB2312"/>
          <w:color w:val="000000"/>
          <w:sz w:val="28"/>
          <w:szCs w:val="28"/>
          <w:highlight w:val="none"/>
          <w:u w:val="single"/>
          <w:lang w:val="en-US" w:eastAsia="zh-CN"/>
        </w:rPr>
        <w:t xml:space="preserve">          </w:t>
      </w:r>
      <w:r>
        <w:rPr>
          <w:rFonts w:hint="eastAsia" w:ascii="仿宋" w:hAnsi="仿宋" w:eastAsia="仿宋" w:cs="仿宋_GB2312"/>
          <w:color w:val="000000"/>
          <w:sz w:val="28"/>
          <w:szCs w:val="28"/>
          <w:highlight w:val="none"/>
        </w:rPr>
        <w:t>)</w:t>
      </w:r>
      <w:r>
        <w:rPr>
          <w:rFonts w:hint="eastAsia" w:ascii="仿宋" w:hAnsi="仿宋" w:eastAsia="仿宋" w:cs="仿宋_GB2312"/>
          <w:color w:val="000000"/>
          <w:sz w:val="28"/>
          <w:szCs w:val="28"/>
          <w:highlight w:val="none"/>
          <w:lang w:val="en-US" w:eastAsia="zh-CN"/>
        </w:rPr>
        <w:t>询价</w:t>
      </w:r>
      <w:r>
        <w:rPr>
          <w:rFonts w:hint="eastAsia" w:ascii="仿宋" w:hAnsi="仿宋" w:eastAsia="仿宋" w:cs="仿宋_GB2312"/>
          <w:color w:val="000000"/>
          <w:sz w:val="28"/>
          <w:szCs w:val="28"/>
          <w:highlight w:val="none"/>
        </w:rPr>
        <w:t>活动及相关事宜。该授权代表在本</w:t>
      </w:r>
      <w:r>
        <w:rPr>
          <w:rFonts w:hint="eastAsia" w:ascii="仿宋" w:hAnsi="仿宋" w:eastAsia="仿宋" w:cs="仿宋_GB2312"/>
          <w:color w:val="000000"/>
          <w:sz w:val="28"/>
          <w:szCs w:val="28"/>
          <w:highlight w:val="none"/>
          <w:lang w:val="en-US" w:eastAsia="zh-CN"/>
        </w:rPr>
        <w:t>询价</w:t>
      </w:r>
      <w:r>
        <w:rPr>
          <w:rFonts w:hint="eastAsia" w:ascii="仿宋" w:hAnsi="仿宋" w:eastAsia="仿宋" w:cs="仿宋_GB2312"/>
          <w:color w:val="000000"/>
          <w:sz w:val="28"/>
          <w:szCs w:val="28"/>
          <w:highlight w:val="none"/>
        </w:rPr>
        <w:t>活动过程中所签署的一切文件和处理与之有关的一切事务，均代表我方的行为，与本人的行为具有同等的法律效力。我方将承担授权代表行为的一切法律责任后果。本授权书有效期与本公司采购须知中标注的采购有效期相同。</w:t>
      </w:r>
    </w:p>
    <w:p>
      <w:pPr>
        <w:spacing w:line="480" w:lineRule="exact"/>
        <w:ind w:firstLine="280" w:firstLineChars="100"/>
        <w:rPr>
          <w:rFonts w:hint="default" w:ascii="仿宋" w:hAnsi="仿宋" w:eastAsia="仿宋" w:cs="仿宋_GB2312"/>
          <w:color w:val="000000"/>
          <w:sz w:val="28"/>
          <w:szCs w:val="28"/>
          <w:highlight w:val="none"/>
          <w:lang w:val="en-US" w:eastAsia="zh-CN"/>
        </w:rPr>
      </w:pPr>
      <w:r>
        <w:rPr>
          <w:rFonts w:hint="eastAsia" w:ascii="仿宋" w:hAnsi="仿宋" w:eastAsia="仿宋" w:cs="仿宋_GB2312"/>
          <w:color w:val="000000"/>
          <w:sz w:val="28"/>
          <w:szCs w:val="28"/>
          <w:highlight w:val="none"/>
        </w:rPr>
        <w:t>附：签发日期：</w:t>
      </w:r>
      <w:r>
        <w:rPr>
          <w:rFonts w:hint="eastAsia" w:ascii="仿宋" w:hAnsi="仿宋" w:eastAsia="仿宋" w:cs="仿宋_GB2312"/>
          <w:color w:val="000000"/>
          <w:sz w:val="28"/>
          <w:szCs w:val="28"/>
          <w:highlight w:val="none"/>
          <w:lang w:val="en-US" w:eastAsia="zh-CN"/>
        </w:rPr>
        <w:t xml:space="preserve">   年 月 日       有效期限：</w:t>
      </w:r>
    </w:p>
    <w:p>
      <w:pPr>
        <w:spacing w:line="480" w:lineRule="exact"/>
        <w:ind w:firstLine="840" w:firstLineChars="300"/>
        <w:rPr>
          <w:rFonts w:hint="eastAsia" w:ascii="仿宋" w:hAnsi="仿宋" w:eastAsia="仿宋" w:cs="仿宋_GB2312"/>
          <w:color w:val="000000"/>
          <w:sz w:val="28"/>
          <w:szCs w:val="28"/>
          <w:highlight w:val="none"/>
        </w:rPr>
      </w:pPr>
      <w:r>
        <w:rPr>
          <w:rFonts w:hint="eastAsia" w:ascii="仿宋" w:hAnsi="仿宋" w:eastAsia="仿宋" w:cs="仿宋_GB2312"/>
          <w:color w:val="000000"/>
          <w:sz w:val="28"/>
          <w:szCs w:val="28"/>
          <w:highlight w:val="none"/>
        </w:rPr>
        <w:t>代理人性别：</w:t>
      </w:r>
      <w:r>
        <w:rPr>
          <w:rFonts w:hint="eastAsia" w:ascii="仿宋" w:hAnsi="仿宋" w:eastAsia="仿宋" w:cs="仿宋_GB2312"/>
          <w:color w:val="000000"/>
          <w:sz w:val="28"/>
          <w:szCs w:val="28"/>
          <w:highlight w:val="none"/>
          <w:lang w:val="en-US" w:eastAsia="zh-CN"/>
        </w:rPr>
        <w:t xml:space="preserve">  </w:t>
      </w:r>
      <w:r>
        <w:rPr>
          <w:rFonts w:hint="eastAsia" w:ascii="仿宋" w:hAnsi="仿宋" w:eastAsia="仿宋" w:cs="仿宋_GB2312"/>
          <w:color w:val="000000"/>
          <w:sz w:val="28"/>
          <w:szCs w:val="28"/>
          <w:highlight w:val="none"/>
        </w:rPr>
        <w:t xml:space="preserve">   年龄：</w:t>
      </w:r>
      <w:r>
        <w:rPr>
          <w:rFonts w:hint="eastAsia" w:ascii="仿宋" w:hAnsi="仿宋" w:eastAsia="仿宋" w:cs="仿宋_GB2312"/>
          <w:color w:val="000000"/>
          <w:sz w:val="28"/>
          <w:szCs w:val="28"/>
          <w:highlight w:val="none"/>
          <w:lang w:val="en-US" w:eastAsia="zh-CN"/>
        </w:rPr>
        <w:t xml:space="preserve">  </w:t>
      </w:r>
      <w:r>
        <w:rPr>
          <w:rFonts w:hint="eastAsia" w:ascii="仿宋" w:hAnsi="仿宋" w:eastAsia="仿宋" w:cs="仿宋_GB2312"/>
          <w:color w:val="000000"/>
          <w:sz w:val="28"/>
          <w:szCs w:val="28"/>
          <w:highlight w:val="none"/>
        </w:rPr>
        <w:t xml:space="preserve">   职务：</w:t>
      </w:r>
    </w:p>
    <w:p>
      <w:pPr>
        <w:spacing w:line="480" w:lineRule="exact"/>
        <w:ind w:firstLine="280" w:firstLineChars="100"/>
        <w:rPr>
          <w:rFonts w:hint="eastAsia" w:ascii="仿宋" w:hAnsi="仿宋" w:eastAsia="仿宋" w:cs="仿宋_GB2312"/>
          <w:color w:val="000000"/>
          <w:sz w:val="28"/>
          <w:szCs w:val="28"/>
          <w:highlight w:val="none"/>
        </w:rPr>
      </w:pPr>
      <w:r>
        <w:rPr>
          <w:rFonts w:hint="eastAsia" w:ascii="仿宋" w:hAnsi="仿宋" w:eastAsia="仿宋" w:cs="仿宋_GB2312"/>
          <w:color w:val="000000"/>
          <w:sz w:val="28"/>
          <w:szCs w:val="28"/>
          <w:highlight w:val="none"/>
        </w:rPr>
        <w:t>　　身份证号码：</w:t>
      </w:r>
    </w:p>
    <w:p>
      <w:pPr>
        <w:spacing w:line="480" w:lineRule="exact"/>
        <w:ind w:firstLine="280" w:firstLineChars="100"/>
        <w:rPr>
          <w:rFonts w:hint="eastAsia" w:ascii="仿宋" w:hAnsi="仿宋" w:eastAsia="仿宋" w:cs="仿宋_GB2312"/>
          <w:color w:val="000000"/>
          <w:sz w:val="28"/>
          <w:szCs w:val="28"/>
          <w:highlight w:val="none"/>
        </w:rPr>
      </w:pPr>
      <w:r>
        <w:rPr>
          <w:rFonts w:hint="eastAsia" w:ascii="仿宋" w:hAnsi="仿宋" w:eastAsia="仿宋" w:cs="仿宋_GB2312"/>
          <w:color w:val="000000"/>
          <w:sz w:val="28"/>
          <w:szCs w:val="28"/>
          <w:highlight w:val="none"/>
        </w:rPr>
        <w:t>　　（营业执照等）注册号码：</w:t>
      </w:r>
    </w:p>
    <w:p>
      <w:pPr>
        <w:spacing w:line="480" w:lineRule="exact"/>
        <w:ind w:firstLine="280" w:firstLineChars="100"/>
        <w:rPr>
          <w:rFonts w:ascii="仿宋_GB2312" w:hAnsi="仿宋_GB2312" w:eastAsia="仿宋_GB2312" w:cs="仿宋_GB2312"/>
          <w:sz w:val="28"/>
          <w:szCs w:val="28"/>
          <w:highlight w:val="none"/>
        </w:rPr>
      </w:pPr>
      <w:r>
        <w:rPr>
          <w:rFonts w:hint="eastAsia" w:ascii="仿宋" w:hAnsi="仿宋" w:eastAsia="仿宋" w:cs="仿宋_GB2312"/>
          <w:color w:val="000000"/>
          <w:sz w:val="28"/>
          <w:szCs w:val="28"/>
          <w:highlight w:val="none"/>
        </w:rPr>
        <w:t>　　 经营范围：</w:t>
      </w:r>
    </w:p>
    <w:p>
      <w:pPr>
        <w:spacing w:line="480" w:lineRule="exact"/>
        <w:ind w:firstLine="280" w:firstLineChars="100"/>
        <w:rPr>
          <w:rFonts w:ascii="仿宋_GB2312" w:hAnsi="仿宋_GB2312" w:eastAsia="仿宋_GB2312" w:cs="仿宋_GB2312"/>
          <w:sz w:val="28"/>
          <w:szCs w:val="28"/>
          <w:highlight w:val="none"/>
        </w:rPr>
      </w:pPr>
    </w:p>
    <w:p>
      <w:pPr>
        <w:spacing w:line="480" w:lineRule="exact"/>
        <w:rPr>
          <w:rFonts w:ascii="仿宋" w:hAnsi="仿宋" w:eastAsia="仿宋" w:cs="仿宋_GB2312"/>
          <w:color w:val="000000"/>
          <w:sz w:val="24"/>
          <w:szCs w:val="24"/>
          <w:highlight w:val="none"/>
        </w:rPr>
      </w:pPr>
      <w:r>
        <w:rPr>
          <w:rFonts w:hint="eastAsia" w:ascii="仿宋_GB2312" w:hAnsi="仿宋_GB2312" w:eastAsia="仿宋_GB2312" w:cs="仿宋_GB2312"/>
          <w:color w:val="000000"/>
          <w:sz w:val="24"/>
          <w:szCs w:val="24"/>
          <w:highlight w:val="none"/>
        </w:rPr>
        <w:t>说明：</w:t>
      </w:r>
      <w:r>
        <w:rPr>
          <w:rFonts w:ascii="仿宋" w:hAnsi="仿宋" w:eastAsia="仿宋" w:cs="仿宋_GB2312"/>
          <w:color w:val="000000"/>
          <w:sz w:val="24"/>
          <w:szCs w:val="24"/>
          <w:highlight w:val="none"/>
        </w:rPr>
        <w:t>1.法定代表人为企业事业单位、国家机关、社会团体的主要行政负责人。</w:t>
      </w:r>
    </w:p>
    <w:p>
      <w:pPr>
        <w:spacing w:line="480" w:lineRule="exact"/>
        <w:rPr>
          <w:rFonts w:ascii="仿宋" w:hAnsi="仿宋" w:eastAsia="仿宋" w:cs="仿宋_GB2312"/>
          <w:color w:val="000000"/>
          <w:sz w:val="24"/>
          <w:szCs w:val="24"/>
          <w:highlight w:val="none"/>
        </w:rPr>
      </w:pPr>
      <w:r>
        <w:rPr>
          <w:rFonts w:ascii="仿宋" w:hAnsi="仿宋" w:eastAsia="仿宋" w:cs="仿宋_GB2312"/>
          <w:color w:val="000000"/>
          <w:sz w:val="24"/>
          <w:szCs w:val="24"/>
          <w:highlight w:val="none"/>
        </w:rPr>
        <w:t xml:space="preserve">      2.内容必须填写真实、清楚、涂改无效，不得转让、买卖。</w:t>
      </w:r>
    </w:p>
    <w:p>
      <w:pPr>
        <w:spacing w:line="480" w:lineRule="exact"/>
        <w:ind w:firstLine="720" w:firstLineChars="300"/>
        <w:rPr>
          <w:rFonts w:ascii="仿宋" w:hAnsi="仿宋" w:eastAsia="仿宋" w:cs="仿宋_GB2312"/>
          <w:b/>
          <w:color w:val="000000"/>
          <w:sz w:val="24"/>
          <w:szCs w:val="24"/>
          <w:highlight w:val="none"/>
        </w:rPr>
      </w:pPr>
      <w:r>
        <w:rPr>
          <w:rFonts w:ascii="仿宋" w:hAnsi="仿宋" w:eastAsia="仿宋" w:cs="仿宋_GB2312"/>
          <w:color w:val="000000"/>
          <w:sz w:val="24"/>
          <w:szCs w:val="24"/>
          <w:highlight w:val="none"/>
        </w:rPr>
        <w:t>3.将此证明书提交对方作为合同附件</w:t>
      </w:r>
      <w:r>
        <w:rPr>
          <w:rFonts w:hint="eastAsia" w:ascii="仿宋" w:hAnsi="仿宋" w:eastAsia="仿宋" w:cs="仿宋_GB2312"/>
          <w:b/>
          <w:color w:val="000000"/>
          <w:sz w:val="24"/>
          <w:szCs w:val="24"/>
          <w:highlight w:val="none"/>
        </w:rPr>
        <w:t>。</w:t>
      </w:r>
    </w:p>
    <w:p>
      <w:pPr>
        <w:spacing w:line="480" w:lineRule="exact"/>
        <w:ind w:firstLine="720" w:firstLineChars="300"/>
        <w:rPr>
          <w:rFonts w:ascii="仿宋" w:hAnsi="仿宋" w:eastAsia="仿宋" w:cs="仿宋_GB2312"/>
          <w:color w:val="000000"/>
          <w:sz w:val="24"/>
          <w:szCs w:val="24"/>
          <w:highlight w:val="none"/>
        </w:rPr>
      </w:pPr>
      <w:r>
        <w:rPr>
          <w:rFonts w:ascii="仿宋" w:hAnsi="仿宋" w:eastAsia="仿宋" w:cs="仿宋_GB2312"/>
          <w:color w:val="000000"/>
          <w:sz w:val="24"/>
          <w:szCs w:val="24"/>
          <w:highlight w:val="none"/>
        </w:rPr>
        <w:t>4.授权权限：全权代表本公司参与上述项目的谈判，负责提供与签署确认一切文书资料，以及向贵方递交的任何补充承诺。</w:t>
      </w:r>
    </w:p>
    <w:p>
      <w:pPr>
        <w:spacing w:line="440" w:lineRule="exact"/>
        <w:ind w:firstLine="736" w:firstLineChars="307"/>
        <w:rPr>
          <w:rFonts w:ascii="仿宋" w:hAnsi="仿宋" w:eastAsia="仿宋" w:cs="仿宋_GB2312"/>
          <w:color w:val="000000"/>
          <w:sz w:val="24"/>
          <w:szCs w:val="24"/>
          <w:highlight w:val="none"/>
        </w:rPr>
      </w:pPr>
      <w:r>
        <w:rPr>
          <w:rFonts w:ascii="仿宋" w:hAnsi="仿宋" w:eastAsia="仿宋" w:cs="仿宋_GB2312"/>
          <w:color w:val="000000"/>
          <w:sz w:val="24"/>
          <w:szCs w:val="24"/>
          <w:highlight w:val="none"/>
        </w:rPr>
        <w:t>5.有效期限：与本公司响应文件成交注的谈判有效期相同，自本单位盖公章之日起生效。</w:t>
      </w:r>
    </w:p>
    <w:p>
      <w:pPr>
        <w:spacing w:line="440" w:lineRule="exact"/>
        <w:ind w:firstLine="736" w:firstLineChars="307"/>
        <w:rPr>
          <w:rFonts w:ascii="仿宋" w:hAnsi="仿宋" w:eastAsia="仿宋" w:cs="仿宋_GB2312"/>
          <w:color w:val="000000"/>
          <w:sz w:val="24"/>
          <w:szCs w:val="24"/>
          <w:highlight w:val="none"/>
        </w:rPr>
      </w:pPr>
      <w:r>
        <w:rPr>
          <w:rFonts w:ascii="仿宋" w:hAnsi="仿宋" w:eastAsia="仿宋" w:cs="仿宋_GB2312"/>
          <w:color w:val="000000"/>
          <w:sz w:val="24"/>
          <w:szCs w:val="24"/>
          <w:highlight w:val="none"/>
        </w:rPr>
        <w:t>6.谈判签字代表为法定代表人，则本表不适用。</w:t>
      </w:r>
    </w:p>
    <w:p>
      <w:pPr>
        <w:spacing w:line="440" w:lineRule="exact"/>
        <w:ind w:firstLine="736" w:firstLineChars="307"/>
        <w:rPr>
          <w:rFonts w:ascii="仿宋_GB2312" w:hAnsi="仿宋_GB2312" w:eastAsia="仿宋_GB2312" w:cs="仿宋_GB2312"/>
          <w:sz w:val="28"/>
          <w:szCs w:val="28"/>
          <w:highlight w:val="none"/>
        </w:rPr>
      </w:pPr>
      <w:r>
        <w:rPr>
          <w:rFonts w:hint="default" w:ascii="仿宋" w:hAnsi="仿宋" w:eastAsia="仿宋" w:cs="仿宋_GB2312"/>
          <w:b w:val="0"/>
          <w:color w:val="000000"/>
          <w:sz w:val="24"/>
          <w:szCs w:val="24"/>
          <w:highlight w:val="none"/>
        </w:rPr>
        <w:t>7.提供授权委托人在本单位近三个月社保记录（以加盖社会保险基金管理中心印章的《缴费历史明细表》或《社会保险参保人员证明》为准），否则为无效代理人，询价响应文件无效。</w:t>
      </w:r>
    </w:p>
    <w:p>
      <w:pPr>
        <w:spacing w:line="440" w:lineRule="exact"/>
        <w:ind w:firstLine="0" w:firstLineChars="0"/>
        <w:rPr>
          <w:rFonts w:hint="eastAsia" w:ascii="宋体" w:hAnsi="宋体" w:eastAsia="宋体" w:cs="Times New Roman"/>
          <w:b w:val="0"/>
          <w:color w:val="auto"/>
          <w:sz w:val="24"/>
          <w:szCs w:val="24"/>
          <w:highlight w:val="none"/>
          <w:lang w:val="en-US" w:eastAsia="zh-CN"/>
        </w:rPr>
      </w:pPr>
    </w:p>
    <w:p>
      <w:pPr>
        <w:spacing w:line="440" w:lineRule="exact"/>
        <w:ind w:firstLine="0" w:firstLineChars="0"/>
        <w:rPr>
          <w:rFonts w:hint="eastAsia" w:ascii="宋体" w:hAnsi="宋体" w:eastAsia="宋体" w:cs="Times New Roman"/>
          <w:b w:val="0"/>
          <w:color w:val="auto"/>
          <w:sz w:val="24"/>
          <w:szCs w:val="24"/>
          <w:highlight w:val="none"/>
          <w:lang w:val="en-US" w:eastAsia="zh-CN"/>
        </w:rPr>
      </w:pPr>
    </w:p>
    <w:p>
      <w:pPr>
        <w:spacing w:line="440" w:lineRule="exact"/>
        <w:ind w:firstLine="0" w:firstLineChars="0"/>
        <w:rPr>
          <w:rFonts w:hint="eastAsia" w:ascii="宋体" w:hAnsi="宋体" w:eastAsia="宋体" w:cs="Times New Roman"/>
          <w:b w:val="0"/>
          <w:color w:val="auto"/>
          <w:sz w:val="24"/>
          <w:szCs w:val="24"/>
          <w:highlight w:val="none"/>
          <w:lang w:val="en-US" w:eastAsia="zh-CN"/>
        </w:rPr>
      </w:pPr>
    </w:p>
    <w:p>
      <w:pPr>
        <w:spacing w:line="440" w:lineRule="exact"/>
        <w:ind w:firstLine="0" w:firstLineChars="0"/>
        <w:rPr>
          <w:rFonts w:hint="eastAsia" w:ascii="宋体" w:hAnsi="宋体"/>
          <w:sz w:val="24"/>
          <w:szCs w:val="24"/>
          <w:highlight w:val="none"/>
        </w:rPr>
      </w:pPr>
      <w:r>
        <w:rPr>
          <w:rFonts w:hint="eastAsia" w:ascii="宋体" w:hAnsi="宋体" w:eastAsia="宋体" w:cs="Times New Roman"/>
          <w:b w:val="0"/>
          <w:color w:val="auto"/>
          <w:sz w:val="24"/>
          <w:szCs w:val="24"/>
          <w:highlight w:val="none"/>
          <w:lang w:val="en-US" w:eastAsia="zh-CN"/>
        </w:rPr>
        <w:t>授权代理人</w:t>
      </w:r>
      <w:r>
        <w:rPr>
          <w:rFonts w:hint="eastAsia" w:ascii="宋体" w:hAnsi="宋体"/>
          <w:sz w:val="24"/>
          <w:szCs w:val="24"/>
          <w:highlight w:val="none"/>
        </w:rPr>
        <w:t>身份证复印件：</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8"/>
        <w:gridCol w:w="4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58" w:hRule="atLeast"/>
        </w:trPr>
        <w:tc>
          <w:tcPr>
            <w:tcW w:w="4814" w:type="dxa"/>
            <w:noWrap w:val="0"/>
            <w:vAlign w:val="top"/>
          </w:tcPr>
          <w:p>
            <w:pPr>
              <w:spacing w:line="360" w:lineRule="auto"/>
              <w:jc w:val="both"/>
              <w:rPr>
                <w:rFonts w:hint="eastAsia" w:ascii="宋体" w:hAnsi="宋体" w:eastAsia="宋体" w:cs="Times New Roman"/>
                <w:sz w:val="24"/>
                <w:szCs w:val="24"/>
                <w:highlight w:val="none"/>
              </w:rPr>
            </w:pPr>
          </w:p>
          <w:p>
            <w:pPr>
              <w:spacing w:line="360" w:lineRule="auto"/>
              <w:jc w:val="center"/>
              <w:rPr>
                <w:rFonts w:hint="eastAsia" w:ascii="宋体" w:hAnsi="宋体" w:eastAsia="宋体" w:cs="Times New Roman"/>
                <w:sz w:val="24"/>
                <w:szCs w:val="24"/>
                <w:highlight w:val="none"/>
              </w:rPr>
            </w:pPr>
          </w:p>
          <w:p>
            <w:pPr>
              <w:spacing w:line="360" w:lineRule="auto"/>
              <w:jc w:val="center"/>
              <w:rPr>
                <w:rFonts w:hint="eastAsia" w:ascii="宋体" w:hAnsi="宋体"/>
                <w:sz w:val="24"/>
                <w:szCs w:val="24"/>
                <w:highlight w:val="none"/>
                <w:lang w:val="en-US" w:eastAsia="zh-CN"/>
              </w:rPr>
            </w:pPr>
            <w:r>
              <w:rPr>
                <w:rFonts w:hint="eastAsia" w:ascii="宋体" w:hAnsi="宋体" w:eastAsia="宋体" w:cs="Times New Roman"/>
                <w:sz w:val="24"/>
                <w:szCs w:val="24"/>
                <w:highlight w:val="none"/>
              </w:rPr>
              <w:t>人像面</w:t>
            </w:r>
            <w:r>
              <w:rPr>
                <w:rFonts w:hint="eastAsia" w:ascii="宋体" w:hAnsi="宋体" w:cs="Times New Roman"/>
                <w:sz w:val="24"/>
                <w:szCs w:val="24"/>
                <w:highlight w:val="none"/>
                <w:lang w:eastAsia="zh-CN"/>
              </w:rPr>
              <w:t>，</w:t>
            </w:r>
            <w:r>
              <w:rPr>
                <w:rFonts w:hint="eastAsia" w:ascii="宋体" w:hAnsi="宋体"/>
                <w:sz w:val="24"/>
                <w:szCs w:val="24"/>
                <w:highlight w:val="none"/>
                <w:lang w:val="en-US" w:eastAsia="zh-CN"/>
              </w:rPr>
              <w:t>盖单位公章</w:t>
            </w:r>
          </w:p>
          <w:p>
            <w:pPr>
              <w:spacing w:line="360" w:lineRule="auto"/>
              <w:jc w:val="center"/>
              <w:rPr>
                <w:rFonts w:hint="eastAsia" w:ascii="宋体" w:hAnsi="宋体"/>
                <w:sz w:val="24"/>
                <w:szCs w:val="24"/>
                <w:highlight w:val="none"/>
                <w:lang w:val="en-US" w:eastAsia="zh-CN"/>
              </w:rPr>
            </w:pPr>
          </w:p>
          <w:p>
            <w:pPr>
              <w:spacing w:line="360" w:lineRule="auto"/>
              <w:jc w:val="left"/>
              <w:rPr>
                <w:rFonts w:ascii="宋体" w:hAnsi="宋体"/>
                <w:sz w:val="24"/>
                <w:szCs w:val="24"/>
                <w:highlight w:val="none"/>
              </w:rPr>
            </w:pPr>
          </w:p>
          <w:p>
            <w:pPr>
              <w:spacing w:line="360" w:lineRule="auto"/>
              <w:jc w:val="left"/>
              <w:rPr>
                <w:rFonts w:ascii="宋体" w:hAnsi="宋体"/>
                <w:sz w:val="24"/>
                <w:szCs w:val="24"/>
                <w:highlight w:val="none"/>
              </w:rPr>
            </w:pPr>
          </w:p>
        </w:tc>
        <w:tc>
          <w:tcPr>
            <w:tcW w:w="4814" w:type="dxa"/>
            <w:noWrap w:val="0"/>
            <w:vAlign w:val="top"/>
          </w:tcPr>
          <w:p>
            <w:pPr>
              <w:spacing w:line="360" w:lineRule="auto"/>
              <w:jc w:val="center"/>
              <w:rPr>
                <w:rFonts w:hint="eastAsia" w:ascii="仿宋" w:hAnsi="仿宋" w:eastAsia="仿宋" w:cs="仿宋_GB2312"/>
                <w:color w:val="000000"/>
                <w:sz w:val="24"/>
                <w:szCs w:val="24"/>
                <w:highlight w:val="none"/>
              </w:rPr>
            </w:pPr>
          </w:p>
          <w:p>
            <w:pPr>
              <w:spacing w:line="360" w:lineRule="auto"/>
              <w:jc w:val="both"/>
              <w:rPr>
                <w:rFonts w:hint="eastAsia" w:ascii="宋体" w:hAnsi="宋体" w:eastAsia="宋体" w:cs="Times New Roman"/>
                <w:sz w:val="24"/>
                <w:szCs w:val="24"/>
                <w:highlight w:val="none"/>
              </w:rPr>
            </w:pPr>
          </w:p>
          <w:p>
            <w:pPr>
              <w:spacing w:line="360" w:lineRule="auto"/>
              <w:jc w:val="center"/>
              <w:rPr>
                <w:rFonts w:ascii="宋体" w:hAnsi="宋体"/>
                <w:sz w:val="24"/>
                <w:szCs w:val="24"/>
                <w:highlight w:val="none"/>
              </w:rPr>
            </w:pPr>
            <w:r>
              <w:rPr>
                <w:rFonts w:hint="eastAsia" w:ascii="宋体" w:hAnsi="宋体" w:eastAsia="宋体" w:cs="Times New Roman"/>
                <w:sz w:val="24"/>
                <w:szCs w:val="24"/>
                <w:highlight w:val="none"/>
              </w:rPr>
              <w:t>国徽面</w:t>
            </w:r>
            <w:r>
              <w:rPr>
                <w:rFonts w:hint="eastAsia" w:ascii="宋体" w:hAnsi="宋体" w:cs="Times New Roman"/>
                <w:sz w:val="24"/>
                <w:szCs w:val="24"/>
                <w:highlight w:val="none"/>
                <w:lang w:eastAsia="zh-CN"/>
              </w:rPr>
              <w:t>，</w:t>
            </w:r>
            <w:r>
              <w:rPr>
                <w:rFonts w:hint="eastAsia" w:ascii="宋体" w:hAnsi="宋体"/>
                <w:sz w:val="24"/>
                <w:szCs w:val="24"/>
                <w:highlight w:val="none"/>
                <w:lang w:val="en-US" w:eastAsia="zh-CN"/>
              </w:rPr>
              <w:t>盖单位公章</w:t>
            </w:r>
          </w:p>
        </w:tc>
      </w:tr>
    </w:tbl>
    <w:p>
      <w:pPr>
        <w:spacing w:line="480" w:lineRule="exact"/>
        <w:ind w:firstLine="843" w:firstLineChars="300"/>
        <w:rPr>
          <w:rFonts w:hint="default" w:ascii="仿宋" w:hAnsi="仿宋" w:eastAsia="仿宋" w:cs="仿宋_GB2312"/>
          <w:b/>
          <w:color w:val="000000"/>
          <w:sz w:val="28"/>
          <w:szCs w:val="28"/>
          <w:highlight w:val="none"/>
          <w:lang w:val="en-US"/>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6" w:hRule="atLeast"/>
        </w:trPr>
        <w:tc>
          <w:tcPr>
            <w:tcW w:w="9608" w:type="dxa"/>
            <w:noWrap w:val="0"/>
            <w:vAlign w:val="top"/>
          </w:tcPr>
          <w:p>
            <w:pPr>
              <w:spacing w:line="360" w:lineRule="auto"/>
              <w:jc w:val="both"/>
              <w:rPr>
                <w:rFonts w:hint="eastAsia" w:ascii="宋体" w:hAnsi="宋体" w:eastAsia="宋体" w:cs="Times New Roman"/>
                <w:sz w:val="24"/>
                <w:szCs w:val="24"/>
                <w:highlight w:val="none"/>
              </w:rPr>
            </w:pPr>
          </w:p>
          <w:p>
            <w:pPr>
              <w:spacing w:line="360" w:lineRule="auto"/>
              <w:jc w:val="center"/>
              <w:rPr>
                <w:rFonts w:hint="eastAsia" w:ascii="宋体" w:hAnsi="宋体" w:eastAsia="宋体" w:cs="Times New Roman"/>
                <w:sz w:val="24"/>
                <w:szCs w:val="24"/>
                <w:highlight w:val="none"/>
              </w:rPr>
            </w:pPr>
          </w:p>
          <w:p>
            <w:pPr>
              <w:spacing w:line="360" w:lineRule="auto"/>
              <w:jc w:val="center"/>
              <w:rPr>
                <w:rFonts w:hint="eastAsia" w:ascii="宋体" w:hAnsi="宋体"/>
                <w:sz w:val="24"/>
                <w:szCs w:val="24"/>
                <w:highlight w:val="none"/>
                <w:lang w:val="en-US" w:eastAsia="zh-CN"/>
              </w:rPr>
            </w:pPr>
            <w:r>
              <w:rPr>
                <w:rFonts w:hint="eastAsia" w:ascii="宋体" w:hAnsi="宋体" w:cs="Times New Roman"/>
                <w:sz w:val="24"/>
                <w:szCs w:val="24"/>
                <w:highlight w:val="none"/>
                <w:lang w:eastAsia="zh-CN"/>
              </w:rPr>
              <w:t>授权代理人在本单位近三个月社保记录，（以加盖社会保险基金管理中心印章的《缴费历史明细表》或《社会保险参保人员证明》为准，</w:t>
            </w:r>
            <w:r>
              <w:rPr>
                <w:rFonts w:hint="eastAsia" w:ascii="宋体" w:hAnsi="宋体"/>
                <w:sz w:val="24"/>
                <w:szCs w:val="24"/>
                <w:highlight w:val="none"/>
                <w:lang w:val="en-US" w:eastAsia="zh-CN"/>
              </w:rPr>
              <w:t>盖单位公章</w:t>
            </w:r>
          </w:p>
          <w:p>
            <w:pPr>
              <w:spacing w:line="360" w:lineRule="auto"/>
              <w:jc w:val="center"/>
              <w:rPr>
                <w:rFonts w:hint="eastAsia" w:ascii="宋体" w:hAnsi="宋体"/>
                <w:sz w:val="24"/>
                <w:szCs w:val="24"/>
                <w:highlight w:val="none"/>
                <w:lang w:val="en-US" w:eastAsia="zh-CN"/>
              </w:rPr>
            </w:pPr>
          </w:p>
          <w:p>
            <w:pPr>
              <w:spacing w:line="360" w:lineRule="auto"/>
              <w:jc w:val="left"/>
              <w:rPr>
                <w:rFonts w:ascii="宋体" w:hAnsi="宋体"/>
                <w:sz w:val="24"/>
                <w:szCs w:val="24"/>
                <w:highlight w:val="none"/>
              </w:rPr>
            </w:pPr>
          </w:p>
          <w:p>
            <w:pPr>
              <w:spacing w:line="360" w:lineRule="auto"/>
              <w:jc w:val="left"/>
              <w:rPr>
                <w:rFonts w:ascii="宋体" w:hAnsi="宋体"/>
                <w:sz w:val="24"/>
                <w:szCs w:val="24"/>
                <w:highlight w:val="none"/>
              </w:rPr>
            </w:pPr>
          </w:p>
        </w:tc>
      </w:tr>
    </w:tbl>
    <w:p>
      <w:pPr>
        <w:jc w:val="center"/>
        <w:rPr>
          <w:rFonts w:ascii="仿宋" w:hAnsi="仿宋" w:eastAsia="仿宋" w:cs="仿宋_GB2312"/>
          <w:color w:val="000000" w:themeColor="text1"/>
          <w:sz w:val="28"/>
          <w:szCs w:val="28"/>
          <w14:textFill>
            <w14:solidFill>
              <w14:schemeClr w14:val="tx1"/>
            </w14:solidFill>
          </w14:textFill>
        </w:rPr>
      </w:pPr>
    </w:p>
    <w:p>
      <w:pPr>
        <w:jc w:val="center"/>
        <w:rPr>
          <w:rFonts w:ascii="仿宋" w:hAnsi="仿宋" w:eastAsia="仿宋" w:cs="仿宋_GB2312"/>
          <w:color w:val="000000" w:themeColor="text1"/>
          <w:sz w:val="28"/>
          <w:szCs w:val="28"/>
          <w14:textFill>
            <w14:solidFill>
              <w14:schemeClr w14:val="tx1"/>
            </w14:solidFill>
          </w14:textFill>
        </w:rPr>
      </w:pPr>
    </w:p>
    <w:p>
      <w:pPr>
        <w:widowControl/>
        <w:jc w:val="left"/>
        <w:rPr>
          <w:rFonts w:ascii="仿宋_GB2312" w:hAnsi="仿宋_GB2312" w:eastAsia="仿宋_GB2312" w:cs="仿宋_GB2312"/>
          <w:sz w:val="28"/>
          <w:szCs w:val="28"/>
          <w:u w:val="single"/>
        </w:rPr>
      </w:pPr>
    </w:p>
    <w:p>
      <w:pPr>
        <w:spacing w:line="300" w:lineRule="auto"/>
        <w:rPr>
          <w:rFonts w:ascii="仿宋_GB2312" w:hAnsi="仿宋_GB2312" w:eastAsia="仿宋_GB2312" w:cs="仿宋_GB2312"/>
          <w:b/>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widowControl/>
        <w:jc w:val="left"/>
        <w:rPr>
          <w:rFonts w:ascii="仿宋_GB2312" w:hAnsi="仿宋_GB2312" w:eastAsia="仿宋_GB2312" w:cs="仿宋_GB2312"/>
          <w:b/>
          <w:sz w:val="28"/>
          <w:szCs w:val="28"/>
        </w:rPr>
      </w:pPr>
    </w:p>
    <w:p>
      <w:pPr>
        <w:pStyle w:val="4"/>
        <w:ind w:firstLine="562"/>
        <w:jc w:val="center"/>
        <w:rPr>
          <w:rFonts w:hint="eastAsia" w:ascii="仿宋_GB2312" w:hAnsi="仿宋_GB2312" w:cs="仿宋_GB2312"/>
          <w:bCs w:val="0"/>
        </w:rPr>
      </w:pPr>
    </w:p>
    <w:p>
      <w:pPr>
        <w:pStyle w:val="4"/>
        <w:ind w:firstLine="562"/>
        <w:jc w:val="center"/>
        <w:rPr>
          <w:rFonts w:ascii="仿宋_GB2312" w:hAnsi="仿宋_GB2312" w:cs="仿宋_GB2312"/>
          <w:b w:val="0"/>
          <w:bCs w:val="0"/>
        </w:rPr>
      </w:pPr>
      <w:r>
        <w:rPr>
          <w:rFonts w:hint="eastAsia" w:ascii="仿宋_GB2312" w:hAnsi="仿宋_GB2312" w:cs="仿宋_GB2312"/>
          <w:bCs w:val="0"/>
        </w:rPr>
        <w:t>2资格证明文件</w:t>
      </w:r>
    </w:p>
    <w:p/>
    <w:p>
      <w:pPr>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关于资格的声明函</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致：（项目实施单位）</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关于贵方项目名称:____________项目编号：   询价项目，本单位愿意提交报价响应文件，并证明提交的下列文件和说明是准确的和真实的。</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 </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 </w:t>
      </w:r>
    </w:p>
    <w:p>
      <w:pPr>
        <w:spacing w:line="48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（相关证明文件附后）</w:t>
      </w:r>
    </w:p>
    <w:p>
      <w:pPr>
        <w:adjustRightInd w:val="0"/>
        <w:snapToGrid w:val="0"/>
        <w:spacing w:line="30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p>
    <w:p>
      <w:pPr>
        <w:adjustRightInd w:val="0"/>
        <w:snapToGrid w:val="0"/>
        <w:spacing w:line="300" w:lineRule="auto"/>
        <w:ind w:firstLine="560" w:firstLineChars="200"/>
        <w:rPr>
          <w:rFonts w:ascii="仿宋_GB2312" w:hAnsi="仿宋_GB2312" w:eastAsia="仿宋_GB2312" w:cs="仿宋_GB2312"/>
          <w:sz w:val="28"/>
          <w:szCs w:val="28"/>
        </w:rPr>
      </w:pPr>
    </w:p>
    <w:p>
      <w:pPr>
        <w:adjustRightInd w:val="0"/>
        <w:snapToGrid w:val="0"/>
        <w:spacing w:line="30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本单位保证全部申请文件和问题的回答是真实和有效的，并对所提供资料的真实性负责。</w:t>
      </w:r>
    </w:p>
    <w:p>
      <w:pPr>
        <w:adjustRightInd w:val="0"/>
        <w:snapToGrid w:val="0"/>
        <w:spacing w:line="300" w:lineRule="auto"/>
        <w:rPr>
          <w:rFonts w:ascii="仿宋_GB2312" w:hAnsi="仿宋_GB2312" w:eastAsia="仿宋_GB2312" w:cs="仿宋_GB2312"/>
          <w:sz w:val="28"/>
          <w:szCs w:val="28"/>
        </w:rPr>
      </w:pPr>
    </w:p>
    <w:p>
      <w:pPr>
        <w:adjustRightInd w:val="0"/>
        <w:snapToGrid w:val="0"/>
        <w:spacing w:line="300" w:lineRule="auto"/>
        <w:rPr>
          <w:rFonts w:ascii="仿宋_GB2312" w:hAnsi="仿宋_GB2312" w:eastAsia="仿宋_GB2312" w:cs="仿宋_GB2312"/>
          <w:sz w:val="28"/>
          <w:szCs w:val="28"/>
        </w:rPr>
      </w:pPr>
    </w:p>
    <w:p>
      <w:pPr>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报价单位代表（签名或盖私章）：</w:t>
      </w:r>
    </w:p>
    <w:p>
      <w:pPr>
        <w:adjustRightInd w:val="0"/>
        <w:snapToGrid w:val="0"/>
        <w:spacing w:line="300" w:lineRule="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报价单位名称（盖单位公章）：</w:t>
      </w:r>
    </w:p>
    <w:p>
      <w:pPr>
        <w:adjustRightInd w:val="0"/>
        <w:snapToGrid w:val="0"/>
        <w:spacing w:line="300" w:lineRule="auto"/>
        <w:rPr>
          <w:rFonts w:ascii="仿宋_GB2312" w:hAnsi="仿宋_GB2312" w:eastAsia="仿宋_GB2312" w:cs="仿宋_GB2312"/>
          <w:sz w:val="28"/>
          <w:szCs w:val="28"/>
        </w:rPr>
        <w:sectPr>
          <w:pgSz w:w="11906" w:h="16838"/>
          <w:pgMar w:top="1089" w:right="1469" w:bottom="1089" w:left="1077" w:header="851" w:footer="992" w:gutter="0"/>
          <w:cols w:space="720" w:num="1"/>
          <w:docGrid w:linePitch="312" w:charSpace="0"/>
        </w:sectPr>
      </w:pPr>
      <w:r>
        <w:rPr>
          <w:rFonts w:hint="eastAsia" w:ascii="仿宋_GB2312" w:hAnsi="仿宋_GB2312" w:eastAsia="仿宋_GB2312" w:cs="仿宋_GB2312"/>
          <w:sz w:val="28"/>
          <w:szCs w:val="28"/>
        </w:rPr>
        <w:t>日期：年 月 日</w:t>
      </w:r>
    </w:p>
    <w:p>
      <w:pPr>
        <w:jc w:val="center"/>
        <w:rPr>
          <w:rFonts w:ascii="仿宋" w:hAnsi="仿宋" w:eastAsia="仿宋" w:cs="仿宋_GB2312"/>
          <w:b/>
          <w:color w:val="000000" w:themeColor="text1"/>
          <w:sz w:val="28"/>
          <w:szCs w:val="28"/>
          <w14:textFill>
            <w14:solidFill>
              <w14:schemeClr w14:val="tx1"/>
            </w14:solidFill>
          </w14:textFill>
        </w:rPr>
      </w:pPr>
      <w:r>
        <w:rPr>
          <w:rFonts w:ascii="仿宋" w:hAnsi="仿宋" w:eastAsia="仿宋" w:cs="仿宋_GB2312"/>
          <w:b/>
          <w:color w:val="000000" w:themeColor="text1"/>
          <w:sz w:val="28"/>
          <w:szCs w:val="28"/>
          <w14:textFill>
            <w14:solidFill>
              <w14:schemeClr w14:val="tx1"/>
            </w14:solidFill>
          </w14:textFill>
        </w:rPr>
        <w:t xml:space="preserve">3 </w:t>
      </w:r>
      <w:r>
        <w:rPr>
          <w:rFonts w:hint="eastAsia" w:ascii="仿宋" w:hAnsi="仿宋" w:eastAsia="仿宋" w:cs="仿宋_GB2312"/>
          <w:b/>
          <w:color w:val="000000" w:themeColor="text1"/>
          <w:sz w:val="28"/>
          <w:szCs w:val="28"/>
          <w14:textFill>
            <w14:solidFill>
              <w14:schemeClr w14:val="tx1"/>
            </w14:solidFill>
          </w14:textFill>
        </w:rPr>
        <w:t>报价意向承诺及声明函</w:t>
      </w:r>
    </w:p>
    <w:p>
      <w:pPr>
        <w:jc w:val="center"/>
        <w:rPr>
          <w:rFonts w:ascii="仿宋" w:hAnsi="仿宋" w:eastAsia="仿宋" w:cs="仿宋_GB2312"/>
          <w:b/>
          <w:color w:val="000000" w:themeColor="text1"/>
          <w:sz w:val="28"/>
          <w:szCs w:val="28"/>
          <w14:textFill>
            <w14:solidFill>
              <w14:schemeClr w14:val="tx1"/>
            </w14:solidFill>
          </w14:textFill>
        </w:rPr>
      </w:pPr>
    </w:p>
    <w:p>
      <w:pPr>
        <w:pStyle w:val="41"/>
        <w:adjustRightInd w:val="0"/>
        <w:ind w:firstLine="0"/>
        <w:rPr>
          <w:rFonts w:hAnsi="仿宋" w:cs="仿宋_GB2312"/>
          <w:color w:val="000000" w:themeColor="text1"/>
          <w:sz w:val="24"/>
          <w:szCs w:val="24"/>
          <w14:textFill>
            <w14:solidFill>
              <w14:schemeClr w14:val="tx1"/>
            </w14:solidFill>
          </w14:textFill>
        </w:rPr>
      </w:pPr>
      <w:r>
        <w:rPr>
          <w:rFonts w:hint="eastAsia" w:hAnsi="仿宋" w:cs="仿宋_GB2312"/>
          <w:color w:val="000000" w:themeColor="text1"/>
          <w:sz w:val="24"/>
          <w:szCs w:val="24"/>
          <w14:textFill>
            <w14:solidFill>
              <w14:schemeClr w14:val="tx1"/>
            </w14:solidFill>
          </w14:textFill>
        </w:rPr>
        <w:t>致：</w:t>
      </w:r>
      <w:r>
        <w:rPr>
          <w:rFonts w:hint="eastAsia" w:hAnsi="仿宋" w:cs="仿宋_GB2312"/>
          <w:color w:val="000000" w:themeColor="text1"/>
          <w:sz w:val="24"/>
          <w:szCs w:val="24"/>
          <w:u w:val="single"/>
          <w14:textFill>
            <w14:solidFill>
              <w14:schemeClr w14:val="tx1"/>
            </w14:solidFill>
          </w14:textFill>
        </w:rPr>
        <w:t>（项目实施单位）</w:t>
      </w:r>
    </w:p>
    <w:p>
      <w:pPr>
        <w:autoSpaceDE w:val="0"/>
        <w:autoSpaceDN w:val="0"/>
        <w:adjustRightInd w:val="0"/>
        <w:spacing w:line="360" w:lineRule="auto"/>
        <w:ind w:firstLine="480" w:firstLineChars="2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1.</w:t>
      </w:r>
      <w:r>
        <w:rPr>
          <w:rFonts w:hint="eastAsia" w:ascii="仿宋_GB2312" w:hAnsi="仿宋" w:eastAsia="仿宋_GB2312" w:cs="仿宋_GB2312"/>
          <w:color w:val="000000" w:themeColor="text1"/>
          <w:sz w:val="24"/>
          <w14:textFill>
            <w14:solidFill>
              <w14:schemeClr w14:val="tx1"/>
            </w14:solidFill>
          </w14:textFill>
        </w:rPr>
        <w:t>根据询价人发出的的项目编号为的工程的询价文件，我方已详细审查了全部内容，并无异议。</w:t>
      </w:r>
    </w:p>
    <w:p>
      <w:pPr>
        <w:autoSpaceDE w:val="0"/>
        <w:autoSpaceDN w:val="0"/>
        <w:adjustRightInd w:val="0"/>
        <w:spacing w:line="360" w:lineRule="auto"/>
        <w:ind w:firstLine="480" w:firstLineChars="2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2.现我方承诺：</w:t>
      </w:r>
      <w:r>
        <w:rPr>
          <w:rFonts w:hint="eastAsia" w:ascii="仿宋_GB2312" w:hAnsi="仿宋" w:eastAsia="仿宋_GB2312" w:cs="仿宋_GB2312"/>
          <w:color w:val="000000" w:themeColor="text1"/>
          <w:kern w:val="0"/>
          <w:sz w:val="24"/>
          <w14:textFill>
            <w14:solidFill>
              <w14:schemeClr w14:val="tx1"/>
            </w14:solidFill>
          </w14:textFill>
        </w:rPr>
        <w:t>愿以人民币[单价]元,（小写：￥元）;[总价]元,（小写：￥元）的报价，承包本次交易所包含的所有工作，并承担任何质量缺陷责任。</w:t>
      </w:r>
    </w:p>
    <w:p>
      <w:pPr>
        <w:autoSpaceDE w:val="0"/>
        <w:autoSpaceDN w:val="0"/>
        <w:adjustRightInd w:val="0"/>
        <w:spacing w:line="360" w:lineRule="auto"/>
        <w:ind w:firstLine="480" w:firstLineChars="2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3.我方保证将按照本项目询价文件第二部分项目内容的技术、商务要求完成本项目。</w:t>
      </w:r>
    </w:p>
    <w:p>
      <w:pPr>
        <w:autoSpaceDE w:val="0"/>
        <w:autoSpaceDN w:val="0"/>
        <w:adjustRightIn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4.我方同意承包意向在询价文件规定的交易有效期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5.如果我方获得承包资格，我方保证将</w:t>
      </w:r>
      <w:r>
        <w:rPr>
          <w:rFonts w:hint="eastAsia" w:ascii="仿宋_GB2312" w:hAnsi="仿宋" w:eastAsia="仿宋_GB2312" w:cs="仿宋_GB2312"/>
          <w:color w:val="000000" w:themeColor="text1"/>
          <w:kern w:val="0"/>
          <w:sz w:val="24"/>
          <w14:textFill>
            <w14:solidFill>
              <w14:schemeClr w14:val="tx1"/>
            </w14:solidFill>
          </w14:textFill>
        </w:rPr>
        <w:t>在合同要求的服务期内开展工作，在规定的时间内，按照上述文件完成项目，并严格履行合同。</w:t>
      </w:r>
    </w:p>
    <w:p>
      <w:pPr>
        <w:autoSpaceDE w:val="0"/>
        <w:autoSpaceDN w:val="0"/>
        <w:adjustRightIn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6.如果我方获得承包资格，我方将实行项目经理负责制，我方拟委派的项目负责人为（证书编号为：），并按询价人要求配备项目管理班子。如未经询价人同意更换项目班子成员，询价人有权取消我公司的承包资格或单方面终止合同，由此造成的违约责任由我公司承担。</w:t>
      </w:r>
    </w:p>
    <w:p>
      <w:pPr>
        <w:autoSpaceDE w:val="0"/>
        <w:autoSpaceDN w:val="0"/>
        <w:adjustRightIn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7.我方就参加本项目交易工作，作出以下郑重声明：</w:t>
      </w:r>
    </w:p>
    <w:p>
      <w:pPr>
        <w:autoSpaceDE w:val="0"/>
        <w:autoSpaceDN w:val="0"/>
        <w:adjustRightIn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⑴本公司保证报价资料及其后提供的一切材料都是真实的。</w:t>
      </w:r>
    </w:p>
    <w:p>
      <w:pPr>
        <w:autoSpaceDE w:val="0"/>
        <w:autoSpaceDN w:val="0"/>
        <w:adjustRightIn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⑵本公司保证在本项目交易中不给其他单位挂靠，不出让交易资格，不向询价人行贿。</w:t>
      </w:r>
    </w:p>
    <w:p>
      <w:pPr>
        <w:autoSpaceDE w:val="0"/>
        <w:autoSpaceDN w:val="0"/>
        <w:adjustRightIn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⑶本公司没有处于被责令停业的状态；没有处于被建设行政主管部门取消报价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⑷本公司及其有隶属关系的机构没有参加本项目的前期工作编写工作。</w:t>
      </w:r>
    </w:p>
    <w:p>
      <w:pPr>
        <w:pStyle w:val="40"/>
        <w:ind w:firstLine="496"/>
        <w:rPr>
          <w:rFonts w:ascii="仿宋_GB2312" w:hAnsi="仿宋" w:eastAsia="仿宋_GB2312" w:cs="仿宋_GB2312"/>
          <w:color w:val="000000" w:themeColor="text1"/>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本公司违反上述承诺，或本声明陈述与事实不符，经查实，本公司愿意接受公开通报，承担由此带来的法律后果。</w:t>
      </w:r>
    </w:p>
    <w:p>
      <w:pPr>
        <w:pStyle w:val="40"/>
        <w:ind w:firstLine="496"/>
        <w:rPr>
          <w:rFonts w:ascii="仿宋_GB2312" w:hAnsi="仿宋" w:eastAsia="仿宋_GB2312" w:cs="仿宋_GB2312"/>
          <w:color w:val="000000" w:themeColor="text1"/>
          <w:u w:val="single"/>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承包意向人：(盖公章)</w:t>
      </w:r>
    </w:p>
    <w:p>
      <w:pPr>
        <w:pStyle w:val="40"/>
        <w:ind w:firstLine="496"/>
        <w:rPr>
          <w:rFonts w:ascii="仿宋_GB2312" w:hAnsi="仿宋" w:eastAsia="仿宋_GB2312" w:cs="仿宋_GB2312"/>
          <w:color w:val="000000" w:themeColor="text1"/>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法定代表人（签名或盖</w:t>
      </w:r>
      <w:r>
        <w:rPr>
          <w:rFonts w:hint="eastAsia" w:ascii="仿宋_GB2312" w:hAnsi="仿宋" w:eastAsia="仿宋_GB2312" w:cs="仿宋_GB2312"/>
          <w:color w:val="000000" w:themeColor="text1"/>
          <w:lang w:val="en-US" w:eastAsia="zh-CN"/>
          <w14:textFill>
            <w14:solidFill>
              <w14:schemeClr w14:val="tx1"/>
            </w14:solidFill>
          </w14:textFill>
        </w:rPr>
        <w:t>私</w:t>
      </w:r>
      <w:r>
        <w:rPr>
          <w:rFonts w:hint="eastAsia" w:ascii="仿宋_GB2312" w:hAnsi="仿宋" w:eastAsia="仿宋_GB2312" w:cs="仿宋_GB2312"/>
          <w:color w:val="000000" w:themeColor="text1"/>
          <w14:textFill>
            <w14:solidFill>
              <w14:schemeClr w14:val="tx1"/>
            </w14:solidFill>
          </w14:textFill>
        </w:rPr>
        <w:t>章）：</w:t>
      </w:r>
    </w:p>
    <w:p>
      <w:pPr>
        <w:pStyle w:val="40"/>
        <w:ind w:firstLine="496"/>
        <w:rPr>
          <w:rFonts w:ascii="仿宋_GB2312" w:hAnsi="仿宋_GB2312" w:eastAsia="仿宋_GB2312" w:cs="仿宋_GB2312"/>
        </w:rPr>
      </w:pPr>
      <w:r>
        <w:rPr>
          <w:rFonts w:hint="eastAsia" w:ascii="仿宋_GB2312" w:hAnsi="仿宋" w:eastAsia="仿宋_GB2312" w:cs="仿宋_GB2312"/>
          <w:color w:val="000000" w:themeColor="text1"/>
          <w14:textFill>
            <w14:solidFill>
              <w14:schemeClr w14:val="tx1"/>
            </w14:solidFill>
          </w14:textFill>
        </w:rPr>
        <w:t xml:space="preserve">日    期：  年 月 日  </w:t>
      </w:r>
    </w:p>
    <w:p>
      <w:pPr>
        <w:pStyle w:val="40"/>
        <w:ind w:firstLine="496"/>
        <w:rPr>
          <w:rFonts w:ascii="仿宋_GB2312" w:hAnsi="仿宋_GB2312" w:eastAsia="仿宋_GB2312" w:cs="仿宋_GB2312"/>
        </w:rPr>
        <w:sectPr>
          <w:endnotePr>
            <w:numFmt w:val="decimal"/>
          </w:endnotePr>
          <w:pgSz w:w="11906" w:h="16838"/>
          <w:pgMar w:top="1089" w:right="1469" w:bottom="1089" w:left="1077" w:header="851" w:footer="907" w:gutter="0"/>
          <w:cols w:space="720" w:num="1"/>
          <w:docGrid w:linePitch="312" w:charSpace="0"/>
        </w:sectPr>
      </w:pPr>
    </w:p>
    <w:p>
      <w:pPr>
        <w:jc w:val="center"/>
        <w:rPr>
          <w:rFonts w:ascii="仿宋" w:hAnsi="仿宋" w:eastAsia="仿宋" w:cs="仿宋_GB2312"/>
          <w:b/>
          <w:color w:val="000000" w:themeColor="text1"/>
          <w:sz w:val="28"/>
          <w:szCs w:val="28"/>
          <w14:textFill>
            <w14:solidFill>
              <w14:schemeClr w14:val="tx1"/>
            </w14:solidFill>
          </w14:textFill>
        </w:rPr>
      </w:pPr>
      <w:r>
        <w:rPr>
          <w:rFonts w:ascii="仿宋" w:hAnsi="仿宋" w:eastAsia="仿宋" w:cs="仿宋_GB2312"/>
          <w:b/>
          <w:color w:val="000000" w:themeColor="text1"/>
          <w:sz w:val="28"/>
          <w:szCs w:val="28"/>
          <w14:textFill>
            <w14:solidFill>
              <w14:schemeClr w14:val="tx1"/>
            </w14:solidFill>
          </w14:textFill>
        </w:rPr>
        <w:t xml:space="preserve">4 </w:t>
      </w:r>
      <w:r>
        <w:rPr>
          <w:rFonts w:hint="eastAsia" w:ascii="仿宋" w:hAnsi="仿宋" w:eastAsia="仿宋" w:cs="仿宋_GB2312"/>
          <w:b/>
          <w:color w:val="000000" w:themeColor="text1"/>
          <w:sz w:val="28"/>
          <w:szCs w:val="28"/>
          <w14:textFill>
            <w14:solidFill>
              <w14:schemeClr w14:val="tx1"/>
            </w14:solidFill>
          </w14:textFill>
        </w:rPr>
        <w:t>拟投入本项目的项目负责人情况表</w:t>
      </w:r>
    </w:p>
    <w:p>
      <w:pPr>
        <w:jc w:val="center"/>
        <w:rPr>
          <w:rFonts w:ascii="仿宋" w:hAnsi="仿宋" w:eastAsia="仿宋" w:cs="仿宋_GB2312"/>
          <w:b/>
          <w:color w:val="000000" w:themeColor="text1"/>
          <w:sz w:val="28"/>
          <w:szCs w:val="28"/>
          <w14:textFill>
            <w14:solidFill>
              <w14:schemeClr w14:val="tx1"/>
            </w14:solidFill>
          </w14:textFill>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329"/>
        <w:gridCol w:w="664"/>
        <w:gridCol w:w="997"/>
        <w:gridCol w:w="996"/>
        <w:gridCol w:w="665"/>
        <w:gridCol w:w="1328"/>
        <w:gridCol w:w="33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661" w:type="dxa"/>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姓名</w:t>
            </w:r>
          </w:p>
        </w:tc>
        <w:tc>
          <w:tcPr>
            <w:tcW w:w="1661"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661"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出生年月</w:t>
            </w:r>
          </w:p>
        </w:tc>
        <w:tc>
          <w:tcPr>
            <w:tcW w:w="1661"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学历</w:t>
            </w:r>
          </w:p>
        </w:tc>
        <w:tc>
          <w:tcPr>
            <w:tcW w:w="1662" w:type="dxa"/>
            <w:vAlign w:val="center"/>
          </w:tcPr>
          <w:p>
            <w:pPr>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661" w:type="dxa"/>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职称</w:t>
            </w:r>
          </w:p>
        </w:tc>
        <w:tc>
          <w:tcPr>
            <w:tcW w:w="1661"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1"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职务</w:t>
            </w:r>
          </w:p>
        </w:tc>
        <w:tc>
          <w:tcPr>
            <w:tcW w:w="1661"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从事本工作时间</w:t>
            </w:r>
          </w:p>
        </w:tc>
        <w:tc>
          <w:tcPr>
            <w:tcW w:w="1662" w:type="dxa"/>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61" w:type="dxa"/>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毕业院校</w:t>
            </w:r>
          </w:p>
        </w:tc>
        <w:tc>
          <w:tcPr>
            <w:tcW w:w="1661"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1"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毕业时间</w:t>
            </w:r>
          </w:p>
        </w:tc>
        <w:tc>
          <w:tcPr>
            <w:tcW w:w="1661"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专业</w:t>
            </w:r>
          </w:p>
        </w:tc>
        <w:tc>
          <w:tcPr>
            <w:tcW w:w="1662" w:type="dxa"/>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3322" w:type="dxa"/>
            <w:gridSpan w:val="3"/>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注册证书等级</w:t>
            </w:r>
          </w:p>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和专业</w:t>
            </w:r>
          </w:p>
        </w:tc>
        <w:tc>
          <w:tcPr>
            <w:tcW w:w="3322" w:type="dxa"/>
            <w:gridSpan w:val="4"/>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证书编号</w:t>
            </w:r>
          </w:p>
        </w:tc>
        <w:tc>
          <w:tcPr>
            <w:tcW w:w="1662" w:type="dxa"/>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3322" w:type="dxa"/>
            <w:gridSpan w:val="3"/>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职称证专业</w:t>
            </w:r>
          </w:p>
        </w:tc>
        <w:tc>
          <w:tcPr>
            <w:tcW w:w="3322" w:type="dxa"/>
            <w:gridSpan w:val="4"/>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证书编号</w:t>
            </w:r>
          </w:p>
        </w:tc>
        <w:tc>
          <w:tcPr>
            <w:tcW w:w="1662" w:type="dxa"/>
            <w:vAlign w:val="center"/>
          </w:tcPr>
          <w:p>
            <w:pPr>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968" w:type="dxa"/>
            <w:gridSpan w:val="10"/>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项目名称</w:t>
            </w: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合同金额</w:t>
            </w: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开、竣工时间</w:t>
            </w: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担任职务</w:t>
            </w:r>
          </w:p>
        </w:tc>
        <w:tc>
          <w:tcPr>
            <w:tcW w:w="1996"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6"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6"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6"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r>
    </w:tbl>
    <w:p>
      <w:pPr>
        <w:jc w:val="both"/>
        <w:rPr>
          <w:rFonts w:ascii="仿宋" w:hAnsi="仿宋" w:eastAsia="仿宋" w:cs="仿宋_GB2312"/>
          <w:b/>
          <w:color w:val="000000" w:themeColor="text1"/>
          <w:sz w:val="28"/>
          <w:szCs w:val="28"/>
          <w14:textFill>
            <w14:solidFill>
              <w14:schemeClr w14:val="tx1"/>
            </w14:solidFill>
          </w14:textFill>
        </w:rPr>
      </w:pPr>
    </w:p>
    <w:p>
      <w:pPr>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报价单位代表（签名或盖私章）：</w:t>
      </w:r>
    </w:p>
    <w:p>
      <w:pPr>
        <w:adjustRightInd w:val="0"/>
        <w:snapToGrid w:val="0"/>
        <w:spacing w:line="300" w:lineRule="auto"/>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报价单位名称（盖单位公章）：</w:t>
      </w:r>
    </w:p>
    <w:p>
      <w:pPr>
        <w:pStyle w:val="2"/>
        <w:jc w:val="both"/>
        <w:rPr>
          <w:rFonts w:hint="eastAsia" w:ascii="仿宋" w:hAnsi="仿宋" w:eastAsia="仿宋" w:cs="仿宋_GB2312"/>
          <w:b/>
          <w:bCs/>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日期：</w:t>
      </w:r>
      <w:r>
        <w:rPr>
          <w:rFonts w:hint="eastAsia" w:ascii="仿宋" w:hAnsi="仿宋" w:eastAsia="仿宋" w:cs="仿宋_GB2312"/>
          <w:color w:val="000000" w:themeColor="text1"/>
          <w:sz w:val="28"/>
          <w:szCs w:val="28"/>
          <w:lang w:val="en-US" w:eastAsia="zh-CN"/>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年</w:t>
      </w:r>
      <w:r>
        <w:rPr>
          <w:rFonts w:hint="eastAsia" w:ascii="仿宋" w:hAnsi="仿宋" w:eastAsia="仿宋" w:cs="仿宋_GB2312"/>
          <w:color w:val="000000" w:themeColor="text1"/>
          <w:sz w:val="28"/>
          <w:szCs w:val="28"/>
          <w:lang w:val="en-US" w:eastAsia="zh-CN"/>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月</w:t>
      </w:r>
      <w:r>
        <w:rPr>
          <w:rFonts w:hint="eastAsia" w:ascii="仿宋" w:hAnsi="仿宋" w:eastAsia="仿宋" w:cs="仿宋_GB2312"/>
          <w:color w:val="000000" w:themeColor="text1"/>
          <w:sz w:val="28"/>
          <w:szCs w:val="28"/>
          <w:lang w:val="en-US" w:eastAsia="zh-CN"/>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日</w:t>
      </w:r>
    </w:p>
    <w:p>
      <w:pPr>
        <w:pStyle w:val="2"/>
        <w:jc w:val="both"/>
        <w:rPr>
          <w:rFonts w:hint="eastAsia" w:ascii="仿宋" w:hAnsi="仿宋" w:eastAsia="仿宋" w:cs="仿宋_GB2312"/>
          <w:b/>
          <w:bCs/>
          <w:color w:val="000000" w:themeColor="text1"/>
          <w:sz w:val="28"/>
          <w:szCs w:val="28"/>
          <w14:textFill>
            <w14:solidFill>
              <w14:schemeClr w14:val="tx1"/>
            </w14:solidFill>
          </w14:textFill>
        </w:rPr>
      </w:pPr>
    </w:p>
    <w:p>
      <w:pPr>
        <w:pStyle w:val="2"/>
        <w:jc w:val="center"/>
        <w:rPr>
          <w:rFonts w:hint="eastAsia" w:ascii="仿宋" w:hAnsi="仿宋" w:eastAsia="仿宋" w:cs="仿宋_GB2312"/>
          <w:b/>
          <w:bCs/>
          <w:color w:val="000000" w:themeColor="text1"/>
          <w:sz w:val="28"/>
          <w:szCs w:val="28"/>
          <w14:textFill>
            <w14:solidFill>
              <w14:schemeClr w14:val="tx1"/>
            </w14:solidFill>
          </w14:textFill>
        </w:rPr>
      </w:pPr>
    </w:p>
    <w:p>
      <w:pPr>
        <w:pStyle w:val="2"/>
        <w:jc w:val="center"/>
        <w:rPr>
          <w:rFonts w:hint="eastAsia" w:ascii="仿宋" w:hAnsi="仿宋" w:eastAsia="仿宋" w:cs="仿宋_GB2312"/>
          <w:b/>
          <w:bCs/>
          <w:color w:val="000000" w:themeColor="text1"/>
          <w:sz w:val="28"/>
          <w:szCs w:val="28"/>
          <w14:textFill>
            <w14:solidFill>
              <w14:schemeClr w14:val="tx1"/>
            </w14:solidFill>
          </w14:textFill>
        </w:rPr>
      </w:pPr>
    </w:p>
    <w:p>
      <w:pPr>
        <w:pStyle w:val="2"/>
        <w:jc w:val="center"/>
        <w:rPr>
          <w:rFonts w:hint="eastAsia" w:ascii="仿宋" w:hAnsi="仿宋" w:eastAsia="仿宋" w:cs="仿宋_GB2312"/>
          <w:b/>
          <w:bCs/>
          <w:color w:val="000000" w:themeColor="text1"/>
          <w:sz w:val="28"/>
          <w:szCs w:val="28"/>
          <w14:textFill>
            <w14:solidFill>
              <w14:schemeClr w14:val="tx1"/>
            </w14:solidFill>
          </w14:textFill>
        </w:rPr>
      </w:pPr>
    </w:p>
    <w:p>
      <w:pPr>
        <w:pStyle w:val="2"/>
        <w:jc w:val="center"/>
        <w:rPr>
          <w:rFonts w:hint="eastAsia" w:ascii="仿宋" w:hAnsi="仿宋" w:eastAsia="仿宋" w:cs="仿宋_GB2312"/>
          <w:b/>
          <w:bCs/>
          <w:color w:val="000000" w:themeColor="text1"/>
          <w:sz w:val="28"/>
          <w:szCs w:val="28"/>
          <w14:textFill>
            <w14:solidFill>
              <w14:schemeClr w14:val="tx1"/>
            </w14:solidFill>
          </w14:textFill>
        </w:rPr>
      </w:pPr>
      <w:bookmarkStart w:id="15" w:name="_GoBack"/>
      <w:bookmarkEnd w:id="15"/>
      <w:r>
        <w:rPr>
          <w:rFonts w:hint="eastAsia" w:ascii="仿宋" w:hAnsi="仿宋" w:eastAsia="仿宋" w:cs="仿宋_GB2312"/>
          <w:b/>
          <w:bCs/>
          <w:color w:val="000000" w:themeColor="text1"/>
          <w:sz w:val="28"/>
          <w:szCs w:val="28"/>
          <w14:textFill>
            <w14:solidFill>
              <w14:schemeClr w14:val="tx1"/>
            </w14:solidFill>
          </w14:textFill>
        </w:rPr>
        <w:t>5  项目单位、人员资格情况</w:t>
      </w:r>
    </w:p>
    <w:p>
      <w:pPr>
        <w:jc w:val="center"/>
        <w:rPr>
          <w:rFonts w:hint="eastAsia" w:ascii="仿宋_GB2312" w:hAnsi="仿宋_GB2312" w:eastAsia="仿宋_GB2312" w:cs="仿宋_GB2312"/>
          <w:b/>
          <w:sz w:val="28"/>
          <w:szCs w:val="28"/>
        </w:rPr>
      </w:pPr>
    </w:p>
    <w:p>
      <w:pPr>
        <w:jc w:val="center"/>
        <w:rPr>
          <w:rFonts w:hint="eastAsia" w:ascii="仿宋_GB2312" w:hAnsi="仿宋_GB2312" w:eastAsia="仿宋_GB2312" w:cs="仿宋_GB2312"/>
          <w:b/>
          <w:sz w:val="28"/>
          <w:szCs w:val="28"/>
        </w:rPr>
      </w:pP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6 承诺书</w:t>
      </w:r>
    </w:p>
    <w:p>
      <w:pPr>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广州市净水有限公司：</w:t>
      </w:r>
    </w:p>
    <w:p>
      <w:pPr>
        <w:ind w:firstLine="562"/>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我</w:t>
      </w:r>
      <w:r>
        <w:rPr>
          <w:rFonts w:hint="eastAsia" w:ascii="仿宋_GB2312" w:hAnsi="仿宋_GB2312" w:eastAsia="仿宋_GB2312" w:cs="仿宋_GB2312"/>
          <w:b w:val="0"/>
          <w:bCs/>
          <w:sz w:val="28"/>
          <w:szCs w:val="28"/>
          <w:lang w:val="en-US" w:eastAsia="zh-CN"/>
        </w:rPr>
        <w:t>司</w:t>
      </w:r>
      <w:r>
        <w:rPr>
          <w:rFonts w:hint="eastAsia" w:ascii="仿宋_GB2312" w:hAnsi="仿宋_GB2312" w:eastAsia="仿宋_GB2312" w:cs="仿宋_GB2312"/>
          <w:b w:val="0"/>
          <w:bCs/>
          <w:sz w:val="28"/>
          <w:szCs w:val="28"/>
        </w:rPr>
        <w:t>已仔细研究本询价文件全部要求，完全理解询价文件所有实质性响应条款，如有任何一条负偏离或者不满足将导致</w:t>
      </w:r>
      <w:r>
        <w:rPr>
          <w:rFonts w:hint="eastAsia" w:ascii="仿宋_GB2312" w:hAnsi="仿宋_GB2312" w:eastAsia="仿宋_GB2312" w:cs="仿宋_GB2312"/>
          <w:b w:val="0"/>
          <w:bCs/>
          <w:sz w:val="28"/>
          <w:szCs w:val="28"/>
          <w:lang w:val="en-US" w:eastAsia="zh-CN"/>
        </w:rPr>
        <w:t>响应文件</w:t>
      </w:r>
      <w:r>
        <w:rPr>
          <w:rFonts w:hint="eastAsia" w:ascii="仿宋_GB2312" w:hAnsi="仿宋_GB2312" w:eastAsia="仿宋_GB2312" w:cs="仿宋_GB2312"/>
          <w:b w:val="0"/>
          <w:bCs/>
          <w:sz w:val="28"/>
          <w:szCs w:val="28"/>
        </w:rPr>
        <w:t>无效。</w:t>
      </w:r>
    </w:p>
    <w:p>
      <w:pPr>
        <w:jc w:val="both"/>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由于我</w:t>
      </w:r>
      <w:r>
        <w:rPr>
          <w:rFonts w:hint="eastAsia" w:ascii="仿宋_GB2312" w:hAnsi="仿宋_GB2312" w:eastAsia="仿宋_GB2312" w:cs="仿宋_GB2312"/>
          <w:b w:val="0"/>
          <w:bCs/>
          <w:sz w:val="28"/>
          <w:szCs w:val="28"/>
          <w:lang w:val="en-US" w:eastAsia="zh-CN"/>
        </w:rPr>
        <w:t>司</w:t>
      </w:r>
      <w:r>
        <w:rPr>
          <w:rFonts w:hint="eastAsia" w:ascii="仿宋_GB2312" w:hAnsi="仿宋_GB2312" w:eastAsia="仿宋_GB2312" w:cs="仿宋_GB2312"/>
          <w:b w:val="0"/>
          <w:bCs/>
          <w:sz w:val="28"/>
          <w:szCs w:val="28"/>
        </w:rPr>
        <w:t>提供资料不实或与</w:t>
      </w:r>
      <w:r>
        <w:rPr>
          <w:rFonts w:hint="eastAsia" w:ascii="仿宋_GB2312" w:hAnsi="仿宋_GB2312" w:eastAsia="仿宋_GB2312" w:cs="仿宋_GB2312"/>
          <w:b w:val="0"/>
          <w:bCs/>
          <w:sz w:val="28"/>
          <w:szCs w:val="28"/>
          <w:lang w:val="en-US" w:eastAsia="zh-CN"/>
        </w:rPr>
        <w:t>询价文件</w:t>
      </w:r>
      <w:r>
        <w:rPr>
          <w:rFonts w:hint="eastAsia" w:ascii="仿宋_GB2312" w:hAnsi="仿宋_GB2312" w:eastAsia="仿宋_GB2312" w:cs="仿宋_GB2312"/>
          <w:b w:val="0"/>
          <w:bCs/>
          <w:sz w:val="28"/>
          <w:szCs w:val="28"/>
        </w:rPr>
        <w:t>中所有条款不符而造成的责任和后果由我</w:t>
      </w:r>
      <w:r>
        <w:rPr>
          <w:rFonts w:hint="eastAsia" w:ascii="仿宋_GB2312" w:hAnsi="仿宋_GB2312" w:eastAsia="仿宋_GB2312" w:cs="仿宋_GB2312"/>
          <w:b w:val="0"/>
          <w:bCs/>
          <w:sz w:val="28"/>
          <w:szCs w:val="28"/>
          <w:lang w:val="en-US" w:eastAsia="zh-CN"/>
        </w:rPr>
        <w:t>司</w:t>
      </w:r>
      <w:r>
        <w:rPr>
          <w:rFonts w:hint="eastAsia" w:ascii="仿宋_GB2312" w:hAnsi="仿宋_GB2312" w:eastAsia="仿宋_GB2312" w:cs="仿宋_GB2312"/>
          <w:b w:val="0"/>
          <w:bCs/>
          <w:sz w:val="28"/>
          <w:szCs w:val="28"/>
        </w:rPr>
        <w:t>承担。</w:t>
      </w:r>
    </w:p>
    <w:p>
      <w:pPr>
        <w:ind w:firstLine="0"/>
        <w:jc w:val="both"/>
        <w:rPr>
          <w:rFonts w:hint="eastAsia" w:ascii="仿宋_GB2312" w:hAnsi="仿宋_GB2312" w:eastAsia="仿宋_GB2312" w:cs="仿宋_GB2312"/>
          <w:b w:val="0"/>
          <w:bCs/>
          <w:sz w:val="28"/>
          <w:szCs w:val="28"/>
        </w:rPr>
      </w:pPr>
    </w:p>
    <w:p>
      <w:pPr>
        <w:ind w:firstLine="0"/>
        <w:jc w:val="right"/>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报价单位（盖公章）：</w:t>
      </w:r>
    </w:p>
    <w:p>
      <w:pPr>
        <w:pStyle w:val="2"/>
        <w:jc w:val="center"/>
        <w:rPr>
          <w:rFonts w:hint="eastAsia" w:ascii="仿宋" w:hAnsi="仿宋" w:eastAsia="仿宋"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val="0"/>
          <w:bCs/>
          <w:sz w:val="28"/>
          <w:szCs w:val="28"/>
          <w:lang w:val="en-US" w:eastAsia="zh-CN"/>
        </w:rPr>
        <w:t xml:space="preserve">                                            年  月  日</w:t>
      </w:r>
    </w:p>
    <w:p>
      <w:pPr>
        <w:jc w:val="cente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widowControl/>
        <w:tabs>
          <w:tab w:val="left" w:pos="851"/>
        </w:tabs>
        <w:adjustRightInd w:val="0"/>
        <w:snapToGrid w:val="0"/>
        <w:spacing w:line="384" w:lineRule="auto"/>
        <w:jc w:val="left"/>
        <w:rPr>
          <w:rFonts w:ascii="仿宋" w:hAnsi="仿宋" w:eastAsia="仿宋" w:cs="仿宋_GB2312"/>
          <w:b/>
          <w:color w:val="00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STSong-Light">
    <w:altName w:val="Times New Roman"/>
    <w:panose1 w:val="00000000000000000000"/>
    <w:charset w:val="00"/>
    <w:family w:val="roman"/>
    <w:pitch w:val="default"/>
    <w:sig w:usb0="00000000" w:usb1="00000000" w:usb2="00000000" w:usb3="00000000" w:csb0="00000001" w:csb1="00000000"/>
  </w:font>
  <w:font w:name="Batang">
    <w:altName w:val="Malgun Gothic"/>
    <w:panose1 w:val="02030600000101010101"/>
    <w:charset w:val="81"/>
    <w:family w:val="roman"/>
    <w:pitch w:val="default"/>
    <w:sig w:usb0="00000000" w:usb1="00000000" w:usb2="00000030" w:usb3="00000000" w:csb0="0008009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 w:name="新宋体">
    <w:panose1 w:val="02010609030101010101"/>
    <w:charset w:val="86"/>
    <w:family w:val="auto"/>
    <w:pitch w:val="default"/>
    <w:sig w:usb0="0000028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文本框 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pPr>
                            <w:pStyle w:val="12"/>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u8AFjRAAAAAgEAAA8AAAAA&#10;AAAAAQAgAAAAIgAAAGRycy9kb3ducmV2LnhtbFBLAQIUABQAAAAIAIdO4kBmwhEFGwIAABIEAAAO&#10;AAAAAAAAAAEAIAAAACABAABkcnMvZTJvRG9jLnhtbFBLBQYAAAAABgAGAFkBAACt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fldChar w:fldCharType="begin"/>
    </w:r>
    <w:r>
      <w:rPr>
        <w:rStyle w:val="24"/>
      </w:rPr>
      <w:instrText xml:space="preserve">PAGE  </w:instrText>
    </w:r>
    <w:r>
      <w:fldChar w:fldCharType="separate"/>
    </w:r>
    <w:r>
      <w:rPr>
        <w:rStyle w:val="24"/>
      </w:rPr>
      <w:t>23</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4100B7B"/>
    <w:multiLevelType w:val="singleLevel"/>
    <w:tmpl w:val="24100B7B"/>
    <w:lvl w:ilvl="0" w:tentative="0">
      <w:start w:val="4"/>
      <w:numFmt w:val="chineseCounting"/>
      <w:suff w:val="space"/>
      <w:lvlText w:val="第%1部分"/>
      <w:lvlJc w:val="left"/>
      <w:rPr>
        <w:rFonts w:hint="eastAsia"/>
      </w:rPr>
    </w:lvl>
  </w:abstractNum>
  <w:abstractNum w:abstractNumId="2">
    <w:nsid w:val="534B5C71"/>
    <w:multiLevelType w:val="singleLevel"/>
    <w:tmpl w:val="534B5C71"/>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revisionView w:markup="0"/>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FA"/>
    <w:rsid w:val="00006243"/>
    <w:rsid w:val="00017E3B"/>
    <w:rsid w:val="00026748"/>
    <w:rsid w:val="0002731E"/>
    <w:rsid w:val="00042526"/>
    <w:rsid w:val="00044267"/>
    <w:rsid w:val="00045679"/>
    <w:rsid w:val="000644E6"/>
    <w:rsid w:val="000657B9"/>
    <w:rsid w:val="00067A1B"/>
    <w:rsid w:val="0008071C"/>
    <w:rsid w:val="000A46D5"/>
    <w:rsid w:val="000A513D"/>
    <w:rsid w:val="000B2E59"/>
    <w:rsid w:val="000B5150"/>
    <w:rsid w:val="000B56D5"/>
    <w:rsid w:val="000B6E2A"/>
    <w:rsid w:val="000C269F"/>
    <w:rsid w:val="000E45BC"/>
    <w:rsid w:val="000F0E33"/>
    <w:rsid w:val="00112127"/>
    <w:rsid w:val="00113A79"/>
    <w:rsid w:val="001166BB"/>
    <w:rsid w:val="001467CA"/>
    <w:rsid w:val="0015464B"/>
    <w:rsid w:val="00163A61"/>
    <w:rsid w:val="00190153"/>
    <w:rsid w:val="00194425"/>
    <w:rsid w:val="00196351"/>
    <w:rsid w:val="001B229F"/>
    <w:rsid w:val="001C2A08"/>
    <w:rsid w:val="001C2A41"/>
    <w:rsid w:val="001F46A9"/>
    <w:rsid w:val="001F4B7D"/>
    <w:rsid w:val="001F5CC8"/>
    <w:rsid w:val="00203513"/>
    <w:rsid w:val="00204AB7"/>
    <w:rsid w:val="002144D7"/>
    <w:rsid w:val="00235700"/>
    <w:rsid w:val="00243240"/>
    <w:rsid w:val="00246613"/>
    <w:rsid w:val="00250256"/>
    <w:rsid w:val="002A21F8"/>
    <w:rsid w:val="002E23B2"/>
    <w:rsid w:val="002E2EA5"/>
    <w:rsid w:val="002F588A"/>
    <w:rsid w:val="00320FA9"/>
    <w:rsid w:val="00335D77"/>
    <w:rsid w:val="00352134"/>
    <w:rsid w:val="00356EFB"/>
    <w:rsid w:val="0035701B"/>
    <w:rsid w:val="00383CF0"/>
    <w:rsid w:val="003A0C70"/>
    <w:rsid w:val="003A30A6"/>
    <w:rsid w:val="003A6177"/>
    <w:rsid w:val="003C43FE"/>
    <w:rsid w:val="003D205C"/>
    <w:rsid w:val="003D3EB3"/>
    <w:rsid w:val="003D6308"/>
    <w:rsid w:val="003D66E3"/>
    <w:rsid w:val="003E1CBF"/>
    <w:rsid w:val="003E3A96"/>
    <w:rsid w:val="003F7185"/>
    <w:rsid w:val="00400CFA"/>
    <w:rsid w:val="00413436"/>
    <w:rsid w:val="00414334"/>
    <w:rsid w:val="004273C1"/>
    <w:rsid w:val="0046764A"/>
    <w:rsid w:val="00477301"/>
    <w:rsid w:val="00481194"/>
    <w:rsid w:val="004814F2"/>
    <w:rsid w:val="0048211B"/>
    <w:rsid w:val="00491F67"/>
    <w:rsid w:val="004B707F"/>
    <w:rsid w:val="004C5DB3"/>
    <w:rsid w:val="004E1354"/>
    <w:rsid w:val="004F3212"/>
    <w:rsid w:val="0050227A"/>
    <w:rsid w:val="00504917"/>
    <w:rsid w:val="00523FFA"/>
    <w:rsid w:val="00525D06"/>
    <w:rsid w:val="00527A1E"/>
    <w:rsid w:val="00532787"/>
    <w:rsid w:val="005328FE"/>
    <w:rsid w:val="00536854"/>
    <w:rsid w:val="00570096"/>
    <w:rsid w:val="00570D85"/>
    <w:rsid w:val="005840C1"/>
    <w:rsid w:val="0058445E"/>
    <w:rsid w:val="00592032"/>
    <w:rsid w:val="005A4EA8"/>
    <w:rsid w:val="005A6632"/>
    <w:rsid w:val="005F336B"/>
    <w:rsid w:val="006077E7"/>
    <w:rsid w:val="00613B10"/>
    <w:rsid w:val="00653163"/>
    <w:rsid w:val="00666D6D"/>
    <w:rsid w:val="0067290B"/>
    <w:rsid w:val="006840DB"/>
    <w:rsid w:val="0069107D"/>
    <w:rsid w:val="006C581B"/>
    <w:rsid w:val="006D78B3"/>
    <w:rsid w:val="006E0C83"/>
    <w:rsid w:val="006E59CC"/>
    <w:rsid w:val="00703691"/>
    <w:rsid w:val="00724C42"/>
    <w:rsid w:val="007263F2"/>
    <w:rsid w:val="007331F2"/>
    <w:rsid w:val="00747A49"/>
    <w:rsid w:val="007550D7"/>
    <w:rsid w:val="00786097"/>
    <w:rsid w:val="007957B4"/>
    <w:rsid w:val="0079655F"/>
    <w:rsid w:val="007A3FFF"/>
    <w:rsid w:val="007A6F35"/>
    <w:rsid w:val="007B6895"/>
    <w:rsid w:val="007C7208"/>
    <w:rsid w:val="007D172A"/>
    <w:rsid w:val="007F6D48"/>
    <w:rsid w:val="007F7F8F"/>
    <w:rsid w:val="008077D6"/>
    <w:rsid w:val="00817C82"/>
    <w:rsid w:val="008328A8"/>
    <w:rsid w:val="0083305F"/>
    <w:rsid w:val="00833F4E"/>
    <w:rsid w:val="00834211"/>
    <w:rsid w:val="008410FC"/>
    <w:rsid w:val="00850945"/>
    <w:rsid w:val="00854ED4"/>
    <w:rsid w:val="00862C6C"/>
    <w:rsid w:val="0086709D"/>
    <w:rsid w:val="00876F4F"/>
    <w:rsid w:val="008A3A31"/>
    <w:rsid w:val="008B03F8"/>
    <w:rsid w:val="008B0FD9"/>
    <w:rsid w:val="008E4F0E"/>
    <w:rsid w:val="00933EEF"/>
    <w:rsid w:val="00940686"/>
    <w:rsid w:val="00950382"/>
    <w:rsid w:val="009513CD"/>
    <w:rsid w:val="0095329C"/>
    <w:rsid w:val="00974494"/>
    <w:rsid w:val="0098076A"/>
    <w:rsid w:val="009B1F7B"/>
    <w:rsid w:val="009C7F95"/>
    <w:rsid w:val="00A042A5"/>
    <w:rsid w:val="00A07297"/>
    <w:rsid w:val="00A10754"/>
    <w:rsid w:val="00A10F87"/>
    <w:rsid w:val="00A26B96"/>
    <w:rsid w:val="00A3022D"/>
    <w:rsid w:val="00A37654"/>
    <w:rsid w:val="00A470EB"/>
    <w:rsid w:val="00A55510"/>
    <w:rsid w:val="00A66265"/>
    <w:rsid w:val="00A9730C"/>
    <w:rsid w:val="00AC68CE"/>
    <w:rsid w:val="00AC7CE3"/>
    <w:rsid w:val="00AD5870"/>
    <w:rsid w:val="00AE2741"/>
    <w:rsid w:val="00AF5C08"/>
    <w:rsid w:val="00B057D6"/>
    <w:rsid w:val="00B322B9"/>
    <w:rsid w:val="00B76342"/>
    <w:rsid w:val="00B842DF"/>
    <w:rsid w:val="00B908B9"/>
    <w:rsid w:val="00B936D7"/>
    <w:rsid w:val="00BA63CA"/>
    <w:rsid w:val="00BC5308"/>
    <w:rsid w:val="00BC63F4"/>
    <w:rsid w:val="00BD0A61"/>
    <w:rsid w:val="00BD2540"/>
    <w:rsid w:val="00BD6CB0"/>
    <w:rsid w:val="00BF29CD"/>
    <w:rsid w:val="00BF79FA"/>
    <w:rsid w:val="00C00DEE"/>
    <w:rsid w:val="00C2525F"/>
    <w:rsid w:val="00C351CD"/>
    <w:rsid w:val="00C40D7A"/>
    <w:rsid w:val="00C669FA"/>
    <w:rsid w:val="00C67000"/>
    <w:rsid w:val="00C95977"/>
    <w:rsid w:val="00CA316B"/>
    <w:rsid w:val="00CA61FE"/>
    <w:rsid w:val="00CC428A"/>
    <w:rsid w:val="00CC688F"/>
    <w:rsid w:val="00CF6BB9"/>
    <w:rsid w:val="00D0201F"/>
    <w:rsid w:val="00D141CE"/>
    <w:rsid w:val="00D23D4A"/>
    <w:rsid w:val="00D30450"/>
    <w:rsid w:val="00D32BCA"/>
    <w:rsid w:val="00D57EC1"/>
    <w:rsid w:val="00D61CC7"/>
    <w:rsid w:val="00D61E8F"/>
    <w:rsid w:val="00D64BDD"/>
    <w:rsid w:val="00D70B32"/>
    <w:rsid w:val="00DB0C60"/>
    <w:rsid w:val="00DC06EB"/>
    <w:rsid w:val="00E135A3"/>
    <w:rsid w:val="00ED2CAD"/>
    <w:rsid w:val="00EE09EB"/>
    <w:rsid w:val="00EE5DF6"/>
    <w:rsid w:val="00F056F1"/>
    <w:rsid w:val="00F222B0"/>
    <w:rsid w:val="00F35C04"/>
    <w:rsid w:val="00F44C25"/>
    <w:rsid w:val="00F81A4F"/>
    <w:rsid w:val="00FC38AC"/>
    <w:rsid w:val="00FC4531"/>
    <w:rsid w:val="00FD2A30"/>
    <w:rsid w:val="00FD67EF"/>
    <w:rsid w:val="01213C08"/>
    <w:rsid w:val="01825CB1"/>
    <w:rsid w:val="0215573E"/>
    <w:rsid w:val="024822B0"/>
    <w:rsid w:val="027951E6"/>
    <w:rsid w:val="02C45024"/>
    <w:rsid w:val="02CB58CB"/>
    <w:rsid w:val="03087985"/>
    <w:rsid w:val="03475D9E"/>
    <w:rsid w:val="035D56B7"/>
    <w:rsid w:val="03832948"/>
    <w:rsid w:val="03D06DBA"/>
    <w:rsid w:val="04965E27"/>
    <w:rsid w:val="055C1B6B"/>
    <w:rsid w:val="05F767B7"/>
    <w:rsid w:val="06DB216C"/>
    <w:rsid w:val="070D21A9"/>
    <w:rsid w:val="0738668D"/>
    <w:rsid w:val="074005C3"/>
    <w:rsid w:val="07945DCD"/>
    <w:rsid w:val="07966214"/>
    <w:rsid w:val="079E1868"/>
    <w:rsid w:val="07BF48E5"/>
    <w:rsid w:val="08251C73"/>
    <w:rsid w:val="08AF64BB"/>
    <w:rsid w:val="08DD6F50"/>
    <w:rsid w:val="0A4A2DA1"/>
    <w:rsid w:val="0A810BB7"/>
    <w:rsid w:val="0A851038"/>
    <w:rsid w:val="0BEE4AD8"/>
    <w:rsid w:val="0BF7794B"/>
    <w:rsid w:val="0C056B63"/>
    <w:rsid w:val="0C165C1F"/>
    <w:rsid w:val="0CA010C8"/>
    <w:rsid w:val="0CD71487"/>
    <w:rsid w:val="0D4A2254"/>
    <w:rsid w:val="0D917F28"/>
    <w:rsid w:val="0DD442A4"/>
    <w:rsid w:val="0E0F34CE"/>
    <w:rsid w:val="0E105F13"/>
    <w:rsid w:val="0E8B1A39"/>
    <w:rsid w:val="0F157AE7"/>
    <w:rsid w:val="0F390B28"/>
    <w:rsid w:val="0F437716"/>
    <w:rsid w:val="0F5027BF"/>
    <w:rsid w:val="0F595CE1"/>
    <w:rsid w:val="0F5D2C98"/>
    <w:rsid w:val="0FB15B6E"/>
    <w:rsid w:val="0FE9290F"/>
    <w:rsid w:val="100551E5"/>
    <w:rsid w:val="101B6A2A"/>
    <w:rsid w:val="103743C6"/>
    <w:rsid w:val="10930A51"/>
    <w:rsid w:val="10A21193"/>
    <w:rsid w:val="10B43B38"/>
    <w:rsid w:val="10CC2CED"/>
    <w:rsid w:val="117C356D"/>
    <w:rsid w:val="117D701A"/>
    <w:rsid w:val="118C396D"/>
    <w:rsid w:val="11DD09DC"/>
    <w:rsid w:val="120339C7"/>
    <w:rsid w:val="122261D1"/>
    <w:rsid w:val="166677CD"/>
    <w:rsid w:val="166B72D3"/>
    <w:rsid w:val="16774A77"/>
    <w:rsid w:val="16AD7949"/>
    <w:rsid w:val="16CB57E7"/>
    <w:rsid w:val="16CE05E6"/>
    <w:rsid w:val="16EE30E7"/>
    <w:rsid w:val="171B257B"/>
    <w:rsid w:val="17374AFE"/>
    <w:rsid w:val="175975CB"/>
    <w:rsid w:val="17614C76"/>
    <w:rsid w:val="18341647"/>
    <w:rsid w:val="18576EA5"/>
    <w:rsid w:val="185E6891"/>
    <w:rsid w:val="18832F1A"/>
    <w:rsid w:val="192D3736"/>
    <w:rsid w:val="195E787B"/>
    <w:rsid w:val="198533A4"/>
    <w:rsid w:val="19EE3322"/>
    <w:rsid w:val="1A3C59EA"/>
    <w:rsid w:val="1A5A050B"/>
    <w:rsid w:val="1B43354C"/>
    <w:rsid w:val="1B6C3A06"/>
    <w:rsid w:val="1BC51A48"/>
    <w:rsid w:val="1BE72C9D"/>
    <w:rsid w:val="1C440C1D"/>
    <w:rsid w:val="1CC63289"/>
    <w:rsid w:val="1D8D6C0F"/>
    <w:rsid w:val="1DDD2F7D"/>
    <w:rsid w:val="1DE87568"/>
    <w:rsid w:val="1DFA5B50"/>
    <w:rsid w:val="1DFD3E11"/>
    <w:rsid w:val="1E172573"/>
    <w:rsid w:val="1E75317E"/>
    <w:rsid w:val="1E8651E3"/>
    <w:rsid w:val="1EED6483"/>
    <w:rsid w:val="1F2F4F22"/>
    <w:rsid w:val="1F626CBE"/>
    <w:rsid w:val="1FCB7AAE"/>
    <w:rsid w:val="1FDA5354"/>
    <w:rsid w:val="201607F8"/>
    <w:rsid w:val="201C0EBB"/>
    <w:rsid w:val="2094043D"/>
    <w:rsid w:val="20E1358A"/>
    <w:rsid w:val="21197576"/>
    <w:rsid w:val="214B6BF0"/>
    <w:rsid w:val="21734A3E"/>
    <w:rsid w:val="221F635B"/>
    <w:rsid w:val="229B7230"/>
    <w:rsid w:val="22B424EA"/>
    <w:rsid w:val="23285357"/>
    <w:rsid w:val="2344568D"/>
    <w:rsid w:val="23CB38A6"/>
    <w:rsid w:val="23E76396"/>
    <w:rsid w:val="2411337A"/>
    <w:rsid w:val="24254283"/>
    <w:rsid w:val="24844CE0"/>
    <w:rsid w:val="24AF79E0"/>
    <w:rsid w:val="251A021B"/>
    <w:rsid w:val="25351C96"/>
    <w:rsid w:val="25C507A2"/>
    <w:rsid w:val="26F56AC0"/>
    <w:rsid w:val="27B26870"/>
    <w:rsid w:val="27D50AB7"/>
    <w:rsid w:val="27EF76F4"/>
    <w:rsid w:val="281F7A50"/>
    <w:rsid w:val="28651E57"/>
    <w:rsid w:val="28B67AA9"/>
    <w:rsid w:val="28F033EC"/>
    <w:rsid w:val="291E1603"/>
    <w:rsid w:val="29221318"/>
    <w:rsid w:val="298F6B3E"/>
    <w:rsid w:val="29A441D3"/>
    <w:rsid w:val="29B26E64"/>
    <w:rsid w:val="29E47B0A"/>
    <w:rsid w:val="2A940D1D"/>
    <w:rsid w:val="2AFA2A43"/>
    <w:rsid w:val="2B8F2CA4"/>
    <w:rsid w:val="2BF2732D"/>
    <w:rsid w:val="2C0F5B60"/>
    <w:rsid w:val="2C2E6EB5"/>
    <w:rsid w:val="2CD61190"/>
    <w:rsid w:val="2D19638F"/>
    <w:rsid w:val="2DAB1D7F"/>
    <w:rsid w:val="2DF2210B"/>
    <w:rsid w:val="2DF2482E"/>
    <w:rsid w:val="2E234B22"/>
    <w:rsid w:val="2E9A7907"/>
    <w:rsid w:val="2EBA18AD"/>
    <w:rsid w:val="2F0B2C00"/>
    <w:rsid w:val="2FC067FF"/>
    <w:rsid w:val="2FCA12C3"/>
    <w:rsid w:val="31343EAE"/>
    <w:rsid w:val="31D806F6"/>
    <w:rsid w:val="31FE415B"/>
    <w:rsid w:val="32207E65"/>
    <w:rsid w:val="32D03ED3"/>
    <w:rsid w:val="33804F89"/>
    <w:rsid w:val="338D3FB9"/>
    <w:rsid w:val="33B204B9"/>
    <w:rsid w:val="3427114C"/>
    <w:rsid w:val="349E71E6"/>
    <w:rsid w:val="34E92F2E"/>
    <w:rsid w:val="357836E7"/>
    <w:rsid w:val="358B4E40"/>
    <w:rsid w:val="35971342"/>
    <w:rsid w:val="35C75BE6"/>
    <w:rsid w:val="368842E7"/>
    <w:rsid w:val="377E7997"/>
    <w:rsid w:val="37942F37"/>
    <w:rsid w:val="37CE07EF"/>
    <w:rsid w:val="381E2730"/>
    <w:rsid w:val="38F70FAB"/>
    <w:rsid w:val="394D21E7"/>
    <w:rsid w:val="395A5702"/>
    <w:rsid w:val="39C851DB"/>
    <w:rsid w:val="3A042CB3"/>
    <w:rsid w:val="3AB900A5"/>
    <w:rsid w:val="3B5E7FDD"/>
    <w:rsid w:val="3B6B6DD0"/>
    <w:rsid w:val="3BA305CB"/>
    <w:rsid w:val="3C370838"/>
    <w:rsid w:val="3C595F7D"/>
    <w:rsid w:val="3C7C7217"/>
    <w:rsid w:val="3CE74F29"/>
    <w:rsid w:val="3D1F511B"/>
    <w:rsid w:val="3D5B310B"/>
    <w:rsid w:val="3E095BCA"/>
    <w:rsid w:val="3E0F351A"/>
    <w:rsid w:val="3EA65850"/>
    <w:rsid w:val="3EC8123A"/>
    <w:rsid w:val="3EEB1ACE"/>
    <w:rsid w:val="3F055128"/>
    <w:rsid w:val="3F466C6C"/>
    <w:rsid w:val="3F54054D"/>
    <w:rsid w:val="3F7A5E74"/>
    <w:rsid w:val="3FBB7391"/>
    <w:rsid w:val="401310ED"/>
    <w:rsid w:val="41AC5A97"/>
    <w:rsid w:val="41D14A55"/>
    <w:rsid w:val="41DF27B1"/>
    <w:rsid w:val="42093E84"/>
    <w:rsid w:val="42BF01C5"/>
    <w:rsid w:val="42C17449"/>
    <w:rsid w:val="4310494B"/>
    <w:rsid w:val="43415061"/>
    <w:rsid w:val="43A4461F"/>
    <w:rsid w:val="43BE13BF"/>
    <w:rsid w:val="441066A3"/>
    <w:rsid w:val="441A32F1"/>
    <w:rsid w:val="44600DBD"/>
    <w:rsid w:val="44FD12C2"/>
    <w:rsid w:val="454618D9"/>
    <w:rsid w:val="45D04201"/>
    <w:rsid w:val="45D12721"/>
    <w:rsid w:val="4611043A"/>
    <w:rsid w:val="46194FAB"/>
    <w:rsid w:val="461C0EF1"/>
    <w:rsid w:val="464B1280"/>
    <w:rsid w:val="4661697B"/>
    <w:rsid w:val="46B34996"/>
    <w:rsid w:val="475A2186"/>
    <w:rsid w:val="477F4975"/>
    <w:rsid w:val="478B465D"/>
    <w:rsid w:val="47977170"/>
    <w:rsid w:val="47C65815"/>
    <w:rsid w:val="480139C4"/>
    <w:rsid w:val="481F5DE7"/>
    <w:rsid w:val="48D75621"/>
    <w:rsid w:val="48DB21ED"/>
    <w:rsid w:val="4A2851B5"/>
    <w:rsid w:val="4A2F4E2F"/>
    <w:rsid w:val="4AD262D7"/>
    <w:rsid w:val="4AD9788D"/>
    <w:rsid w:val="4BC82AC7"/>
    <w:rsid w:val="4C1E7E8C"/>
    <w:rsid w:val="4C310D10"/>
    <w:rsid w:val="4CE82F0D"/>
    <w:rsid w:val="4D1F07CC"/>
    <w:rsid w:val="4D284C9B"/>
    <w:rsid w:val="4D3840BE"/>
    <w:rsid w:val="4D551989"/>
    <w:rsid w:val="4D8305D8"/>
    <w:rsid w:val="4DF46039"/>
    <w:rsid w:val="4E725989"/>
    <w:rsid w:val="4E762343"/>
    <w:rsid w:val="4F2F4D0F"/>
    <w:rsid w:val="4FCB1D63"/>
    <w:rsid w:val="500D4543"/>
    <w:rsid w:val="502B2642"/>
    <w:rsid w:val="502E55DD"/>
    <w:rsid w:val="513E3034"/>
    <w:rsid w:val="515A6194"/>
    <w:rsid w:val="51722D1F"/>
    <w:rsid w:val="5172393A"/>
    <w:rsid w:val="51734708"/>
    <w:rsid w:val="51A926EA"/>
    <w:rsid w:val="51B65006"/>
    <w:rsid w:val="52090955"/>
    <w:rsid w:val="5210640D"/>
    <w:rsid w:val="52160B7C"/>
    <w:rsid w:val="52253E41"/>
    <w:rsid w:val="522971FC"/>
    <w:rsid w:val="523A3295"/>
    <w:rsid w:val="52755A5B"/>
    <w:rsid w:val="52A50864"/>
    <w:rsid w:val="52FC3E3A"/>
    <w:rsid w:val="5375002C"/>
    <w:rsid w:val="537F7BFD"/>
    <w:rsid w:val="54256235"/>
    <w:rsid w:val="5428437A"/>
    <w:rsid w:val="54606D16"/>
    <w:rsid w:val="5489728D"/>
    <w:rsid w:val="54B057B0"/>
    <w:rsid w:val="54B91869"/>
    <w:rsid w:val="54BF3C9C"/>
    <w:rsid w:val="54FB7AE0"/>
    <w:rsid w:val="55461FCB"/>
    <w:rsid w:val="55921860"/>
    <w:rsid w:val="562E6E42"/>
    <w:rsid w:val="56447F87"/>
    <w:rsid w:val="568508B6"/>
    <w:rsid w:val="56A0149E"/>
    <w:rsid w:val="56E25835"/>
    <w:rsid w:val="57435AA6"/>
    <w:rsid w:val="57E2260A"/>
    <w:rsid w:val="57FC0614"/>
    <w:rsid w:val="582E1436"/>
    <w:rsid w:val="584222D3"/>
    <w:rsid w:val="58C8034C"/>
    <w:rsid w:val="595A6DAA"/>
    <w:rsid w:val="5A36592C"/>
    <w:rsid w:val="5A6155C2"/>
    <w:rsid w:val="5A9D2DFB"/>
    <w:rsid w:val="5AFC4773"/>
    <w:rsid w:val="5B1E4FDA"/>
    <w:rsid w:val="5B3C1EDE"/>
    <w:rsid w:val="5B43063E"/>
    <w:rsid w:val="5B7758D0"/>
    <w:rsid w:val="5BBB1BFC"/>
    <w:rsid w:val="5C955D81"/>
    <w:rsid w:val="5CBF7366"/>
    <w:rsid w:val="5CEA6842"/>
    <w:rsid w:val="5CF93944"/>
    <w:rsid w:val="5D0C2841"/>
    <w:rsid w:val="5DD0123C"/>
    <w:rsid w:val="5E52450A"/>
    <w:rsid w:val="5E6C1EE2"/>
    <w:rsid w:val="5E784C84"/>
    <w:rsid w:val="5EF24BD1"/>
    <w:rsid w:val="5F2B4751"/>
    <w:rsid w:val="5F3975A3"/>
    <w:rsid w:val="5F516386"/>
    <w:rsid w:val="5F6F647E"/>
    <w:rsid w:val="5F7B439F"/>
    <w:rsid w:val="600D03A1"/>
    <w:rsid w:val="612F265F"/>
    <w:rsid w:val="61317F51"/>
    <w:rsid w:val="616A4354"/>
    <w:rsid w:val="618C1BE2"/>
    <w:rsid w:val="61932D7D"/>
    <w:rsid w:val="628208BB"/>
    <w:rsid w:val="62CD5B89"/>
    <w:rsid w:val="6331176E"/>
    <w:rsid w:val="634D18EF"/>
    <w:rsid w:val="63526B3A"/>
    <w:rsid w:val="635D716A"/>
    <w:rsid w:val="63BE341B"/>
    <w:rsid w:val="64C272AD"/>
    <w:rsid w:val="64D4152E"/>
    <w:rsid w:val="65284570"/>
    <w:rsid w:val="655C3140"/>
    <w:rsid w:val="656D64FA"/>
    <w:rsid w:val="658052DD"/>
    <w:rsid w:val="659C18B1"/>
    <w:rsid w:val="65A25D59"/>
    <w:rsid w:val="65C47416"/>
    <w:rsid w:val="665C3C76"/>
    <w:rsid w:val="669D7E10"/>
    <w:rsid w:val="67057CC2"/>
    <w:rsid w:val="670D7173"/>
    <w:rsid w:val="673B2037"/>
    <w:rsid w:val="6785569E"/>
    <w:rsid w:val="67C72854"/>
    <w:rsid w:val="681869FD"/>
    <w:rsid w:val="68B32721"/>
    <w:rsid w:val="690B6D7C"/>
    <w:rsid w:val="693E2350"/>
    <w:rsid w:val="699C0231"/>
    <w:rsid w:val="69F6405B"/>
    <w:rsid w:val="6A091B6D"/>
    <w:rsid w:val="6A3320AF"/>
    <w:rsid w:val="6ABB5727"/>
    <w:rsid w:val="6B1A6F57"/>
    <w:rsid w:val="6B4026C8"/>
    <w:rsid w:val="6CD41863"/>
    <w:rsid w:val="6D5E7D64"/>
    <w:rsid w:val="6DA93AF7"/>
    <w:rsid w:val="6DFD1267"/>
    <w:rsid w:val="6F0A4BA7"/>
    <w:rsid w:val="6F1A7372"/>
    <w:rsid w:val="6F2155D1"/>
    <w:rsid w:val="6F2D4C56"/>
    <w:rsid w:val="6F387F41"/>
    <w:rsid w:val="6F3B08A0"/>
    <w:rsid w:val="6F4D1D02"/>
    <w:rsid w:val="6F93363A"/>
    <w:rsid w:val="702E3856"/>
    <w:rsid w:val="70624653"/>
    <w:rsid w:val="710B10C2"/>
    <w:rsid w:val="71950079"/>
    <w:rsid w:val="71EA5114"/>
    <w:rsid w:val="71F37EA0"/>
    <w:rsid w:val="72411309"/>
    <w:rsid w:val="726957A9"/>
    <w:rsid w:val="72903204"/>
    <w:rsid w:val="72962E22"/>
    <w:rsid w:val="72A30DB4"/>
    <w:rsid w:val="72AD7B2C"/>
    <w:rsid w:val="73AD6D3B"/>
    <w:rsid w:val="73B5332C"/>
    <w:rsid w:val="73F64AD6"/>
    <w:rsid w:val="745B0474"/>
    <w:rsid w:val="75664885"/>
    <w:rsid w:val="75FC5708"/>
    <w:rsid w:val="764515DD"/>
    <w:rsid w:val="76B414A3"/>
    <w:rsid w:val="76C057F2"/>
    <w:rsid w:val="77104A5B"/>
    <w:rsid w:val="774A16C1"/>
    <w:rsid w:val="78033B32"/>
    <w:rsid w:val="78624B9D"/>
    <w:rsid w:val="79816561"/>
    <w:rsid w:val="79BE5874"/>
    <w:rsid w:val="79FE6F5F"/>
    <w:rsid w:val="7A052862"/>
    <w:rsid w:val="7AA856BE"/>
    <w:rsid w:val="7ADA653A"/>
    <w:rsid w:val="7C57001E"/>
    <w:rsid w:val="7C6914D9"/>
    <w:rsid w:val="7C8912DD"/>
    <w:rsid w:val="7C8F63C8"/>
    <w:rsid w:val="7DCB439A"/>
    <w:rsid w:val="7E862C85"/>
    <w:rsid w:val="7EC07050"/>
    <w:rsid w:val="7ECE0477"/>
    <w:rsid w:val="7F0B2A41"/>
    <w:rsid w:val="7F6053B4"/>
    <w:rsid w:val="7F8C2D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3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8"/>
    <w:semiHidden/>
    <w:unhideWhenUsed/>
    <w:qFormat/>
    <w:uiPriority w:val="9"/>
    <w:pPr>
      <w:keepNext/>
      <w:keepLines/>
      <w:spacing w:before="260" w:after="260" w:line="416" w:lineRule="auto"/>
      <w:outlineLvl w:val="2"/>
    </w:pPr>
    <w:rPr>
      <w:b/>
      <w:bCs/>
      <w:sz w:val="32"/>
      <w:szCs w:val="32"/>
    </w:rPr>
  </w:style>
  <w:style w:type="paragraph" w:styleId="5">
    <w:name w:val="heading 5"/>
    <w:basedOn w:val="1"/>
    <w:next w:val="1"/>
    <w:link w:val="30"/>
    <w:unhideWhenUsed/>
    <w:qFormat/>
    <w:uiPriority w:val="9"/>
    <w:pPr>
      <w:keepNext/>
      <w:keepLines/>
      <w:widowControl/>
      <w:spacing w:before="40" w:line="259" w:lineRule="auto"/>
      <w:jc w:val="left"/>
      <w:outlineLvl w:val="4"/>
    </w:pPr>
    <w:rPr>
      <w:rFonts w:asciiTheme="majorHAnsi" w:hAnsiTheme="majorHAnsi" w:eastAsiaTheme="majorEastAsia" w:cstheme="majorBidi"/>
      <w:color w:val="376092" w:themeColor="accent1" w:themeShade="BF"/>
      <w:kern w:val="0"/>
      <w:sz w:val="2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paragraph" w:styleId="6">
    <w:name w:val="annotation text"/>
    <w:basedOn w:val="1"/>
    <w:link w:val="37"/>
    <w:qFormat/>
    <w:uiPriority w:val="0"/>
    <w:pPr>
      <w:jc w:val="left"/>
    </w:pPr>
    <w:rPr>
      <w:rFonts w:ascii="Times New Roman" w:hAnsi="Times New Roman" w:eastAsia="宋体" w:cs="Times New Roman"/>
      <w:szCs w:val="24"/>
    </w:rPr>
  </w:style>
  <w:style w:type="paragraph" w:styleId="7">
    <w:name w:val="Body Text"/>
    <w:basedOn w:val="1"/>
    <w:unhideWhenUsed/>
    <w:qFormat/>
    <w:uiPriority w:val="99"/>
    <w:rPr>
      <w:sz w:val="28"/>
    </w:rPr>
  </w:style>
  <w:style w:type="paragraph" w:styleId="8">
    <w:name w:val="Body Text Indent"/>
    <w:basedOn w:val="1"/>
    <w:link w:val="39"/>
    <w:semiHidden/>
    <w:unhideWhenUsed/>
    <w:qFormat/>
    <w:uiPriority w:val="99"/>
    <w:pPr>
      <w:spacing w:after="120"/>
      <w:ind w:left="420" w:leftChars="200"/>
    </w:pPr>
  </w:style>
  <w:style w:type="paragraph" w:styleId="9">
    <w:name w:val="Plain Text"/>
    <w:basedOn w:val="1"/>
    <w:link w:val="34"/>
    <w:qFormat/>
    <w:uiPriority w:val="0"/>
    <w:rPr>
      <w:rFonts w:ascii="宋体" w:hAnsi="Courier New" w:eastAsia="宋体" w:cs="Courier New"/>
      <w:szCs w:val="21"/>
    </w:rPr>
  </w:style>
  <w:style w:type="paragraph" w:styleId="10">
    <w:name w:val="Body Text Indent 2"/>
    <w:basedOn w:val="1"/>
    <w:qFormat/>
    <w:uiPriority w:val="0"/>
    <w:pPr>
      <w:spacing w:after="120" w:line="480" w:lineRule="auto"/>
      <w:ind w:left="420" w:leftChars="200"/>
    </w:pPr>
  </w:style>
  <w:style w:type="paragraph" w:styleId="11">
    <w:name w:val="Balloon Text"/>
    <w:basedOn w:val="1"/>
    <w:link w:val="43"/>
    <w:semiHidden/>
    <w:unhideWhenUsed/>
    <w:qFormat/>
    <w:uiPriority w:val="99"/>
    <w:rPr>
      <w:sz w:val="18"/>
      <w:szCs w:val="18"/>
    </w:rPr>
  </w:style>
  <w:style w:type="paragraph" w:styleId="12">
    <w:name w:val="footer"/>
    <w:basedOn w:val="1"/>
    <w:link w:val="27"/>
    <w:unhideWhenUsed/>
    <w:qFormat/>
    <w:uiPriority w:val="99"/>
    <w:pPr>
      <w:tabs>
        <w:tab w:val="center" w:pos="4153"/>
        <w:tab w:val="right" w:pos="8306"/>
      </w:tabs>
      <w:snapToGrid w:val="0"/>
      <w:jc w:val="left"/>
    </w:pPr>
    <w:rPr>
      <w:sz w:val="18"/>
      <w:szCs w:val="18"/>
    </w:rPr>
  </w:style>
  <w:style w:type="paragraph" w:styleId="13">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rPr>
      <w:rFonts w:ascii="Times New Roman" w:hAnsi="Times New Roman" w:eastAsia="宋体" w:cs="Times New Roman"/>
      <w:szCs w:val="24"/>
    </w:rPr>
  </w:style>
  <w:style w:type="paragraph" w:styleId="15">
    <w:name w:val="Body Text Indent 3"/>
    <w:basedOn w:val="1"/>
    <w:link w:val="32"/>
    <w:qFormat/>
    <w:uiPriority w:val="99"/>
    <w:pPr>
      <w:widowControl/>
      <w:spacing w:after="120" w:line="259" w:lineRule="auto"/>
      <w:ind w:left="420" w:leftChars="200"/>
      <w:jc w:val="left"/>
    </w:pPr>
    <w:rPr>
      <w:kern w:val="0"/>
      <w:sz w:val="16"/>
      <w:szCs w:val="16"/>
    </w:rPr>
  </w:style>
  <w:style w:type="paragraph" w:styleId="16">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17">
    <w:name w:val="Title"/>
    <w:basedOn w:val="1"/>
    <w:next w:val="1"/>
    <w:link w:val="36"/>
    <w:qFormat/>
    <w:uiPriority w:val="0"/>
    <w:pPr>
      <w:spacing w:before="240" w:after="60"/>
      <w:jc w:val="center"/>
      <w:outlineLvl w:val="0"/>
    </w:pPr>
    <w:rPr>
      <w:rFonts w:ascii="Cambria" w:hAnsi="Cambria" w:eastAsia="宋体" w:cs="Times New Roman"/>
      <w:b/>
      <w:bCs/>
      <w:sz w:val="32"/>
      <w:szCs w:val="32"/>
    </w:rPr>
  </w:style>
  <w:style w:type="paragraph" w:styleId="18">
    <w:name w:val="Body Text First Indent"/>
    <w:basedOn w:val="7"/>
    <w:unhideWhenUsed/>
    <w:qFormat/>
    <w:uiPriority w:val="99"/>
    <w:pPr>
      <w:spacing w:after="120"/>
      <w:ind w:firstLine="420"/>
    </w:pPr>
    <w:rPr>
      <w:sz w:val="21"/>
    </w:rPr>
  </w:style>
  <w:style w:type="paragraph" w:styleId="19">
    <w:name w:val="Body Text First Indent 2"/>
    <w:basedOn w:val="8"/>
    <w:qFormat/>
    <w:uiPriority w:val="0"/>
    <w:pPr>
      <w:adjustRightInd w:val="0"/>
      <w:spacing w:line="360" w:lineRule="auto"/>
      <w:ind w:left="0" w:leftChars="0" w:firstLine="420"/>
      <w:textAlignment w:val="baseline"/>
    </w:pPr>
    <w:rPr>
      <w:rFonts w:eastAsia="等线" w:cs="Times New Roman"/>
      <w:color w:val="000000"/>
      <w:szCs w:val="24"/>
    </w:rPr>
  </w:style>
  <w:style w:type="table" w:styleId="21">
    <w:name w:val="Table Grid"/>
    <w:basedOn w:val="2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3">
    <w:name w:val="Strong"/>
    <w:basedOn w:val="22"/>
    <w:qFormat/>
    <w:uiPriority w:val="22"/>
    <w:rPr>
      <w:rFonts w:eastAsia="宋体"/>
      <w:b/>
      <w:bCs/>
      <w:kern w:val="2"/>
      <w:sz w:val="24"/>
      <w:szCs w:val="24"/>
      <w:lang w:val="en-US" w:eastAsia="zh-CN" w:bidi="ar-SA"/>
    </w:rPr>
  </w:style>
  <w:style w:type="character" w:styleId="24">
    <w:name w:val="page number"/>
    <w:basedOn w:val="22"/>
    <w:qFormat/>
    <w:uiPriority w:val="0"/>
  </w:style>
  <w:style w:type="character" w:styleId="25">
    <w:name w:val="annotation reference"/>
    <w:basedOn w:val="22"/>
    <w:qFormat/>
    <w:uiPriority w:val="0"/>
    <w:rPr>
      <w:sz w:val="21"/>
      <w:szCs w:val="21"/>
    </w:rPr>
  </w:style>
  <w:style w:type="character" w:customStyle="1" w:styleId="26">
    <w:name w:val="页眉 Char"/>
    <w:basedOn w:val="22"/>
    <w:link w:val="13"/>
    <w:qFormat/>
    <w:uiPriority w:val="99"/>
    <w:rPr>
      <w:sz w:val="18"/>
      <w:szCs w:val="18"/>
    </w:rPr>
  </w:style>
  <w:style w:type="character" w:customStyle="1" w:styleId="27">
    <w:name w:val="页脚 Char"/>
    <w:basedOn w:val="22"/>
    <w:link w:val="12"/>
    <w:qFormat/>
    <w:uiPriority w:val="99"/>
    <w:rPr>
      <w:sz w:val="18"/>
      <w:szCs w:val="18"/>
    </w:rPr>
  </w:style>
  <w:style w:type="paragraph" w:customStyle="1" w:styleId="28">
    <w:name w:val="列出段落1"/>
    <w:basedOn w:val="1"/>
    <w:qFormat/>
    <w:uiPriority w:val="34"/>
    <w:pPr>
      <w:ind w:firstLine="420" w:firstLineChars="200"/>
    </w:pPr>
    <w:rPr>
      <w:rFonts w:ascii="Calibri" w:hAnsi="Calibri" w:eastAsia="宋体" w:cs="Times New Roman"/>
    </w:rPr>
  </w:style>
  <w:style w:type="character" w:customStyle="1" w:styleId="29">
    <w:name w:val="标题 5 Char"/>
    <w:basedOn w:val="22"/>
    <w:link w:val="5"/>
    <w:semiHidden/>
    <w:qFormat/>
    <w:uiPriority w:val="9"/>
    <w:rPr>
      <w:b/>
      <w:bCs/>
      <w:sz w:val="28"/>
      <w:szCs w:val="28"/>
    </w:rPr>
  </w:style>
  <w:style w:type="character" w:customStyle="1" w:styleId="30">
    <w:name w:val="标题 5 Char1"/>
    <w:basedOn w:val="22"/>
    <w:link w:val="5"/>
    <w:qFormat/>
    <w:uiPriority w:val="9"/>
    <w:rPr>
      <w:rFonts w:asciiTheme="majorHAnsi" w:hAnsiTheme="majorHAnsi" w:eastAsiaTheme="majorEastAsia" w:cstheme="majorBidi"/>
      <w:color w:val="376092" w:themeColor="accent1" w:themeShade="BF"/>
      <w:kern w:val="0"/>
      <w:sz w:val="22"/>
    </w:rPr>
  </w:style>
  <w:style w:type="character" w:customStyle="1" w:styleId="31">
    <w:name w:val="正文文本缩进 3 Char"/>
    <w:basedOn w:val="22"/>
    <w:link w:val="15"/>
    <w:semiHidden/>
    <w:qFormat/>
    <w:uiPriority w:val="99"/>
    <w:rPr>
      <w:sz w:val="16"/>
      <w:szCs w:val="16"/>
    </w:rPr>
  </w:style>
  <w:style w:type="character" w:customStyle="1" w:styleId="32">
    <w:name w:val="正文文本缩进 3 Char1"/>
    <w:basedOn w:val="22"/>
    <w:link w:val="15"/>
    <w:qFormat/>
    <w:uiPriority w:val="99"/>
    <w:rPr>
      <w:kern w:val="0"/>
      <w:sz w:val="16"/>
      <w:szCs w:val="16"/>
    </w:rPr>
  </w:style>
  <w:style w:type="paragraph" w:styleId="33">
    <w:name w:val="List Paragraph"/>
    <w:basedOn w:val="1"/>
    <w:qFormat/>
    <w:uiPriority w:val="34"/>
    <w:pPr>
      <w:ind w:firstLine="420" w:firstLineChars="200"/>
    </w:pPr>
  </w:style>
  <w:style w:type="character" w:customStyle="1" w:styleId="34">
    <w:name w:val="纯文本 Char"/>
    <w:basedOn w:val="22"/>
    <w:link w:val="9"/>
    <w:qFormat/>
    <w:uiPriority w:val="0"/>
    <w:rPr>
      <w:rFonts w:ascii="宋体" w:hAnsi="Courier New" w:eastAsia="宋体" w:cs="Courier New"/>
      <w:szCs w:val="21"/>
    </w:rPr>
  </w:style>
  <w:style w:type="character" w:customStyle="1" w:styleId="35">
    <w:name w:val="标题 2 Char"/>
    <w:basedOn w:val="22"/>
    <w:link w:val="3"/>
    <w:semiHidden/>
    <w:qFormat/>
    <w:uiPriority w:val="9"/>
    <w:rPr>
      <w:rFonts w:asciiTheme="majorHAnsi" w:hAnsiTheme="majorHAnsi" w:eastAsiaTheme="majorEastAsia" w:cstheme="majorBidi"/>
      <w:b/>
      <w:bCs/>
      <w:sz w:val="32"/>
      <w:szCs w:val="32"/>
    </w:rPr>
  </w:style>
  <w:style w:type="character" w:customStyle="1" w:styleId="36">
    <w:name w:val="标题 Char"/>
    <w:basedOn w:val="22"/>
    <w:link w:val="17"/>
    <w:qFormat/>
    <w:uiPriority w:val="0"/>
    <w:rPr>
      <w:rFonts w:ascii="Cambria" w:hAnsi="Cambria" w:eastAsia="宋体" w:cs="Times New Roman"/>
      <w:b/>
      <w:bCs/>
      <w:sz w:val="32"/>
      <w:szCs w:val="32"/>
    </w:rPr>
  </w:style>
  <w:style w:type="character" w:customStyle="1" w:styleId="37">
    <w:name w:val="批注文字 Char"/>
    <w:basedOn w:val="22"/>
    <w:link w:val="6"/>
    <w:qFormat/>
    <w:uiPriority w:val="0"/>
    <w:rPr>
      <w:rFonts w:ascii="Times New Roman" w:hAnsi="Times New Roman" w:eastAsia="宋体" w:cs="Times New Roman"/>
      <w:szCs w:val="24"/>
    </w:rPr>
  </w:style>
  <w:style w:type="character" w:customStyle="1" w:styleId="38">
    <w:name w:val="标题 3 Char"/>
    <w:basedOn w:val="22"/>
    <w:link w:val="4"/>
    <w:semiHidden/>
    <w:qFormat/>
    <w:uiPriority w:val="9"/>
    <w:rPr>
      <w:b/>
      <w:bCs/>
      <w:sz w:val="32"/>
      <w:szCs w:val="32"/>
    </w:rPr>
  </w:style>
  <w:style w:type="character" w:customStyle="1" w:styleId="39">
    <w:name w:val="正文文本缩进 Char"/>
    <w:basedOn w:val="22"/>
    <w:link w:val="8"/>
    <w:semiHidden/>
    <w:qFormat/>
    <w:uiPriority w:val="99"/>
  </w:style>
  <w:style w:type="paragraph" w:customStyle="1" w:styleId="40">
    <w:name w:val="文一"/>
    <w:basedOn w:val="1"/>
    <w:qFormat/>
    <w:uiPriority w:val="0"/>
    <w:pPr>
      <w:topLinePunct/>
      <w:adjustRightInd w:val="0"/>
      <w:snapToGrid w:val="0"/>
      <w:spacing w:line="360" w:lineRule="auto"/>
      <w:ind w:firstLine="200" w:firstLineChars="200"/>
    </w:pPr>
    <w:rPr>
      <w:rFonts w:ascii="Times New Roman" w:hAnsi="Times New Roman" w:eastAsia="宋体" w:cs="Times New Roman"/>
      <w:snapToGrid w:val="0"/>
      <w:spacing w:val="4"/>
      <w:kern w:val="0"/>
      <w:sz w:val="24"/>
      <w:szCs w:val="24"/>
    </w:rPr>
  </w:style>
  <w:style w:type="paragraph" w:customStyle="1" w:styleId="41">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character" w:customStyle="1" w:styleId="42">
    <w:name w:val="apple-converted-space"/>
    <w:basedOn w:val="22"/>
    <w:qFormat/>
    <w:uiPriority w:val="0"/>
  </w:style>
  <w:style w:type="character" w:customStyle="1" w:styleId="43">
    <w:name w:val="批注框文本 Char"/>
    <w:basedOn w:val="22"/>
    <w:link w:val="11"/>
    <w:semiHidden/>
    <w:qFormat/>
    <w:uiPriority w:val="99"/>
    <w:rPr>
      <w:kern w:val="2"/>
      <w:sz w:val="18"/>
      <w:szCs w:val="18"/>
    </w:rPr>
  </w:style>
  <w:style w:type="paragraph" w:styleId="4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Char Char Char Char"/>
    <w:basedOn w:val="1"/>
    <w:next w:val="1"/>
    <w:qFormat/>
    <w:uiPriority w:val="0"/>
    <w:pPr>
      <w:spacing w:line="360" w:lineRule="auto"/>
      <w:ind w:firstLine="20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414D70-2D37-492B-849D-1B5330ED1FA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2714</Words>
  <Characters>15472</Characters>
  <Lines>128</Lines>
  <Paragraphs>36</Paragraphs>
  <TotalTime>1</TotalTime>
  <ScaleCrop>false</ScaleCrop>
  <LinksUpToDate>false</LinksUpToDate>
  <CharactersWithSpaces>18150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2021-08-02T01:30:00Z</dcterms:created>
  <dc:creator>李嘉雯</dc:creator>
  <cp:lastModifiedBy>林煜韩</cp:lastModifiedBy>
  <cp:lastPrinted>2021-08-12T08:43:00Z</cp:lastPrinted>
  <dcterms:modified xsi:type="dcterms:W3CDTF">2021-09-13T06:59:12Z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7C244FD32A1D4197B3AE461C1BE44218</vt:lpwstr>
  </property>
</Properties>
</file>