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hAnsi="仿宋_GB2312" w:eastAsia="仿宋_GB2312" w:cs="仿宋_GB2312"/>
          <w:b/>
          <w:color w:val="000000" w:themeColor="text1"/>
          <w:kern w:val="0"/>
          <w14:textFill>
            <w14:solidFill>
              <w14:schemeClr w14:val="tx1"/>
            </w14:solidFill>
          </w14:textFill>
        </w:rPr>
      </w:pPr>
    </w:p>
    <w:p>
      <w:pPr>
        <w:rPr>
          <w:rFonts w:ascii="仿宋_GB2312" w:hAnsi="仿宋_GB2312" w:eastAsia="仿宋_GB2312" w:cs="仿宋_GB2312"/>
          <w:b/>
          <w:color w:val="000000" w:themeColor="text1"/>
          <w:kern w:val="0"/>
          <w14:textFill>
            <w14:solidFill>
              <w14:schemeClr w14:val="tx1"/>
            </w14:solidFill>
          </w14:textFill>
        </w:rPr>
      </w:pPr>
    </w:p>
    <w:p>
      <w:pPr>
        <w:rPr>
          <w:rFonts w:ascii="仿宋_GB2312" w:hAnsi="仿宋_GB2312" w:eastAsia="仿宋_GB2312" w:cs="仿宋_GB2312"/>
          <w:b/>
          <w:color w:val="000000" w:themeColor="text1"/>
          <w:kern w:val="0"/>
          <w14:textFill>
            <w14:solidFill>
              <w14:schemeClr w14:val="tx1"/>
            </w14:solidFill>
          </w14:textFill>
        </w:rPr>
      </w:pPr>
    </w:p>
    <w:p>
      <w:pPr>
        <w:tabs>
          <w:tab w:val="left" w:pos="420"/>
          <w:tab w:val="left" w:pos="6660"/>
        </w:tabs>
        <w:spacing w:line="1600" w:lineRule="atLeast"/>
        <w:jc w:val="center"/>
        <w:rPr>
          <w:rFonts w:ascii="仿宋_GB2312" w:hAnsi="仿宋_GB2312" w:eastAsia="仿宋_GB2312" w:cs="仿宋_GB2312"/>
          <w:color w:val="000000" w:themeColor="text1"/>
          <w:sz w:val="72"/>
          <w14:textFill>
            <w14:solidFill>
              <w14:schemeClr w14:val="tx1"/>
            </w14:solidFill>
          </w14:textFill>
        </w:rPr>
      </w:pPr>
      <w:r>
        <w:rPr>
          <w:rFonts w:hint="eastAsia" w:ascii="仿宋_GB2312" w:hAnsi="仿宋_GB2312" w:eastAsia="仿宋_GB2312" w:cs="仿宋_GB2312"/>
          <w:b/>
          <w:bCs/>
          <w:color w:val="000000" w:themeColor="text1"/>
          <w:sz w:val="72"/>
          <w14:textFill>
            <w14:solidFill>
              <w14:schemeClr w14:val="tx1"/>
            </w14:solidFill>
          </w14:textFill>
        </w:rPr>
        <w:t>询价文件</w:t>
      </w:r>
    </w:p>
    <w:p>
      <w:pPr>
        <w:spacing w:line="500" w:lineRule="exact"/>
        <w:jc w:val="left"/>
        <w:rPr>
          <w:rFonts w:ascii="仿宋_GB2312" w:hAnsi="仿宋_GB2312" w:eastAsia="仿宋_GB2312" w:cs="仿宋_GB2312"/>
          <w:bCs/>
          <w:color w:val="000000" w:themeColor="text1"/>
          <w:sz w:val="28"/>
          <w:szCs w:val="28"/>
          <w14:textFill>
            <w14:solidFill>
              <w14:schemeClr w14:val="tx1"/>
            </w14:solidFill>
          </w14:textFill>
        </w:rPr>
      </w:pPr>
    </w:p>
    <w:p>
      <w:pPr>
        <w:spacing w:line="500" w:lineRule="exact"/>
        <w:jc w:val="left"/>
        <w:rPr>
          <w:rFonts w:hint="default"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项目编号：</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XJ-20210929-1</w:t>
      </w:r>
    </w:p>
    <w:p>
      <w:pPr>
        <w:spacing w:line="500" w:lineRule="exact"/>
        <w:jc w:val="left"/>
        <w:rPr>
          <w:rFonts w:hint="eastAsia"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项目名称：</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广州市净水有限公司</w:t>
      </w:r>
      <w:r>
        <w:rPr>
          <w:rFonts w:hint="eastAsia" w:ascii="仿宋_GB2312" w:hAnsi="仿宋_GB2312" w:eastAsia="仿宋_GB2312" w:cs="仿宋_GB2312"/>
          <w:b/>
          <w:bCs/>
          <w:sz w:val="32"/>
          <w:szCs w:val="32"/>
          <w:lang w:eastAsia="zh-CN"/>
        </w:rPr>
        <w:t>沥滘三期无线网络建设项目</w:t>
      </w:r>
    </w:p>
    <w:p>
      <w:pPr>
        <w:spacing w:line="500" w:lineRule="exact"/>
        <w:jc w:val="center"/>
        <w:rPr>
          <w:rFonts w:ascii="仿宋_GB2312" w:hAnsi="仿宋_GB2312" w:eastAsia="仿宋_GB2312" w:cs="仿宋_GB2312"/>
          <w:b/>
          <w:bCs/>
          <w:color w:val="000000" w:themeColor="text1"/>
          <w14:textFill>
            <w14:solidFill>
              <w14:schemeClr w14:val="tx1"/>
            </w14:solidFill>
          </w14:textFill>
        </w:rPr>
      </w:pPr>
    </w:p>
    <w:p>
      <w:pPr>
        <w:spacing w:line="500" w:lineRule="exact"/>
        <w:jc w:val="center"/>
        <w:rPr>
          <w:rFonts w:ascii="仿宋_GB2312" w:hAnsi="仿宋_GB2312" w:eastAsia="仿宋_GB2312" w:cs="仿宋_GB2312"/>
          <w:b/>
          <w:bCs/>
          <w:color w:val="000000" w:themeColor="text1"/>
          <w:sz w:val="72"/>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bCs/>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bCs/>
          <w:color w:val="000000" w:themeColor="text1"/>
          <w:sz w:val="36"/>
          <w14:textFill>
            <w14:solidFill>
              <w14:schemeClr w14:val="tx1"/>
            </w14:solidFill>
          </w14:textFill>
        </w:rPr>
      </w:pPr>
      <w:r>
        <w:rPr>
          <w:rFonts w:hint="eastAsia" w:ascii="仿宋_GB2312" w:hAnsi="仿宋_GB2312" w:eastAsia="仿宋_GB2312" w:cs="仿宋_GB2312"/>
          <w:b/>
          <w:bCs/>
          <w:color w:val="000000" w:themeColor="text1"/>
          <w:sz w:val="36"/>
          <w14:textFill>
            <w14:solidFill>
              <w14:schemeClr w14:val="tx1"/>
            </w14:solidFill>
          </w14:textFill>
        </w:rPr>
        <w:t xml:space="preserve"> 广州市净水有限公司</w:t>
      </w:r>
      <w:r>
        <w:rPr>
          <w:rFonts w:hint="eastAsia" w:ascii="仿宋_GB2312" w:hAnsi="仿宋_GB2312" w:eastAsia="仿宋_GB2312" w:cs="仿宋_GB2312"/>
          <w:b/>
          <w:bCs/>
          <w:color w:val="000000" w:themeColor="text1"/>
          <w:sz w:val="36"/>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6"/>
          <w14:textFill>
            <w14:solidFill>
              <w14:schemeClr w14:val="tx1"/>
            </w14:solidFill>
          </w14:textFill>
        </w:rPr>
        <w:t>编制</w:t>
      </w:r>
    </w:p>
    <w:p>
      <w:pPr>
        <w:spacing w:line="360" w:lineRule="auto"/>
        <w:jc w:val="center"/>
        <w:rPr>
          <w:rFonts w:ascii="仿宋_GB2312" w:hAnsi="仿宋_GB2312" w:eastAsia="仿宋_GB2312" w:cs="仿宋_GB2312"/>
          <w:b/>
          <w:bCs/>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bCs/>
          <w:color w:val="000000" w:themeColor="text1"/>
          <w:sz w:val="28"/>
          <w14:textFill>
            <w14:solidFill>
              <w14:schemeClr w14:val="tx1"/>
            </w14:solidFill>
          </w14:textFill>
        </w:rPr>
      </w:pPr>
      <w:r>
        <w:rPr>
          <w:rFonts w:hint="eastAsia" w:ascii="仿宋_GB2312" w:hAnsi="仿宋_GB2312" w:eastAsia="仿宋_GB2312" w:cs="仿宋_GB2312"/>
          <w:b/>
          <w:bCs/>
          <w:color w:val="000000" w:themeColor="text1"/>
          <w:sz w:val="28"/>
          <w14:textFill>
            <w14:solidFill>
              <w14:schemeClr w14:val="tx1"/>
            </w14:solidFill>
          </w14:textFill>
        </w:rPr>
        <w:t>发布日期：202</w:t>
      </w:r>
      <w:r>
        <w:rPr>
          <w:rFonts w:ascii="仿宋_GB2312" w:hAnsi="仿宋_GB2312" w:eastAsia="仿宋_GB2312" w:cs="仿宋_GB2312"/>
          <w:b/>
          <w:bCs/>
          <w:color w:val="000000" w:themeColor="text1"/>
          <w:sz w:val="28"/>
          <w14:textFill>
            <w14:solidFill>
              <w14:schemeClr w14:val="tx1"/>
            </w14:solidFill>
          </w14:textFill>
        </w:rPr>
        <w:t>1</w:t>
      </w:r>
      <w:r>
        <w:rPr>
          <w:rFonts w:hint="eastAsia" w:ascii="仿宋_GB2312" w:hAnsi="仿宋_GB2312" w:eastAsia="仿宋_GB2312" w:cs="仿宋_GB2312"/>
          <w:b/>
          <w:bCs/>
          <w:color w:val="000000" w:themeColor="text1"/>
          <w:sz w:val="28"/>
          <w14:textFill>
            <w14:solidFill>
              <w14:schemeClr w14:val="tx1"/>
            </w14:solidFill>
          </w14:textFill>
        </w:rPr>
        <w:t>年</w:t>
      </w:r>
      <w:r>
        <w:rPr>
          <w:rFonts w:hint="eastAsia" w:ascii="仿宋_GB2312" w:hAnsi="仿宋_GB2312" w:eastAsia="仿宋_GB2312" w:cs="仿宋_GB2312"/>
          <w:b/>
          <w:bCs/>
          <w:color w:val="000000" w:themeColor="text1"/>
          <w:sz w:val="28"/>
          <w:lang w:val="en-US" w:eastAsia="zh-CN"/>
          <w14:textFill>
            <w14:solidFill>
              <w14:schemeClr w14:val="tx1"/>
            </w14:solidFill>
          </w14:textFill>
        </w:rPr>
        <w:t>9</w:t>
      </w:r>
      <w:r>
        <w:rPr>
          <w:rFonts w:hint="eastAsia" w:ascii="仿宋_GB2312" w:hAnsi="仿宋_GB2312" w:eastAsia="仿宋_GB2312" w:cs="仿宋_GB2312"/>
          <w:b/>
          <w:bCs/>
          <w:color w:val="000000" w:themeColor="text1"/>
          <w:sz w:val="28"/>
          <w14:textFill>
            <w14:solidFill>
              <w14:schemeClr w14:val="tx1"/>
            </w14:solidFill>
          </w14:textFill>
        </w:rPr>
        <w:t>月</w:t>
      </w:r>
      <w:r>
        <w:rPr>
          <w:rFonts w:hint="eastAsia" w:ascii="仿宋_GB2312" w:hAnsi="仿宋_GB2312" w:eastAsia="仿宋_GB2312" w:cs="仿宋_GB2312"/>
          <w:b/>
          <w:bCs/>
          <w:color w:val="000000" w:themeColor="text1"/>
          <w:sz w:val="28"/>
          <w:lang w:val="en-US" w:eastAsia="zh-CN"/>
          <w14:textFill>
            <w14:solidFill>
              <w14:schemeClr w14:val="tx1"/>
            </w14:solidFill>
          </w14:textFill>
        </w:rPr>
        <w:t>29</w:t>
      </w:r>
      <w:r>
        <w:rPr>
          <w:rFonts w:hint="eastAsia" w:ascii="仿宋_GB2312" w:hAnsi="仿宋_GB2312" w:eastAsia="仿宋_GB2312" w:cs="仿宋_GB2312"/>
          <w:b/>
          <w:bCs/>
          <w:color w:val="000000" w:themeColor="text1"/>
          <w:sz w:val="28"/>
          <w14:textFill>
            <w14:solidFill>
              <w14:schemeClr w14:val="tx1"/>
            </w14:solidFill>
          </w14:textFill>
        </w:rPr>
        <w:t>日</w:t>
      </w:r>
    </w:p>
    <w:p>
      <w:pPr>
        <w:rPr>
          <w:rFonts w:ascii="仿宋_GB2312" w:hAnsi="仿宋_GB2312" w:eastAsia="仿宋_GB2312" w:cs="仿宋_GB2312"/>
          <w:b/>
          <w:color w:val="000000" w:themeColor="text1"/>
          <w:sz w:val="28"/>
          <w:szCs w:val="28"/>
          <w14:textFill>
            <w14:solidFill>
              <w14:schemeClr w14:val="tx1"/>
            </w14:solidFill>
          </w14:textFill>
        </w:rPr>
      </w:pPr>
    </w:p>
    <w:p>
      <w:pPr>
        <w:pageBreakBefore/>
        <w:jc w:val="center"/>
        <w:rPr>
          <w:rFonts w:ascii="仿宋_GB2312" w:hAnsi="仿宋_GB2312" w:eastAsia="仿宋_GB2312" w:cs="仿宋_GB2312"/>
          <w:b/>
          <w:bCs/>
          <w:cap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目      录</w:t>
      </w:r>
      <w:r>
        <w:rPr>
          <w:rFonts w:hint="eastAsia" w:ascii="仿宋_GB2312" w:hAnsi="仿宋_GB2312" w:eastAsia="仿宋_GB2312" w:cs="仿宋_GB2312"/>
          <w:b/>
          <w:bCs/>
          <w:caps/>
          <w:color w:val="000000" w:themeColor="text1"/>
          <w:sz w:val="28"/>
          <w:szCs w:val="28"/>
          <w14:textFill>
            <w14:solidFill>
              <w14:schemeClr w14:val="tx1"/>
            </w14:solidFill>
          </w14:textFill>
        </w:rPr>
        <w:br w:type="textWrapping"/>
      </w:r>
    </w:p>
    <w:p>
      <w:pPr>
        <w:pStyle w:val="20"/>
        <w:tabs>
          <w:tab w:val="right" w:leader="dot" w:pos="9174"/>
        </w:tabs>
        <w:spacing w:line="36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第一部分  报价邀请函</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第二部分  项目内容</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第三部分  报价须知</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第四部分  合同书格式</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第五部分  响应文件格式</w:t>
      </w:r>
    </w:p>
    <w:p>
      <w:pPr>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51" w:firstLineChars="196"/>
        <w:rPr>
          <w:rFonts w:ascii="仿宋_GB2312" w:hAnsi="仿宋_GB2312" w:eastAsia="仿宋_GB2312" w:cs="仿宋_GB2312"/>
          <w:b/>
          <w:color w:val="000000" w:themeColor="text1"/>
          <w:sz w:val="28"/>
          <w:szCs w:val="28"/>
          <w14:textFill>
            <w14:solidFill>
              <w14:schemeClr w14:val="tx1"/>
            </w14:solidFill>
          </w14:textFill>
        </w:rPr>
      </w:pPr>
    </w:p>
    <w:p>
      <w:pPr>
        <w:autoSpaceDE w:val="0"/>
        <w:autoSpaceDN w:val="0"/>
        <w:adjustRightInd w:val="0"/>
        <w:snapToGrid w:val="0"/>
        <w:spacing w:line="300" w:lineRule="auto"/>
        <w:ind w:right="32"/>
        <w:rPr>
          <w:rFonts w:ascii="仿宋_GB2312" w:hAnsi="仿宋_GB2312" w:eastAsia="仿宋_GB2312" w:cs="仿宋_GB2312"/>
          <w:color w:val="000000" w:themeColor="text1"/>
          <w:kern w:val="0"/>
          <w:sz w:val="28"/>
          <w:szCs w:val="28"/>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jc w:val="center"/>
        <w:rPr>
          <w:rFonts w:ascii="仿宋_GB2312" w:hAnsi="仿宋_GB2312" w:eastAsia="仿宋_GB2312" w:cs="仿宋_GB2312"/>
          <w:b/>
          <w:color w:val="000000" w:themeColor="text1"/>
          <w:kern w:val="0"/>
          <w:sz w:val="28"/>
          <w:szCs w:val="28"/>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第一部分 报价邀请函</w:t>
      </w:r>
    </w:p>
    <w:p>
      <w:pP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各报价单位:</w:t>
      </w:r>
    </w:p>
    <w:p>
      <w:pPr>
        <w:ind w:firstLine="560" w:firstLineChars="200"/>
        <w:rPr>
          <w:rFonts w:ascii="仿宋_GB2312" w:hAnsi="仿宋_GB2312" w:eastAsia="仿宋_GB2312" w:cs="仿宋_GB2312"/>
          <w:color w:val="000000" w:themeColor="text1"/>
          <w:sz w:val="28"/>
          <w:szCs w:val="28"/>
          <w:u w:val="singl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现我公司对</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沥滘三期无线网络建设项目</w:t>
      </w:r>
      <w:r>
        <w:rPr>
          <w:rFonts w:hint="eastAsia" w:ascii="仿宋_GB2312" w:hAnsi="仿宋_GB2312" w:eastAsia="仿宋_GB2312" w:cs="仿宋_GB2312"/>
          <w:color w:val="000000" w:themeColor="text1"/>
          <w:sz w:val="28"/>
          <w:szCs w:val="28"/>
          <w14:textFill>
            <w14:solidFill>
              <w14:schemeClr w14:val="tx1"/>
            </w14:solidFill>
          </w14:textFill>
        </w:rPr>
        <w:t>进行询价，</w:t>
      </w:r>
      <w:r>
        <w:rPr>
          <w:rFonts w:hint="eastAsia" w:ascii="仿宋_GB2312" w:hAnsi="仿宋_GB2312" w:eastAsia="仿宋_GB2312" w:cs="仿宋_GB2312"/>
          <w:color w:val="000000" w:themeColor="text1"/>
          <w:sz w:val="28"/>
          <w:szCs w:val="28"/>
          <w:lang w:val="zh-CN"/>
          <w14:textFill>
            <w14:solidFill>
              <w14:schemeClr w14:val="tx1"/>
            </w14:solidFill>
          </w14:textFill>
        </w:rPr>
        <w:t>欢迎符合资格条件</w:t>
      </w:r>
      <w:r>
        <w:rPr>
          <w:rFonts w:hint="eastAsia" w:ascii="仿宋_GB2312" w:hAnsi="仿宋_GB2312" w:eastAsia="仿宋_GB2312" w:cs="仿宋_GB2312"/>
          <w:color w:val="000000" w:themeColor="text1"/>
          <w:sz w:val="28"/>
          <w:szCs w:val="28"/>
          <w14:textFill>
            <w14:solidFill>
              <w14:schemeClr w14:val="tx1"/>
            </w14:solidFill>
          </w14:textFill>
        </w:rPr>
        <w:t>的报价单位参加。</w:t>
      </w:r>
    </w:p>
    <w:p>
      <w:pPr>
        <w:autoSpaceDE w:val="0"/>
        <w:autoSpaceDN w:val="0"/>
        <w:ind w:firstLine="560" w:firstLineChars="200"/>
        <w:rPr>
          <w:rFonts w:ascii="仿宋_GB2312" w:hAnsi="仿宋_GB2312" w:eastAsia="仿宋_GB2312" w:cs="仿宋_GB2312"/>
          <w:color w:val="000000" w:themeColor="text1"/>
          <w:sz w:val="28"/>
          <w:szCs w:val="28"/>
          <w:lang w:val="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一、资金计划：</w:t>
      </w:r>
      <w:r>
        <w:rPr>
          <w:rFonts w:hint="eastAsia" w:ascii="仿宋_GB2312" w:hAnsi="仿宋_GB2312" w:eastAsia="仿宋_GB2312" w:cs="仿宋_GB2312"/>
          <w:sz w:val="28"/>
          <w:szCs w:val="28"/>
        </w:rPr>
        <w:t>企业自有资金</w:t>
      </w:r>
    </w:p>
    <w:p>
      <w:pPr>
        <w:autoSpaceDE w:val="0"/>
        <w:autoSpaceDN w:val="0"/>
        <w:ind w:firstLine="560" w:firstLineChars="200"/>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二</w:t>
      </w:r>
      <w:r>
        <w:rPr>
          <w:rFonts w:hint="eastAsia" w:ascii="仿宋_GB2312" w:hAnsi="仿宋_GB2312" w:eastAsia="仿宋_GB2312" w:cs="仿宋_GB2312"/>
          <w:color w:val="000000" w:themeColor="text1"/>
          <w:sz w:val="28"/>
          <w:szCs w:val="28"/>
          <w:lang w:val="zh-CN"/>
          <w14:textFill>
            <w14:solidFill>
              <w14:schemeClr w14:val="tx1"/>
            </w14:solidFill>
          </w14:textFill>
        </w:rPr>
        <w:t>、项目编号：</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XJ-20210929-1</w:t>
      </w:r>
    </w:p>
    <w:p>
      <w:pPr>
        <w:autoSpaceDE w:val="0"/>
        <w:autoSpaceDN w:val="0"/>
        <w:ind w:firstLine="560" w:firstLineChars="200"/>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三</w:t>
      </w:r>
      <w:r>
        <w:rPr>
          <w:rFonts w:hint="eastAsia" w:ascii="仿宋_GB2312" w:hAnsi="仿宋_GB2312" w:eastAsia="仿宋_GB2312" w:cs="仿宋_GB2312"/>
          <w:color w:val="000000" w:themeColor="text1"/>
          <w:sz w:val="28"/>
          <w:szCs w:val="28"/>
          <w14:textFill>
            <w14:solidFill>
              <w14:schemeClr w14:val="tx1"/>
            </w14:solidFill>
          </w14:textFill>
        </w:rPr>
        <w:t>、项目名称：</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广州市净水有限公司</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沥滘三期无线网络建设项目</w:t>
      </w:r>
    </w:p>
    <w:p>
      <w:pPr>
        <w:autoSpaceDE w:val="0"/>
        <w:autoSpaceDN w:val="0"/>
        <w:ind w:firstLine="560" w:firstLineChars="200"/>
        <w:rPr>
          <w:rFonts w:ascii="仿宋_GB2312" w:hAnsi="仿宋_GB2312" w:eastAsia="仿宋_GB2312" w:cs="仿宋_GB2312"/>
          <w:color w:val="000000" w:themeColor="text1"/>
          <w:sz w:val="28"/>
          <w:szCs w:val="28"/>
          <w:lang w:val="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四、最高限价</w:t>
      </w:r>
      <w:r>
        <w:rPr>
          <w:rFonts w:hint="eastAsia" w:ascii="仿宋_GB2312" w:hAnsi="仿宋_GB2312" w:eastAsia="仿宋_GB2312" w:cs="仿宋_GB2312"/>
          <w:color w:val="000000" w:themeColor="text1"/>
          <w:sz w:val="28"/>
          <w:szCs w:val="28"/>
          <w:highlight w:val="none"/>
          <w:shd w:val="clear" w:color="auto" w:fill="auto"/>
          <w:lang w:val="zh-CN"/>
          <w14:textFill>
            <w14:solidFill>
              <w14:schemeClr w14:val="tx1"/>
            </w14:solidFill>
          </w14:textFill>
        </w:rPr>
        <w:t>：</w:t>
      </w:r>
      <w:r>
        <w:rPr>
          <w:rFonts w:hint="eastAsia" w:ascii="仿宋_GB2312" w:hAnsi="仿宋_GB2312" w:eastAsia="仿宋_GB2312" w:cs="仿宋_GB2312"/>
          <w:color w:val="auto"/>
          <w:sz w:val="28"/>
          <w:szCs w:val="28"/>
          <w:highlight w:val="none"/>
          <w:u w:val="single"/>
          <w:shd w:val="clear" w:color="auto" w:fill="auto"/>
        </w:rPr>
        <w:t xml:space="preserve"> 83</w:t>
      </w:r>
      <w:r>
        <w:rPr>
          <w:rFonts w:hint="eastAsia" w:ascii="仿宋_GB2312" w:hAnsi="仿宋_GB2312" w:eastAsia="仿宋_GB2312" w:cs="仿宋_GB2312"/>
          <w:color w:val="auto"/>
          <w:sz w:val="28"/>
          <w:szCs w:val="28"/>
          <w:highlight w:val="none"/>
          <w:u w:val="single"/>
          <w:shd w:val="clear" w:color="auto" w:fill="auto"/>
          <w:lang w:val="en-US" w:eastAsia="zh-CN"/>
        </w:rPr>
        <w:t>.</w:t>
      </w:r>
      <w:r>
        <w:rPr>
          <w:rFonts w:hint="eastAsia" w:ascii="仿宋_GB2312" w:hAnsi="仿宋_GB2312" w:eastAsia="仿宋_GB2312" w:cs="仿宋_GB2312"/>
          <w:color w:val="auto"/>
          <w:sz w:val="28"/>
          <w:szCs w:val="28"/>
          <w:highlight w:val="none"/>
          <w:u w:val="single"/>
          <w:shd w:val="clear" w:color="auto" w:fill="auto"/>
        </w:rPr>
        <w:t>018880</w:t>
      </w:r>
      <w:r>
        <w:rPr>
          <w:rFonts w:hint="eastAsia" w:ascii="仿宋_GB2312" w:hAnsi="仿宋_GB2312" w:eastAsia="仿宋_GB2312" w:cs="仿宋_GB2312"/>
          <w:color w:val="000000" w:themeColor="text1"/>
          <w:sz w:val="28"/>
          <w:szCs w:val="28"/>
          <w:u w:val="single"/>
          <w:lang w:val="zh-CN"/>
          <w14:textFill>
            <w14:solidFill>
              <w14:schemeClr w14:val="tx1"/>
            </w14:solidFill>
          </w14:textFill>
        </w:rPr>
        <w:t>万元（人民币）</w:t>
      </w:r>
    </w:p>
    <w:p>
      <w:pPr>
        <w:autoSpaceDE w:val="0"/>
        <w:autoSpaceDN w:val="0"/>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五</w:t>
      </w:r>
      <w:r>
        <w:rPr>
          <w:rFonts w:hint="eastAsia" w:ascii="仿宋_GB2312" w:hAnsi="仿宋_GB2312" w:eastAsia="仿宋_GB2312" w:cs="仿宋_GB2312"/>
          <w:color w:val="000000" w:themeColor="text1"/>
          <w:sz w:val="28"/>
          <w:szCs w:val="28"/>
          <w:lang w:val="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项目内容及需求：(工程概况)</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对沥滘分公三期负一、二层、提标生物滤池负一、二层进行无线WIFI覆盖，满足沥滘分公司办公、生产以及智慧净水示范工程对无线网络的需求。项目主要内容及需求如下：</w:t>
      </w:r>
    </w:p>
    <w:p>
      <w:pPr>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1.现场勘查,</w:t>
      </w:r>
      <w:r>
        <w:rPr>
          <w:rFonts w:hint="eastAsia" w:ascii="仿宋" w:hAnsi="仿宋" w:eastAsia="仿宋" w:cs="仿宋"/>
          <w:color w:val="000000" w:themeColor="text1"/>
          <w:sz w:val="28"/>
          <w:szCs w:val="28"/>
          <w:highlight w:val="none"/>
          <w:u w:val="none"/>
          <w:lang w:val="en-US" w:eastAsia="zh-CN"/>
          <w14:textFill>
            <w14:solidFill>
              <w14:schemeClr w14:val="tx1"/>
            </w14:solidFill>
          </w14:textFill>
        </w:rPr>
        <w:t>根据项目</w:t>
      </w:r>
      <w:r>
        <w:rPr>
          <w:rFonts w:hint="eastAsia" w:ascii="仿宋" w:hAnsi="仿宋" w:eastAsia="仿宋" w:cs="仿宋"/>
          <w:color w:val="000000" w:themeColor="text1"/>
          <w:sz w:val="28"/>
          <w:szCs w:val="28"/>
          <w:highlight w:val="none"/>
          <w:lang w:val="en-US" w:eastAsia="zh-CN"/>
          <w14:textFill>
            <w14:solidFill>
              <w14:schemeClr w14:val="tx1"/>
            </w14:solidFill>
          </w14:textFill>
        </w:rPr>
        <w:t>内容与需求明确要求</w:t>
      </w:r>
      <w:r>
        <w:rPr>
          <w:rFonts w:hint="eastAsia" w:ascii="仿宋" w:hAnsi="仿宋" w:eastAsia="仿宋" w:cs="仿宋"/>
          <w:color w:val="000000" w:themeColor="text1"/>
          <w:sz w:val="28"/>
          <w:szCs w:val="28"/>
          <w:highlight w:val="none"/>
          <w14:textFill>
            <w14:solidFill>
              <w14:schemeClr w14:val="tx1"/>
            </w14:solidFill>
          </w14:textFill>
        </w:rPr>
        <w:t>出具布点图</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项目实施前提供系统技术方案</w:t>
      </w:r>
      <w:r>
        <w:rPr>
          <w:rFonts w:hint="eastAsia" w:ascii="仿宋" w:hAnsi="仿宋" w:eastAsia="仿宋" w:cs="仿宋"/>
          <w:color w:val="000000" w:themeColor="text1"/>
          <w:sz w:val="28"/>
          <w:szCs w:val="28"/>
          <w:highlight w:val="none"/>
          <w14:textFill>
            <w14:solidFill>
              <w14:schemeClr w14:val="tx1"/>
            </w14:solidFill>
          </w14:textFill>
        </w:rPr>
        <w:t>。</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2.综合布线,针对所需无线覆盖区域做网线拉通处理。主干光缆敷设：由综合楼网络机房沿电缆沟敷设一条48芯光缆至三期细格栅自控电房。分支光缆敷设：由三期细格栅自控电房分别敷设光缆至各片区终端机柜。</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3.无线设备安装,针对定好的无线点位,安装AP无线设备及片区终端网络机柜。</w:t>
      </w:r>
    </w:p>
    <w:p>
      <w:pPr>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4.网络进行联调测试，实现沥滘分公司地下空间的WIFI全面覆盖。</w:t>
      </w:r>
    </w:p>
    <w:p>
      <w:pPr>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六</w:t>
      </w:r>
      <w:r>
        <w:rPr>
          <w:rFonts w:hint="eastAsia" w:ascii="仿宋_GB2312" w:hAnsi="仿宋_GB2312" w:eastAsia="仿宋_GB2312" w:cs="仿宋_GB2312"/>
          <w:color w:val="000000" w:themeColor="text1"/>
          <w:sz w:val="28"/>
          <w:szCs w:val="28"/>
          <w14:textFill>
            <w14:solidFill>
              <w14:schemeClr w14:val="tx1"/>
            </w14:solidFill>
          </w14:textFill>
        </w:rPr>
        <w:t>、报价单位资格要求：</w:t>
      </w:r>
    </w:p>
    <w:p>
      <w:pPr>
        <w:autoSpaceDE w:val="0"/>
        <w:autoSpaceDN w:val="0"/>
        <w:ind w:firstLine="560" w:firstLineChars="200"/>
        <w:rPr>
          <w:rFonts w:ascii="仿宋_GB2312" w:hAnsi="仿宋_GB2312" w:eastAsia="仿宋_GB2312" w:cs="仿宋_GB2312"/>
          <w:sz w:val="28"/>
          <w:szCs w:val="28"/>
          <w:highlight w:val="none"/>
          <w:u w:val="single"/>
          <w:lang w:val="zh-CN"/>
        </w:rPr>
      </w:pPr>
      <w:r>
        <w:rPr>
          <w:rFonts w:ascii="仿宋" w:hAnsi="仿宋" w:eastAsia="仿宋" w:cs="仿宋_GB2312"/>
          <w:color w:val="000000" w:themeColor="text1"/>
          <w:sz w:val="28"/>
          <w:szCs w:val="28"/>
          <w:u w:val="single"/>
          <w14:textFill>
            <w14:solidFill>
              <w14:schemeClr w14:val="tx1"/>
            </w14:solidFill>
          </w14:textFill>
        </w:rPr>
        <w:t>1.</w:t>
      </w:r>
      <w:r>
        <w:rPr>
          <w:rFonts w:ascii="仿宋_GB2312" w:hAnsi="仿宋_GB2312" w:eastAsia="仿宋_GB2312" w:cs="仿宋_GB2312"/>
          <w:sz w:val="28"/>
          <w:szCs w:val="28"/>
          <w:u w:val="single"/>
          <w:lang w:val="zh-CN"/>
        </w:rPr>
        <w:t>报价单位须是在中华人民共和国境内注册的独立法人或其他组织，</w:t>
      </w:r>
      <w:r>
        <w:rPr>
          <w:rFonts w:hint="eastAsia" w:ascii="仿宋_GB2312" w:hAnsi="仿宋_GB2312" w:eastAsia="仿宋_GB2312" w:cs="仿宋_GB2312"/>
          <w:sz w:val="28"/>
          <w:szCs w:val="28"/>
          <w:u w:val="single"/>
          <w:lang w:val="en-US" w:eastAsia="zh-CN"/>
        </w:rPr>
        <w:t>具有独立法人资格，</w:t>
      </w:r>
      <w:r>
        <w:rPr>
          <w:rFonts w:ascii="仿宋_GB2312" w:hAnsi="仿宋_GB2312" w:eastAsia="仿宋_GB2312" w:cs="仿宋_GB2312"/>
          <w:sz w:val="28"/>
          <w:szCs w:val="28"/>
          <w:u w:val="single"/>
          <w:lang w:val="zh-CN"/>
        </w:rPr>
        <w:t>持有工</w:t>
      </w:r>
      <w:r>
        <w:rPr>
          <w:rFonts w:ascii="仿宋_GB2312" w:hAnsi="仿宋_GB2312" w:eastAsia="仿宋_GB2312" w:cs="仿宋_GB2312"/>
          <w:sz w:val="28"/>
          <w:szCs w:val="28"/>
          <w:highlight w:val="none"/>
          <w:u w:val="single"/>
          <w:lang w:val="zh-CN"/>
        </w:rPr>
        <w:t>商行政管理部门核发的营业执照，且能开具增值税发票</w:t>
      </w:r>
      <w:r>
        <w:rPr>
          <w:rFonts w:hint="eastAsia" w:ascii="仿宋_GB2312" w:hAnsi="仿宋_GB2312" w:eastAsia="仿宋_GB2312" w:cs="仿宋_GB2312"/>
          <w:sz w:val="28"/>
          <w:szCs w:val="28"/>
          <w:highlight w:val="none"/>
          <w:u w:val="single"/>
          <w:lang w:val="zh-CN"/>
        </w:rPr>
        <w:t>；</w:t>
      </w:r>
    </w:p>
    <w:p>
      <w:pPr>
        <w:autoSpaceDE w:val="0"/>
        <w:autoSpaceDN w:val="0"/>
        <w:ind w:firstLine="560" w:firstLineChars="200"/>
        <w:rPr>
          <w:rFonts w:hint="eastAsia" w:ascii="仿宋_GB2312" w:hAnsi="仿宋_GB2312" w:eastAsia="仿宋_GB2312" w:cs="仿宋_GB2312"/>
          <w:sz w:val="28"/>
          <w:szCs w:val="28"/>
          <w:highlight w:val="none"/>
          <w:u w:val="single"/>
        </w:rPr>
      </w:pPr>
      <w:r>
        <w:rPr>
          <w:rFonts w:hint="eastAsia" w:ascii="仿宋" w:hAnsi="仿宋" w:eastAsia="仿宋" w:cs="仿宋_GB2312"/>
          <w:color w:val="000000" w:themeColor="text1"/>
          <w:sz w:val="28"/>
          <w:szCs w:val="28"/>
          <w:highlight w:val="none"/>
          <w:u w:val="single"/>
          <w:lang w:val="hr-HR"/>
          <w14:textFill>
            <w14:solidFill>
              <w14:schemeClr w14:val="tx1"/>
            </w14:solidFill>
          </w14:textFill>
        </w:rPr>
        <w:t>2.</w:t>
      </w:r>
      <w:r>
        <w:rPr>
          <w:rFonts w:hint="eastAsia" w:ascii="仿宋_GB2312" w:hAnsi="仿宋_GB2312" w:eastAsia="仿宋_GB2312" w:cs="仿宋_GB2312"/>
          <w:sz w:val="28"/>
          <w:szCs w:val="28"/>
          <w:highlight w:val="none"/>
          <w:u w:val="single"/>
          <w:lang w:val="zh-CN"/>
        </w:rPr>
        <w:t>报价单位须</w:t>
      </w:r>
      <w:r>
        <w:rPr>
          <w:rFonts w:hint="eastAsia" w:ascii="仿宋_GB2312" w:hAnsi="仿宋_GB2312" w:eastAsia="仿宋_GB2312" w:cs="仿宋_GB2312"/>
          <w:sz w:val="28"/>
          <w:szCs w:val="28"/>
          <w:highlight w:val="none"/>
          <w:u w:val="single"/>
          <w:lang w:val="en-US" w:eastAsia="zh-CN"/>
        </w:rPr>
        <w:t>具有</w:t>
      </w:r>
      <w:r>
        <w:rPr>
          <w:rFonts w:hint="eastAsia" w:ascii="仿宋_GB2312" w:hAnsi="仿宋" w:eastAsia="仿宋_GB2312" w:cs="仿宋_GB2312"/>
          <w:color w:val="000000" w:themeColor="text1"/>
          <w:sz w:val="28"/>
          <w:szCs w:val="28"/>
          <w:highlight w:val="none"/>
          <w:u w:val="single"/>
          <w14:textFill>
            <w14:solidFill>
              <w14:schemeClr w14:val="tx1"/>
            </w14:solidFill>
          </w14:textFill>
        </w:rPr>
        <w:t>电子与智能化工程专业承包二级（或以上级别）资质</w:t>
      </w:r>
      <w:r>
        <w:rPr>
          <w:rFonts w:hint="eastAsia" w:ascii="仿宋_GB2312" w:hAnsi="仿宋_GB2312" w:eastAsia="仿宋_GB2312" w:cs="仿宋_GB2312"/>
          <w:sz w:val="28"/>
          <w:szCs w:val="28"/>
          <w:highlight w:val="none"/>
          <w:u w:val="single"/>
          <w:lang w:val="en-US" w:eastAsia="zh-CN"/>
        </w:rPr>
        <w:t>，</w:t>
      </w:r>
      <w:r>
        <w:rPr>
          <w:rFonts w:hint="eastAsia" w:ascii="仿宋_GB2312" w:hAnsi="仿宋" w:eastAsia="仿宋_GB2312" w:cs="仿宋_GB2312"/>
          <w:color w:val="000000" w:themeColor="text1"/>
          <w:sz w:val="28"/>
          <w:szCs w:val="28"/>
          <w:highlight w:val="none"/>
          <w:u w:val="single"/>
          <w14:textFill>
            <w14:solidFill>
              <w14:schemeClr w14:val="tx1"/>
            </w14:solidFill>
          </w14:textFill>
        </w:rPr>
        <w:t>具有建设主管部门颁发且在有效期内的《安全生产许可证》</w:t>
      </w:r>
      <w:r>
        <w:rPr>
          <w:rFonts w:hint="eastAsia" w:ascii="仿宋_GB2312" w:hAnsi="仿宋_GB2312" w:eastAsia="仿宋_GB2312" w:cs="仿宋_GB2312"/>
          <w:sz w:val="28"/>
          <w:szCs w:val="28"/>
          <w:highlight w:val="none"/>
          <w:u w:val="single"/>
          <w:lang w:val="zh-CN"/>
        </w:rPr>
        <w:t>。</w:t>
      </w:r>
      <w:r>
        <w:rPr>
          <w:rFonts w:hint="eastAsia" w:ascii="仿宋_GB2312" w:hAnsi="仿宋_GB2312" w:eastAsia="仿宋_GB2312" w:cs="仿宋_GB2312"/>
          <w:sz w:val="28"/>
          <w:szCs w:val="28"/>
          <w:highlight w:val="none"/>
          <w:u w:val="single"/>
        </w:rPr>
        <w:t>（需提供复印件，加盖单位公章）；</w:t>
      </w:r>
    </w:p>
    <w:p>
      <w:pPr>
        <w:autoSpaceDE w:val="0"/>
        <w:autoSpaceDN w:val="0"/>
        <w:ind w:firstLine="560" w:firstLineChars="200"/>
        <w:rPr>
          <w:rFonts w:hint="eastAsia" w:ascii="仿宋_GB2312" w:hAnsi="仿宋_GB2312" w:eastAsia="仿宋_GB2312" w:cs="仿宋_GB2312"/>
          <w:sz w:val="28"/>
          <w:szCs w:val="28"/>
          <w:highlight w:val="none"/>
          <w:u w:val="single"/>
          <w:lang w:val="zh-CN"/>
        </w:rPr>
      </w:pPr>
      <w:r>
        <w:rPr>
          <w:rFonts w:hint="eastAsia" w:ascii="仿宋_GB2312" w:hAnsi="仿宋" w:eastAsia="仿宋_GB2312" w:cs="仿宋_GB2312"/>
          <w:color w:val="000000" w:themeColor="text1"/>
          <w:sz w:val="28"/>
          <w:szCs w:val="28"/>
          <w:highlight w:val="none"/>
          <w:u w:val="single"/>
          <w:lang w:val="en-US" w:eastAsia="zh-CN"/>
          <w14:textFill>
            <w14:solidFill>
              <w14:schemeClr w14:val="tx1"/>
            </w14:solidFill>
          </w14:textFill>
        </w:rPr>
        <w:t>3.</w:t>
      </w:r>
      <w:r>
        <w:rPr>
          <w:rFonts w:ascii="仿宋_GB2312" w:hAnsi="仿宋" w:eastAsia="仿宋_GB2312" w:cs="仿宋_GB2312"/>
          <w:color w:val="000000" w:themeColor="text1"/>
          <w:sz w:val="28"/>
          <w:szCs w:val="28"/>
          <w:highlight w:val="none"/>
          <w:u w:val="single"/>
          <w14:textFill>
            <w14:solidFill>
              <w14:schemeClr w14:val="tx1"/>
            </w14:solidFill>
          </w14:textFill>
        </w:rPr>
        <w:t>报价单位拟担任本工程项目负责人的人员要求为：</w:t>
      </w:r>
      <w:r>
        <w:rPr>
          <w:rFonts w:hint="eastAsia" w:ascii="仿宋_GB2312" w:hAnsi="仿宋" w:eastAsia="仿宋_GB2312" w:cs="仿宋_GB2312"/>
          <w:color w:val="000000" w:themeColor="text1"/>
          <w:sz w:val="28"/>
          <w:szCs w:val="28"/>
          <w:highlight w:val="none"/>
          <w:u w:val="single"/>
          <w:lang w:val="en-US" w:eastAsia="zh-CN"/>
          <w14:textFill>
            <w14:solidFill>
              <w14:schemeClr w14:val="tx1"/>
            </w14:solidFill>
          </w14:textFill>
        </w:rPr>
        <w:t>机电专业</w:t>
      </w:r>
      <w:r>
        <w:rPr>
          <w:rFonts w:ascii="仿宋_GB2312" w:hAnsi="仿宋" w:eastAsia="仿宋_GB2312" w:cs="仿宋_GB2312"/>
          <w:color w:val="000000" w:themeColor="text1"/>
          <w:sz w:val="28"/>
          <w:szCs w:val="28"/>
          <w:highlight w:val="none"/>
          <w:u w:val="single"/>
          <w14:textFill>
            <w14:solidFill>
              <w14:schemeClr w14:val="tx1"/>
            </w14:solidFill>
          </w14:textFill>
        </w:rPr>
        <w:t>二级</w:t>
      </w:r>
      <w:r>
        <w:rPr>
          <w:rFonts w:hint="eastAsia" w:ascii="仿宋_GB2312" w:hAnsi="仿宋" w:eastAsia="仿宋_GB2312" w:cs="仿宋_GB2312"/>
          <w:color w:val="000000" w:themeColor="text1"/>
          <w:sz w:val="28"/>
          <w:szCs w:val="28"/>
          <w:highlight w:val="none"/>
          <w:u w:val="single"/>
          <w:lang w:eastAsia="zh-CN"/>
          <w14:textFill>
            <w14:solidFill>
              <w14:schemeClr w14:val="tx1"/>
            </w14:solidFill>
          </w14:textFill>
        </w:rPr>
        <w:t>（</w:t>
      </w:r>
      <w:r>
        <w:rPr>
          <w:rFonts w:ascii="仿宋_GB2312" w:hAnsi="仿宋" w:eastAsia="仿宋_GB2312" w:cs="仿宋_GB2312"/>
          <w:color w:val="000000" w:themeColor="text1"/>
          <w:sz w:val="28"/>
          <w:szCs w:val="28"/>
          <w:highlight w:val="none"/>
          <w:u w:val="single"/>
          <w14:textFill>
            <w14:solidFill>
              <w14:schemeClr w14:val="tx1"/>
            </w14:solidFill>
          </w14:textFill>
        </w:rPr>
        <w:t>或以上级别</w:t>
      </w:r>
      <w:r>
        <w:rPr>
          <w:rFonts w:hint="eastAsia" w:ascii="仿宋_GB2312" w:hAnsi="仿宋" w:eastAsia="仿宋_GB2312" w:cs="仿宋_GB2312"/>
          <w:color w:val="000000" w:themeColor="text1"/>
          <w:sz w:val="28"/>
          <w:szCs w:val="28"/>
          <w:highlight w:val="none"/>
          <w:u w:val="single"/>
          <w:lang w:eastAsia="zh-CN"/>
          <w14:textFill>
            <w14:solidFill>
              <w14:schemeClr w14:val="tx1"/>
            </w14:solidFill>
          </w14:textFill>
        </w:rPr>
        <w:t>）</w:t>
      </w:r>
      <w:r>
        <w:rPr>
          <w:rFonts w:ascii="仿宋_GB2312" w:hAnsi="仿宋" w:eastAsia="仿宋_GB2312" w:cs="仿宋_GB2312"/>
          <w:color w:val="000000" w:themeColor="text1"/>
          <w:sz w:val="28"/>
          <w:szCs w:val="28"/>
          <w:highlight w:val="none"/>
          <w:u w:val="single"/>
          <w14:textFill>
            <w14:solidFill>
              <w14:schemeClr w14:val="tx1"/>
            </w14:solidFill>
          </w14:textFill>
        </w:rPr>
        <w:t>的注册建造师（或具备符合粤建市〔2010〕26号文规定的小型项目负责人资格），</w:t>
      </w:r>
      <w:r>
        <w:rPr>
          <w:rFonts w:hint="eastAsia" w:ascii="仿宋_GB2312" w:hAnsi="仿宋" w:eastAsia="仿宋_GB2312" w:cs="仿宋_GB2312"/>
          <w:color w:val="000000" w:themeColor="text1"/>
          <w:sz w:val="28"/>
          <w:szCs w:val="28"/>
          <w:highlight w:val="none"/>
          <w:u w:val="single"/>
          <w:lang w:val="en-US" w:eastAsia="zh-CN"/>
          <w14:textFill>
            <w14:solidFill>
              <w14:schemeClr w14:val="tx1"/>
            </w14:solidFill>
          </w14:textFill>
        </w:rPr>
        <w:t>同时</w:t>
      </w:r>
      <w:r>
        <w:rPr>
          <w:rFonts w:ascii="仿宋_GB2312" w:hAnsi="仿宋" w:eastAsia="仿宋_GB2312" w:cs="仿宋_GB2312"/>
          <w:color w:val="000000" w:themeColor="text1"/>
          <w:sz w:val="28"/>
          <w:szCs w:val="28"/>
          <w:highlight w:val="none"/>
          <w:u w:val="single"/>
          <w14:textFill>
            <w14:solidFill>
              <w14:schemeClr w14:val="tx1"/>
            </w14:solidFill>
          </w14:textFill>
        </w:rPr>
        <w:t>持有项目负责人安全生产考核合格证（B）类；专职安全人员须具有安全生产考核合格证（C类），项目负责人与专职安全人员不为同一人。</w:t>
      </w:r>
    </w:p>
    <w:p>
      <w:pPr>
        <w:autoSpaceDE w:val="0"/>
        <w:autoSpaceDN w:val="0"/>
        <w:ind w:firstLine="560" w:firstLineChars="200"/>
        <w:rPr>
          <w:rFonts w:ascii="仿宋" w:hAnsi="仿宋" w:eastAsia="仿宋" w:cs="仿宋_GB2312"/>
          <w:color w:val="000000" w:themeColor="text1"/>
          <w:sz w:val="28"/>
          <w:szCs w:val="28"/>
          <w:highlight w:val="none"/>
          <w:u w:val="single"/>
          <w:lang w:val="zh-CN"/>
          <w14:textFill>
            <w14:solidFill>
              <w14:schemeClr w14:val="tx1"/>
            </w14:solidFill>
          </w14:textFill>
        </w:rPr>
      </w:pPr>
      <w:r>
        <w:rPr>
          <w:rFonts w:hint="eastAsia" w:ascii="仿宋" w:hAnsi="仿宋" w:eastAsia="仿宋" w:cs="仿宋_GB2312"/>
          <w:color w:val="000000" w:themeColor="text1"/>
          <w:sz w:val="28"/>
          <w:szCs w:val="28"/>
          <w:highlight w:val="none"/>
          <w:u w:val="single"/>
          <w:lang w:val="en-US" w:eastAsia="zh-CN"/>
          <w14:textFill>
            <w14:solidFill>
              <w14:schemeClr w14:val="tx1"/>
            </w14:solidFill>
          </w14:textFill>
        </w:rPr>
        <w:t>4</w:t>
      </w:r>
      <w:r>
        <w:rPr>
          <w:rFonts w:ascii="仿宋" w:hAnsi="仿宋" w:eastAsia="仿宋" w:cs="仿宋_GB2312"/>
          <w:color w:val="000000" w:themeColor="text1"/>
          <w:sz w:val="28"/>
          <w:szCs w:val="28"/>
          <w:highlight w:val="none"/>
          <w:u w:val="single"/>
          <w14:textFill>
            <w14:solidFill>
              <w14:schemeClr w14:val="tx1"/>
            </w14:solidFill>
          </w14:textFill>
        </w:rPr>
        <w:t>.</w:t>
      </w:r>
      <w:r>
        <w:rPr>
          <w:rFonts w:hint="eastAsia" w:ascii="仿宋_GB2312" w:hAnsi="仿宋_GB2312" w:eastAsia="仿宋_GB2312" w:cs="仿宋_GB2312"/>
          <w:sz w:val="28"/>
          <w:szCs w:val="28"/>
          <w:highlight w:val="none"/>
          <w:u w:val="single"/>
          <w:lang w:val="zh-CN"/>
        </w:rPr>
        <w:t xml:space="preserve"> </w:t>
      </w:r>
      <w:r>
        <w:rPr>
          <w:rFonts w:hint="eastAsia" w:ascii="仿宋_GB2312" w:hAnsi="仿宋_GB2312" w:eastAsia="仿宋_GB2312" w:cs="仿宋_GB2312"/>
          <w:color w:val="000000" w:themeColor="text1"/>
          <w:sz w:val="28"/>
          <w:szCs w:val="28"/>
          <w:highlight w:val="none"/>
          <w:u w:val="single"/>
          <w14:textFill>
            <w14:solidFill>
              <w14:schemeClr w14:val="tx1"/>
            </w14:solidFill>
          </w14:textFill>
        </w:rPr>
        <w:t>2018年1月1日至今</w:t>
      </w:r>
      <w:r>
        <w:rPr>
          <w:rFonts w:hint="eastAsia" w:ascii="仿宋" w:hAnsi="仿宋" w:eastAsia="仿宋" w:cs="仿宋_GB2312"/>
          <w:color w:val="000000" w:themeColor="text1"/>
          <w:sz w:val="28"/>
          <w:szCs w:val="28"/>
          <w:highlight w:val="none"/>
          <w:u w:val="single"/>
          <w:lang w:val="zh-CN"/>
          <w14:textFill>
            <w14:solidFill>
              <w14:schemeClr w14:val="tx1"/>
            </w14:solidFill>
          </w14:textFill>
        </w:rPr>
        <w:t>，</w:t>
      </w:r>
      <w:r>
        <w:rPr>
          <w:rFonts w:ascii="仿宋_GB2312" w:hAnsi="仿宋" w:eastAsia="仿宋_GB2312" w:cs="仿宋_GB2312"/>
          <w:color w:val="000000" w:themeColor="text1"/>
          <w:sz w:val="28"/>
          <w:szCs w:val="28"/>
          <w:highlight w:val="none"/>
          <w:u w:val="single"/>
          <w14:textFill>
            <w14:solidFill>
              <w14:schemeClr w14:val="tx1"/>
            </w14:solidFill>
          </w14:textFill>
        </w:rPr>
        <w:t>最少具有一项</w:t>
      </w:r>
      <w:r>
        <w:rPr>
          <w:rFonts w:hint="eastAsia" w:ascii="仿宋_GB2312" w:hAnsi="仿宋" w:eastAsia="仿宋_GB2312" w:cs="仿宋_GB2312"/>
          <w:color w:val="000000" w:themeColor="text1"/>
          <w:sz w:val="28"/>
          <w:szCs w:val="28"/>
          <w:highlight w:val="none"/>
          <w:u w:val="single"/>
          <w14:textFill>
            <w14:solidFill>
              <w14:schemeClr w14:val="tx1"/>
            </w14:solidFill>
          </w14:textFill>
        </w:rPr>
        <w:t>类似</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无线网络建设</w:t>
      </w:r>
      <w:r>
        <w:rPr>
          <w:rFonts w:hint="eastAsia" w:ascii="仿宋_GB2312" w:hAnsi="仿宋" w:eastAsia="仿宋_GB2312" w:cs="仿宋_GB2312"/>
          <w:color w:val="000000" w:themeColor="text1"/>
          <w:sz w:val="28"/>
          <w:szCs w:val="28"/>
          <w:highlight w:val="none"/>
          <w:u w:val="single"/>
          <w14:textFill>
            <w14:solidFill>
              <w14:schemeClr w14:val="tx1"/>
            </w14:solidFill>
          </w14:textFill>
        </w:rPr>
        <w:t>工程项目</w:t>
      </w:r>
      <w:r>
        <w:rPr>
          <w:rFonts w:hint="eastAsia" w:ascii="仿宋_GB2312" w:hAnsi="仿宋_GB2312" w:eastAsia="仿宋_GB2312" w:cs="仿宋_GB2312"/>
          <w:sz w:val="28"/>
          <w:szCs w:val="28"/>
          <w:highlight w:val="none"/>
          <w:u w:val="single"/>
          <w:lang w:val="zh-CN"/>
        </w:rPr>
        <w:t>业绩（提供合同复印件证明，包括但不限于项目名称、金额及实施内容、合同双方签字盖章、签订日期、</w:t>
      </w:r>
      <w:r>
        <w:rPr>
          <w:rFonts w:hint="eastAsia" w:ascii="仿宋_GB2312" w:hAnsi="仿宋_GB2312" w:eastAsia="仿宋_GB2312" w:cs="仿宋_GB2312"/>
          <w:sz w:val="28"/>
          <w:szCs w:val="28"/>
          <w:highlight w:val="none"/>
          <w:u w:val="single"/>
          <w:lang w:val="en-US" w:eastAsia="zh-CN"/>
        </w:rPr>
        <w:t>验收报告</w:t>
      </w:r>
      <w:r>
        <w:rPr>
          <w:rFonts w:hint="eastAsia" w:ascii="仿宋_GB2312" w:hAnsi="仿宋_GB2312" w:eastAsia="仿宋_GB2312" w:cs="仿宋_GB2312"/>
          <w:sz w:val="28"/>
          <w:szCs w:val="28"/>
          <w:highlight w:val="none"/>
          <w:u w:val="single"/>
          <w:lang w:val="zh-CN"/>
        </w:rPr>
        <w:t>，并加盖单位公章）</w:t>
      </w:r>
      <w:r>
        <w:rPr>
          <w:rFonts w:hint="eastAsia" w:ascii="仿宋" w:hAnsi="仿宋" w:eastAsia="仿宋" w:cs="仿宋_GB2312"/>
          <w:color w:val="000000" w:themeColor="text1"/>
          <w:sz w:val="28"/>
          <w:szCs w:val="28"/>
          <w:highlight w:val="none"/>
          <w:u w:val="single"/>
          <w:lang w:val="zh-CN"/>
          <w14:textFill>
            <w14:solidFill>
              <w14:schemeClr w14:val="tx1"/>
            </w14:solidFill>
          </w14:textFill>
        </w:rPr>
        <w:t>；</w:t>
      </w:r>
    </w:p>
    <w:p>
      <w:pPr>
        <w:pStyle w:val="46"/>
        <w:autoSpaceDE w:val="0"/>
        <w:autoSpaceDN w:val="0"/>
        <w:ind w:firstLine="560" w:firstLineChars="0"/>
        <w:jc w:val="left"/>
        <w:rPr>
          <w:rFonts w:hint="default"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u w:val="single"/>
          <w:lang w:val="en-US" w:eastAsia="zh-CN"/>
        </w:rPr>
        <w:t>5.</w:t>
      </w:r>
      <w:r>
        <w:rPr>
          <w:rFonts w:hint="eastAsia" w:ascii="仿宋_GB2312" w:hAnsi="仿宋_GB2312" w:eastAsia="仿宋_GB2312" w:cs="仿宋_GB2312"/>
          <w:color w:val="000000"/>
          <w:kern w:val="0"/>
          <w:sz w:val="28"/>
          <w:szCs w:val="28"/>
          <w:u w:val="single"/>
          <w:lang w:val="zh-CN"/>
        </w:rPr>
        <w:t>报价单位</w:t>
      </w:r>
      <w:r>
        <w:rPr>
          <w:rFonts w:hint="eastAsia" w:ascii="仿宋_GB2312" w:hAnsi="仿宋_GB2312" w:eastAsia="仿宋_GB2312" w:cs="仿宋_GB2312"/>
          <w:color w:val="000000"/>
          <w:kern w:val="0"/>
          <w:sz w:val="28"/>
          <w:szCs w:val="28"/>
          <w:u w:val="single"/>
          <w:lang w:val="en-US" w:eastAsia="zh-CN"/>
        </w:rPr>
        <w:t>未被列入“信用中国”网站(www.creditchina.gov.cn)记录失信被执行人或重大税收违法案件当事人名单，供应商须附“信用中国”网站（www.creditchina.gov.cn）的信用记录查询结果截图并打印页面加盖公章。</w:t>
      </w:r>
    </w:p>
    <w:p>
      <w:pPr>
        <w:numPr>
          <w:ilvl w:val="0"/>
          <w:numId w:val="1"/>
        </w:numPr>
        <w:ind w:firstLine="588" w:firstLineChars="21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现场踏勘(答疑会)时间、地点：</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本</w:t>
      </w:r>
      <w:r>
        <w:rPr>
          <w:rFonts w:hint="eastAsia" w:ascii="仿宋_GB2312" w:hAnsi="仿宋_GB2312" w:eastAsia="仿宋_GB2312" w:cs="仿宋_GB2312"/>
          <w:color w:val="000000" w:themeColor="text1"/>
          <w:sz w:val="28"/>
          <w:szCs w:val="28"/>
          <w14:textFill>
            <w14:solidFill>
              <w14:schemeClr w14:val="tx1"/>
            </w14:solidFill>
          </w14:textFill>
        </w:rPr>
        <w:t>项目须在提交响应文件前进行现场踏勘，未进行现场踏勘的，报价一律视为无效报价，提交报价响应文件时需附上现场踏勘委派书（需求单位及报价单位均需盖章，详见附件）。</w:t>
      </w:r>
    </w:p>
    <w:p>
      <w:pPr>
        <w:numPr>
          <w:ilvl w:val="0"/>
          <w:numId w:val="2"/>
        </w:numPr>
        <w:ind w:left="441" w:leftChars="210"/>
        <w:rPr>
          <w:rFonts w:hint="eastAsia" w:ascii="仿宋" w:hAnsi="仿宋" w:eastAsia="仿宋" w:cs="仿宋"/>
          <w:color w:val="auto"/>
          <w:sz w:val="28"/>
          <w:szCs w:val="28"/>
          <w:highlight w:val="none"/>
          <w:u w:val="none"/>
          <w:lang w:val="en-US" w:eastAsia="zh-CN"/>
        </w:rPr>
      </w:pPr>
      <w:r>
        <w:rPr>
          <w:rFonts w:hint="eastAsia" w:ascii="仿宋_GB2312" w:hAnsi="仿宋_GB2312" w:eastAsia="仿宋_GB2312" w:cs="仿宋_GB2312"/>
          <w:color w:val="000000" w:themeColor="text1"/>
          <w:sz w:val="28"/>
          <w:szCs w:val="28"/>
          <w14:textFill>
            <w14:solidFill>
              <w14:schemeClr w14:val="tx1"/>
            </w14:solidFill>
          </w14:textFill>
        </w:rPr>
        <w:t>现场踏勘(答疑会)集合时间：</w:t>
      </w:r>
      <w:r>
        <w:rPr>
          <w:rFonts w:hint="eastAsia" w:ascii="仿宋" w:hAnsi="仿宋" w:eastAsia="仿宋" w:cs="仿宋"/>
          <w:color w:val="auto"/>
          <w:sz w:val="28"/>
          <w:szCs w:val="28"/>
          <w:highlight w:val="none"/>
          <w:lang w:val="en-US" w:eastAsia="zh-CN"/>
        </w:rPr>
        <w:t>2021年10月9日</w:t>
      </w:r>
      <w:r>
        <w:rPr>
          <w:rFonts w:hint="eastAsia" w:ascii="仿宋" w:hAnsi="仿宋" w:eastAsia="仿宋" w:cs="仿宋"/>
          <w:color w:val="auto"/>
          <w:sz w:val="28"/>
          <w:szCs w:val="28"/>
          <w:highlight w:val="none"/>
          <w:u w:val="none"/>
          <w:lang w:val="en-US" w:eastAsia="zh-CN"/>
        </w:rPr>
        <w:t xml:space="preserve"> 9</w:t>
      </w:r>
      <w:r>
        <w:rPr>
          <w:rFonts w:hint="eastAsia" w:ascii="仿宋" w:hAnsi="仿宋" w:eastAsia="仿宋" w:cs="仿宋"/>
          <w:color w:val="auto"/>
          <w:sz w:val="28"/>
          <w:szCs w:val="28"/>
          <w:highlight w:val="none"/>
          <w:u w:val="none"/>
        </w:rPr>
        <w:t>时</w:t>
      </w:r>
      <w:r>
        <w:rPr>
          <w:rFonts w:hint="eastAsia" w:ascii="仿宋" w:hAnsi="仿宋" w:eastAsia="仿宋" w:cs="仿宋"/>
          <w:color w:val="auto"/>
          <w:sz w:val="28"/>
          <w:szCs w:val="28"/>
          <w:highlight w:val="none"/>
          <w:u w:val="none"/>
          <w:lang w:val="en-US" w:eastAsia="zh-CN"/>
        </w:rPr>
        <w:t>30</w:t>
      </w:r>
      <w:r>
        <w:rPr>
          <w:rFonts w:hint="eastAsia" w:ascii="仿宋" w:hAnsi="仿宋" w:eastAsia="仿宋" w:cs="仿宋"/>
          <w:color w:val="auto"/>
          <w:sz w:val="28"/>
          <w:szCs w:val="28"/>
          <w:highlight w:val="none"/>
          <w:u w:val="none"/>
        </w:rPr>
        <w:t>分至</w:t>
      </w:r>
      <w:r>
        <w:rPr>
          <w:rFonts w:hint="eastAsia" w:ascii="仿宋" w:hAnsi="仿宋" w:eastAsia="仿宋" w:cs="仿宋"/>
          <w:color w:val="auto"/>
          <w:sz w:val="28"/>
          <w:szCs w:val="28"/>
          <w:highlight w:val="none"/>
          <w:u w:val="none"/>
          <w:lang w:val="en-US" w:eastAsia="zh-CN"/>
        </w:rPr>
        <w:t>10</w:t>
      </w:r>
      <w:r>
        <w:rPr>
          <w:rFonts w:hint="eastAsia" w:ascii="仿宋" w:hAnsi="仿宋" w:eastAsia="仿宋" w:cs="仿宋"/>
          <w:color w:val="auto"/>
          <w:sz w:val="28"/>
          <w:szCs w:val="28"/>
          <w:highlight w:val="none"/>
          <w:u w:val="none"/>
        </w:rPr>
        <w:t>时</w:t>
      </w:r>
      <w:r>
        <w:rPr>
          <w:rFonts w:hint="eastAsia" w:ascii="仿宋" w:hAnsi="仿宋" w:eastAsia="仿宋" w:cs="仿宋"/>
          <w:color w:val="auto"/>
          <w:sz w:val="28"/>
          <w:szCs w:val="28"/>
          <w:highlight w:val="none"/>
          <w:u w:val="none"/>
          <w:lang w:val="en-US" w:eastAsia="zh-CN"/>
        </w:rPr>
        <w:t>00</w:t>
      </w:r>
    </w:p>
    <w:p>
      <w:pPr>
        <w:numPr>
          <w:ilvl w:val="0"/>
          <w:numId w:val="0"/>
        </w:num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 w:hAnsi="仿宋" w:eastAsia="仿宋" w:cs="仿宋"/>
          <w:color w:val="auto"/>
          <w:sz w:val="28"/>
          <w:szCs w:val="28"/>
          <w:highlight w:val="none"/>
          <w:u w:val="none"/>
        </w:rPr>
        <w:t>分整，逾时不再接待。</w:t>
      </w:r>
    </w:p>
    <w:p>
      <w:pPr>
        <w:numPr>
          <w:ilvl w:val="255"/>
          <w:numId w:val="0"/>
        </w:numPr>
        <w:ind w:left="441" w:leftChars="210"/>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 现场踏勘(答疑会)集合地点：广州市净水有限公司沥滘分公司</w:t>
      </w:r>
      <w:r>
        <w:rPr>
          <w:rFonts w:hint="eastAsia" w:ascii="仿宋_GB2312" w:hAnsi="仿宋_GB2312" w:eastAsia="仿宋_GB2312" w:cs="仿宋_GB2312"/>
          <w:color w:val="000000" w:themeColor="text1"/>
          <w:kern w:val="0"/>
          <w:sz w:val="28"/>
          <w:szCs w:val="28"/>
          <w14:textFill>
            <w14:solidFill>
              <w14:schemeClr w14:val="tx1"/>
            </w14:solidFill>
          </w14:textFill>
        </w:rPr>
        <w:t>广州市</w:t>
      </w:r>
    </w:p>
    <w:p>
      <w:pPr>
        <w:numPr>
          <w:ilvl w:val="255"/>
          <w:numId w:val="0"/>
        </w:numP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海珠区南洲路1375号</w:t>
      </w:r>
      <w:r>
        <w:rPr>
          <w:rFonts w:hint="eastAsia" w:ascii="仿宋_GB2312" w:hAnsi="仿宋_GB2312" w:eastAsia="仿宋_GB2312" w:cs="仿宋_GB2312"/>
          <w:color w:val="000000" w:themeColor="text1"/>
          <w:kern w:val="0"/>
          <w:sz w:val="28"/>
          <w:szCs w:val="28"/>
          <w:lang w:eastAsia="zh-CN"/>
          <w14:textFill>
            <w14:solidFill>
              <w14:schemeClr w14:val="tx1"/>
            </w14:solidFill>
          </w14:textFill>
        </w:rPr>
        <w:t>。</w:t>
      </w:r>
    </w:p>
    <w:p>
      <w:pPr>
        <w:numPr>
          <w:ilvl w:val="0"/>
          <w:numId w:val="0"/>
        </w:numPr>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auto"/>
          <w:sz w:val="28"/>
          <w:szCs w:val="28"/>
          <w:lang w:val="en-US" w:eastAsia="zh-CN"/>
        </w:rPr>
        <w:t>八、</w:t>
      </w:r>
      <w:r>
        <w:rPr>
          <w:rFonts w:hint="eastAsia" w:ascii="仿宋_GB2312" w:hAnsi="仿宋_GB2312" w:eastAsia="仿宋_GB2312" w:cs="仿宋_GB2312"/>
          <w:color w:val="000000" w:themeColor="text1"/>
          <w:sz w:val="28"/>
          <w:szCs w:val="28"/>
          <w14:textFill>
            <w14:solidFill>
              <w14:schemeClr w14:val="tx1"/>
            </w14:solidFill>
          </w14:textFill>
        </w:rPr>
        <w:t>询价文件的获取：</w:t>
      </w:r>
      <w:r>
        <w:rPr>
          <w:rFonts w:hint="eastAsia" w:ascii="仿宋_GB2312" w:hAnsi="仿宋_GB2312" w:eastAsia="仿宋_GB2312" w:cs="仿宋_GB2312"/>
          <w:color w:val="auto"/>
          <w:sz w:val="28"/>
          <w:szCs w:val="28"/>
        </w:rPr>
        <w:t>在</w:t>
      </w:r>
      <w:r>
        <w:rPr>
          <w:rFonts w:hint="eastAsia" w:ascii="仿宋_GB2312" w:hAnsi="仿宋_GB2312" w:eastAsia="仿宋_GB2312" w:cs="仿宋_GB2312"/>
          <w:color w:val="auto"/>
          <w:sz w:val="28"/>
          <w:szCs w:val="28"/>
          <w:lang w:val="en-US" w:eastAsia="zh-CN"/>
        </w:rPr>
        <w:t>2021</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12</w:t>
      </w:r>
      <w:r>
        <w:rPr>
          <w:rFonts w:hint="eastAsia" w:ascii="仿宋_GB2312" w:hAnsi="仿宋_GB2312" w:eastAsia="仿宋_GB2312" w:cs="仿宋_GB2312"/>
          <w:color w:val="auto"/>
          <w:sz w:val="28"/>
          <w:szCs w:val="28"/>
        </w:rPr>
        <w:t>日</w:t>
      </w: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时</w:t>
      </w:r>
      <w:r>
        <w:rPr>
          <w:rFonts w:hint="eastAsia" w:ascii="仿宋_GB2312" w:hAnsi="仿宋_GB2312" w:eastAsia="仿宋_GB2312" w:cs="仿宋_GB2312"/>
          <w:color w:val="auto"/>
          <w:sz w:val="28"/>
          <w:szCs w:val="28"/>
          <w:lang w:val="en-US" w:eastAsia="zh-CN"/>
        </w:rPr>
        <w:t>00</w:t>
      </w:r>
      <w:r>
        <w:rPr>
          <w:rFonts w:hint="eastAsia" w:ascii="仿宋_GB2312" w:hAnsi="仿宋_GB2312" w:eastAsia="仿宋_GB2312" w:cs="仿宋_GB2312"/>
          <w:color w:val="auto"/>
          <w:sz w:val="28"/>
          <w:szCs w:val="28"/>
        </w:rPr>
        <w:t>分前，</w:t>
      </w:r>
      <w:r>
        <w:rPr>
          <w:rFonts w:hint="eastAsia" w:ascii="仿宋_GB2312" w:hAnsi="仿宋_GB2312" w:eastAsia="仿宋_GB2312" w:cs="仿宋_GB2312"/>
          <w:color w:val="000000" w:themeColor="text1"/>
          <w:sz w:val="28"/>
          <w:szCs w:val="28"/>
          <w14:textFill>
            <w14:solidFill>
              <w14:schemeClr w14:val="tx1"/>
            </w14:solidFill>
          </w14:textFill>
        </w:rPr>
        <w:t>在广州市净水有限公司门户网站免费下载。</w:t>
      </w:r>
    </w:p>
    <w:p>
      <w:pPr>
        <w:ind w:firstLine="588" w:firstLineChars="21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九、询价响应文件递交时间：</w:t>
      </w:r>
      <w:r>
        <w:rPr>
          <w:rFonts w:hint="eastAsia" w:ascii="仿宋_GB2312" w:hAnsi="仿宋_GB2312" w:eastAsia="仿宋_GB2312" w:cs="仿宋_GB2312"/>
          <w:color w:val="000000" w:themeColor="text1"/>
          <w:sz w:val="28"/>
          <w:szCs w:val="28"/>
          <w:highlight w:val="none"/>
          <w14:textFill>
            <w14:solidFill>
              <w14:schemeClr w14:val="tx1"/>
            </w14:solidFill>
          </w14:textFill>
        </w:rPr>
        <w:t>2021年</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10</w:t>
      </w:r>
      <w:r>
        <w:rPr>
          <w:rFonts w:hint="eastAsia" w:ascii="仿宋_GB2312" w:hAnsi="仿宋_GB2312" w:eastAsia="仿宋_GB2312" w:cs="仿宋_GB2312"/>
          <w:color w:val="000000" w:themeColor="text1"/>
          <w:sz w:val="28"/>
          <w:szCs w:val="28"/>
          <w:highlight w:val="none"/>
          <w14:textFill>
            <w14:solidFill>
              <w14:schemeClr w14:val="tx1"/>
            </w14:solidFill>
          </w14:textFill>
        </w:rPr>
        <w:t>月</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12</w:t>
      </w:r>
      <w:r>
        <w:rPr>
          <w:rFonts w:hint="eastAsia" w:ascii="仿宋_GB2312" w:hAnsi="仿宋_GB2312" w:eastAsia="仿宋_GB2312" w:cs="仿宋_GB2312"/>
          <w:color w:val="000000" w:themeColor="text1"/>
          <w:sz w:val="28"/>
          <w:szCs w:val="28"/>
          <w:highlight w:val="none"/>
          <w14:textFill>
            <w14:solidFill>
              <w14:schemeClr w14:val="tx1"/>
            </w14:solidFill>
          </w14:textFill>
        </w:rPr>
        <w:t>日</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9</w:t>
      </w:r>
      <w:r>
        <w:rPr>
          <w:rFonts w:hint="eastAsia" w:ascii="仿宋_GB2312" w:hAnsi="仿宋_GB2312" w:eastAsia="仿宋_GB2312" w:cs="仿宋_GB2312"/>
          <w:color w:val="000000" w:themeColor="text1"/>
          <w:sz w:val="28"/>
          <w:szCs w:val="28"/>
          <w:highlight w:val="none"/>
          <w14:textFill>
            <w14:solidFill>
              <w14:schemeClr w14:val="tx1"/>
            </w14:solidFill>
          </w14:textFill>
        </w:rPr>
        <w:t>时</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30</w:t>
      </w:r>
      <w:r>
        <w:rPr>
          <w:rFonts w:hint="eastAsia" w:ascii="仿宋_GB2312" w:hAnsi="仿宋_GB2312" w:eastAsia="仿宋_GB2312" w:cs="仿宋_GB2312"/>
          <w:color w:val="000000" w:themeColor="text1"/>
          <w:sz w:val="28"/>
          <w:szCs w:val="28"/>
          <w:highlight w:val="none"/>
          <w14:textFill>
            <w14:solidFill>
              <w14:schemeClr w14:val="tx1"/>
            </w14:solidFill>
          </w14:textFill>
        </w:rPr>
        <w:t>分至</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10</w:t>
      </w:r>
      <w:r>
        <w:rPr>
          <w:rFonts w:hint="eastAsia" w:ascii="仿宋_GB2312" w:hAnsi="仿宋_GB2312" w:eastAsia="仿宋_GB2312" w:cs="仿宋_GB2312"/>
          <w:color w:val="000000" w:themeColor="text1"/>
          <w:sz w:val="28"/>
          <w:szCs w:val="28"/>
          <w:highlight w:val="none"/>
          <w14:textFill>
            <w14:solidFill>
              <w14:schemeClr w14:val="tx1"/>
            </w14:solidFill>
          </w14:textFill>
        </w:rPr>
        <w:t>时</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00</w:t>
      </w:r>
      <w:r>
        <w:rPr>
          <w:rFonts w:hint="eastAsia" w:ascii="仿宋_GB2312" w:hAnsi="仿宋_GB2312" w:eastAsia="仿宋_GB2312" w:cs="仿宋_GB2312"/>
          <w:color w:val="000000" w:themeColor="text1"/>
          <w:sz w:val="28"/>
          <w:szCs w:val="28"/>
          <w:highlight w:val="none"/>
          <w14:textFill>
            <w14:solidFill>
              <w14:schemeClr w14:val="tx1"/>
            </w14:solidFill>
          </w14:textFill>
        </w:rPr>
        <w:t>分；询价响应文件递交截止时间：2021年</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10</w:t>
      </w:r>
      <w:r>
        <w:rPr>
          <w:rFonts w:hint="eastAsia" w:ascii="仿宋_GB2312" w:hAnsi="仿宋_GB2312" w:eastAsia="仿宋_GB2312" w:cs="仿宋_GB2312"/>
          <w:color w:val="000000" w:themeColor="text1"/>
          <w:sz w:val="28"/>
          <w:szCs w:val="28"/>
          <w:highlight w:val="none"/>
          <w14:textFill>
            <w14:solidFill>
              <w14:schemeClr w14:val="tx1"/>
            </w14:solidFill>
          </w14:textFill>
        </w:rPr>
        <w:t>月</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12</w:t>
      </w:r>
      <w:r>
        <w:rPr>
          <w:rFonts w:hint="eastAsia" w:ascii="仿宋_GB2312" w:hAnsi="仿宋_GB2312" w:eastAsia="仿宋_GB2312" w:cs="仿宋_GB2312"/>
          <w:color w:val="000000" w:themeColor="text1"/>
          <w:sz w:val="28"/>
          <w:szCs w:val="28"/>
          <w:highlight w:val="none"/>
          <w14:textFill>
            <w14:solidFill>
              <w14:schemeClr w14:val="tx1"/>
            </w14:solidFill>
          </w14:textFill>
        </w:rPr>
        <w:t>日</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10</w:t>
      </w:r>
      <w:r>
        <w:rPr>
          <w:rFonts w:hint="eastAsia" w:ascii="仿宋_GB2312" w:hAnsi="仿宋_GB2312" w:eastAsia="仿宋_GB2312" w:cs="仿宋_GB2312"/>
          <w:color w:val="000000" w:themeColor="text1"/>
          <w:sz w:val="28"/>
          <w:szCs w:val="28"/>
          <w:highlight w:val="none"/>
          <w14:textFill>
            <w14:solidFill>
              <w14:schemeClr w14:val="tx1"/>
            </w14:solidFill>
          </w14:textFill>
        </w:rPr>
        <w:t>时</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00</w:t>
      </w:r>
      <w:r>
        <w:rPr>
          <w:rFonts w:hint="eastAsia" w:ascii="仿宋_GB2312" w:hAnsi="仿宋_GB2312" w:eastAsia="仿宋_GB2312" w:cs="仿宋_GB2312"/>
          <w:color w:val="000000" w:themeColor="text1"/>
          <w:sz w:val="28"/>
          <w:szCs w:val="28"/>
          <w:highlight w:val="none"/>
          <w14:textFill>
            <w14:solidFill>
              <w14:schemeClr w14:val="tx1"/>
            </w14:solidFill>
          </w14:textFill>
        </w:rPr>
        <w:t>分。</w:t>
      </w:r>
      <w:r>
        <w:rPr>
          <w:rFonts w:hint="eastAsia" w:ascii="仿宋_GB2312" w:hAnsi="仿宋_GB2312" w:eastAsia="仿宋_GB2312" w:cs="仿宋_GB2312"/>
          <w:color w:val="auto"/>
          <w:sz w:val="28"/>
          <w:szCs w:val="28"/>
          <w:u w:val="none"/>
        </w:rPr>
        <w:t>递交响应文件时须提供授权委托人身份证原件备查。</w:t>
      </w:r>
    </w:p>
    <w:p>
      <w:pPr>
        <w:ind w:firstLine="588" w:firstLineChars="210"/>
        <w:rPr>
          <w:rFonts w:ascii="仿宋_GB2312" w:hAnsi="仿宋_GB2312" w:eastAsia="仿宋_GB2312" w:cs="仿宋_GB2312"/>
          <w:color w:val="auto"/>
          <w:sz w:val="28"/>
          <w:szCs w:val="28"/>
        </w:rPr>
      </w:pPr>
      <w:r>
        <w:rPr>
          <w:rFonts w:hint="eastAsia" w:ascii="仿宋_GB2312" w:hAnsi="仿宋_GB2312" w:eastAsia="仿宋_GB2312" w:cs="仿宋_GB2312"/>
          <w:color w:val="000000" w:themeColor="text1"/>
          <w:sz w:val="28"/>
          <w:szCs w:val="28"/>
          <w14:textFill>
            <w14:solidFill>
              <w14:schemeClr w14:val="tx1"/>
            </w14:solidFill>
          </w14:textFill>
        </w:rPr>
        <w:t>十、</w:t>
      </w:r>
      <w:r>
        <w:rPr>
          <w:rFonts w:hint="eastAsia" w:ascii="仿宋" w:hAnsi="仿宋" w:eastAsia="仿宋" w:cs="仿宋_GB2312"/>
          <w:sz w:val="28"/>
          <w:szCs w:val="28"/>
        </w:rPr>
        <w:t>询价响应文件送达地点：</w:t>
      </w:r>
      <w:r>
        <w:rPr>
          <w:rFonts w:hint="eastAsia" w:ascii="仿宋_GB2312" w:hAnsi="仿宋_GB2312" w:eastAsia="仿宋_GB2312" w:cs="仿宋_GB2312"/>
          <w:color w:val="000000" w:themeColor="text1"/>
          <w:sz w:val="28"/>
          <w:szCs w:val="28"/>
          <w:lang w:val="zh-CN"/>
          <w14:textFill>
            <w14:solidFill>
              <w14:schemeClr w14:val="tx1"/>
            </w14:solidFill>
          </w14:textFill>
        </w:rPr>
        <w:t>广州市天河区临江大道501号广州市净水有限公司招标办。（</w:t>
      </w:r>
      <w:r>
        <w:rPr>
          <w:rFonts w:hint="eastAsia" w:ascii="仿宋_GB2312" w:hAnsi="仿宋_GB2312" w:eastAsia="仿宋_GB2312" w:cs="仿宋_GB2312"/>
          <w:color w:val="000000"/>
          <w:sz w:val="28"/>
          <w:szCs w:val="28"/>
        </w:rPr>
        <w:t>注：基于近期疫情防控形势，授权委托人须出示健康码</w:t>
      </w:r>
      <w:r>
        <w:rPr>
          <w:rFonts w:hint="eastAsia" w:ascii="仿宋_GB2312" w:hAnsi="仿宋_GB2312" w:eastAsia="仿宋_GB2312" w:cs="仿宋_GB2312"/>
          <w:color w:val="000000"/>
          <w:sz w:val="28"/>
          <w:szCs w:val="28"/>
          <w:lang w:val="en-US" w:eastAsia="zh-CN"/>
        </w:rPr>
        <w:t>绿码、14日内的行程码及疫苗接种情况，</w:t>
      </w:r>
      <w:r>
        <w:rPr>
          <w:rFonts w:hint="eastAsia" w:ascii="仿宋_GB2312" w:hAnsi="仿宋_GB2312" w:eastAsia="仿宋_GB2312" w:cs="仿宋_GB2312"/>
          <w:color w:val="000000"/>
          <w:sz w:val="28"/>
          <w:szCs w:val="28"/>
        </w:rPr>
        <w:t>否则不予进入我公司；如以快递形式递交响应文件，须在递交截止时间前送达，不参加见证报价开启程序的报价单位视其认可所有报价</w:t>
      </w:r>
      <w:r>
        <w:rPr>
          <w:rFonts w:hint="eastAsia" w:ascii="仿宋_GB2312" w:hAnsi="仿宋_GB2312" w:eastAsia="仿宋_GB2312" w:cs="仿宋_GB2312"/>
          <w:color w:val="000000" w:themeColor="text1"/>
          <w:sz w:val="28"/>
          <w:szCs w:val="28"/>
          <w:lang w:val="zh-CN"/>
          <w14:textFill>
            <w14:solidFill>
              <w14:schemeClr w14:val="tx1"/>
            </w14:solidFill>
          </w14:textFill>
        </w:rPr>
        <w:t>）</w:t>
      </w:r>
    </w:p>
    <w:p>
      <w:pPr>
        <w:ind w:firstLine="588" w:firstLineChars="210"/>
        <w:rPr>
          <w:rFonts w:ascii="仿宋_GB2312" w:hAnsi="仿宋_GB2312" w:eastAsia="仿宋_GB2312" w:cs="仿宋_GB2312"/>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十一、评审时间：</w:t>
      </w:r>
      <w:r>
        <w:rPr>
          <w:rFonts w:hint="eastAsia" w:ascii="仿宋_GB2312" w:hAnsi="仿宋_GB2312" w:eastAsia="仿宋_GB2312" w:cs="仿宋_GB2312"/>
          <w:color w:val="000000" w:themeColor="text1"/>
          <w:sz w:val="28"/>
          <w:szCs w:val="28"/>
          <w:highlight w:val="none"/>
          <w:u w:val="none"/>
          <w14:textFill>
            <w14:solidFill>
              <w14:schemeClr w14:val="tx1"/>
            </w14:solidFill>
          </w14:textFill>
        </w:rPr>
        <w:t>20</w:t>
      </w:r>
      <w:r>
        <w:rPr>
          <w:rFonts w:ascii="仿宋_GB2312" w:hAnsi="仿宋_GB2312" w:eastAsia="仿宋_GB2312" w:cs="仿宋_GB2312"/>
          <w:color w:val="000000" w:themeColor="text1"/>
          <w:sz w:val="28"/>
          <w:szCs w:val="28"/>
          <w:highlight w:val="none"/>
          <w:u w:val="none"/>
          <w14:textFill>
            <w14:solidFill>
              <w14:schemeClr w14:val="tx1"/>
            </w14:solidFill>
          </w14:textFill>
        </w:rPr>
        <w:t>21</w:t>
      </w:r>
      <w:r>
        <w:rPr>
          <w:rFonts w:hint="eastAsia" w:ascii="仿宋_GB2312" w:hAnsi="仿宋_GB2312" w:eastAsia="仿宋_GB2312" w:cs="仿宋_GB2312"/>
          <w:color w:val="000000" w:themeColor="text1"/>
          <w:sz w:val="28"/>
          <w:szCs w:val="28"/>
          <w:highlight w:val="none"/>
          <w:u w:val="none"/>
          <w14:textFill>
            <w14:solidFill>
              <w14:schemeClr w14:val="tx1"/>
            </w14:solidFill>
          </w14:textFill>
        </w:rPr>
        <w:t>年</w:t>
      </w:r>
      <w:r>
        <w:rPr>
          <w:rFonts w:hint="eastAsia" w:ascii="仿宋_GB2312" w:hAnsi="仿宋_GB2312" w:eastAsia="仿宋_GB2312" w:cs="仿宋_GB2312"/>
          <w:color w:val="000000" w:themeColor="text1"/>
          <w:sz w:val="28"/>
          <w:szCs w:val="28"/>
          <w:highlight w:val="none"/>
          <w:u w:val="none"/>
          <w:lang w:val="en-US" w:eastAsia="zh-CN"/>
          <w14:textFill>
            <w14:solidFill>
              <w14:schemeClr w14:val="tx1"/>
            </w14:solidFill>
          </w14:textFill>
        </w:rPr>
        <w:t>10</w:t>
      </w:r>
      <w:r>
        <w:rPr>
          <w:rFonts w:hint="eastAsia" w:ascii="仿宋_GB2312" w:hAnsi="仿宋_GB2312" w:eastAsia="仿宋_GB2312" w:cs="仿宋_GB2312"/>
          <w:color w:val="000000" w:themeColor="text1"/>
          <w:sz w:val="28"/>
          <w:szCs w:val="28"/>
          <w:highlight w:val="none"/>
          <w:u w:val="none"/>
          <w14:textFill>
            <w14:solidFill>
              <w14:schemeClr w14:val="tx1"/>
            </w14:solidFill>
          </w14:textFill>
        </w:rPr>
        <w:t>月</w:t>
      </w:r>
      <w:r>
        <w:rPr>
          <w:rFonts w:hint="eastAsia" w:ascii="仿宋_GB2312" w:hAnsi="仿宋_GB2312" w:eastAsia="仿宋_GB2312" w:cs="仿宋_GB2312"/>
          <w:color w:val="000000" w:themeColor="text1"/>
          <w:sz w:val="28"/>
          <w:szCs w:val="28"/>
          <w:highlight w:val="none"/>
          <w:u w:val="none"/>
          <w:lang w:val="en-US" w:eastAsia="zh-CN"/>
          <w14:textFill>
            <w14:solidFill>
              <w14:schemeClr w14:val="tx1"/>
            </w14:solidFill>
          </w14:textFill>
        </w:rPr>
        <w:t>12</w:t>
      </w:r>
      <w:r>
        <w:rPr>
          <w:rFonts w:hint="eastAsia" w:ascii="仿宋_GB2312" w:hAnsi="仿宋_GB2312" w:eastAsia="仿宋_GB2312" w:cs="仿宋_GB2312"/>
          <w:color w:val="000000" w:themeColor="text1"/>
          <w:sz w:val="28"/>
          <w:szCs w:val="28"/>
          <w:highlight w:val="none"/>
          <w:u w:val="none"/>
          <w14:textFill>
            <w14:solidFill>
              <w14:schemeClr w14:val="tx1"/>
            </w14:solidFill>
          </w14:textFill>
        </w:rPr>
        <w:t>日</w:t>
      </w:r>
      <w:r>
        <w:rPr>
          <w:rFonts w:hint="eastAsia" w:ascii="仿宋_GB2312" w:hAnsi="仿宋_GB2312" w:eastAsia="仿宋_GB2312" w:cs="仿宋_GB2312"/>
          <w:color w:val="000000" w:themeColor="text1"/>
          <w:sz w:val="28"/>
          <w:szCs w:val="28"/>
          <w:highlight w:val="none"/>
          <w:u w:val="none"/>
          <w:lang w:val="en-US" w:eastAsia="zh-CN"/>
          <w14:textFill>
            <w14:solidFill>
              <w14:schemeClr w14:val="tx1"/>
            </w14:solidFill>
          </w14:textFill>
        </w:rPr>
        <w:t>10</w:t>
      </w:r>
      <w:r>
        <w:rPr>
          <w:rFonts w:hint="eastAsia" w:ascii="仿宋_GB2312" w:hAnsi="仿宋_GB2312" w:eastAsia="仿宋_GB2312" w:cs="仿宋_GB2312"/>
          <w:color w:val="000000" w:themeColor="text1"/>
          <w:sz w:val="28"/>
          <w:szCs w:val="28"/>
          <w:highlight w:val="none"/>
          <w:u w:val="none"/>
          <w14:textFill>
            <w14:solidFill>
              <w14:schemeClr w14:val="tx1"/>
            </w14:solidFill>
          </w14:textFill>
        </w:rPr>
        <w:t>时</w:t>
      </w:r>
      <w:r>
        <w:rPr>
          <w:rFonts w:hint="eastAsia" w:ascii="仿宋_GB2312" w:hAnsi="仿宋_GB2312" w:eastAsia="仿宋_GB2312" w:cs="仿宋_GB2312"/>
          <w:color w:val="000000" w:themeColor="text1"/>
          <w:sz w:val="28"/>
          <w:szCs w:val="28"/>
          <w:highlight w:val="none"/>
          <w:u w:val="none"/>
          <w:lang w:val="en-US" w:eastAsia="zh-CN"/>
          <w14:textFill>
            <w14:solidFill>
              <w14:schemeClr w14:val="tx1"/>
            </w14:solidFill>
          </w14:textFill>
        </w:rPr>
        <w:t>00</w:t>
      </w:r>
      <w:r>
        <w:rPr>
          <w:rFonts w:hint="eastAsia" w:ascii="仿宋_GB2312" w:hAnsi="仿宋_GB2312" w:eastAsia="仿宋_GB2312" w:cs="仿宋_GB2312"/>
          <w:color w:val="000000" w:themeColor="text1"/>
          <w:sz w:val="28"/>
          <w:szCs w:val="28"/>
          <w:highlight w:val="none"/>
          <w:u w:val="none"/>
          <w14:textFill>
            <w14:solidFill>
              <w14:schemeClr w14:val="tx1"/>
            </w14:solidFill>
          </w14:textFill>
        </w:rPr>
        <w:t>分</w:t>
      </w:r>
    </w:p>
    <w:p>
      <w:pPr>
        <w:ind w:firstLine="588" w:firstLineChars="21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highlight w:val="none"/>
          <w:u w:val="none"/>
          <w14:textFill>
            <w14:solidFill>
              <w14:schemeClr w14:val="tx1"/>
            </w14:solidFill>
          </w14:textFill>
        </w:rPr>
        <w:t>十二、评审地点：广州市净水有限公司</w:t>
      </w:r>
      <w:r>
        <w:rPr>
          <w:rFonts w:hint="eastAsia" w:ascii="仿宋_GB2312" w:hAnsi="仿宋_GB2312" w:eastAsia="仿宋_GB2312" w:cs="仿宋_GB2312"/>
          <w:color w:val="000000" w:themeColor="text1"/>
          <w:sz w:val="28"/>
          <w:szCs w:val="28"/>
          <w:highlight w:val="none"/>
          <w:u w:val="none"/>
          <w:lang w:val="en-US" w:eastAsia="zh-CN"/>
          <w14:textFill>
            <w14:solidFill>
              <w14:schemeClr w14:val="tx1"/>
            </w14:solidFill>
          </w14:textFill>
        </w:rPr>
        <w:t>六楼招标办</w:t>
      </w:r>
    </w:p>
    <w:p>
      <w:pPr>
        <w:ind w:firstLine="588" w:firstLineChars="21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十三、询价人的联系方式</w:t>
      </w:r>
    </w:p>
    <w:p>
      <w:pPr>
        <w:snapToGrid w:val="0"/>
        <w:spacing w:line="360" w:lineRule="auto"/>
        <w:ind w:firstLine="630" w:firstLine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询价</w:t>
      </w:r>
      <w:r>
        <w:rPr>
          <w:rFonts w:hint="eastAsia" w:ascii="仿宋_GB2312" w:hAnsi="仿宋_GB2312" w:eastAsia="仿宋_GB2312" w:cs="仿宋_GB2312"/>
          <w:color w:val="000000" w:themeColor="text1"/>
          <w:kern w:val="0"/>
          <w:sz w:val="28"/>
          <w:szCs w:val="28"/>
          <w14:textFill>
            <w14:solidFill>
              <w14:schemeClr w14:val="tx1"/>
            </w14:solidFill>
          </w14:textFill>
        </w:rPr>
        <w:t>人：</w:t>
      </w:r>
      <w:r>
        <w:rPr>
          <w:rFonts w:hint="eastAsia" w:ascii="仿宋_GB2312" w:hAnsi="仿宋_GB2312" w:eastAsia="仿宋_GB2312" w:cs="仿宋_GB2312"/>
          <w:color w:val="000000" w:themeColor="text1"/>
          <w:sz w:val="28"/>
          <w:szCs w:val="28"/>
          <w14:textFill>
            <w14:solidFill>
              <w14:schemeClr w14:val="tx1"/>
            </w14:solidFill>
          </w14:textFill>
        </w:rPr>
        <w:t>广州市净水有限公司</w:t>
      </w:r>
    </w:p>
    <w:p>
      <w:pPr>
        <w:snapToGrid w:val="0"/>
        <w:spacing w:line="360" w:lineRule="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联系地址：</w:t>
      </w:r>
      <w:r>
        <w:rPr>
          <w:rFonts w:hint="eastAsia" w:ascii="仿宋_GB2312" w:hAnsi="仿宋_GB2312" w:eastAsia="仿宋_GB2312" w:cs="仿宋_GB2312"/>
          <w:color w:val="000000" w:themeColor="text1"/>
          <w:sz w:val="28"/>
          <w:szCs w:val="28"/>
          <w:lang w:val="zh-CN"/>
          <w14:textFill>
            <w14:solidFill>
              <w14:schemeClr w14:val="tx1"/>
            </w14:solidFill>
          </w14:textFill>
        </w:rPr>
        <w:t>广州市天河区临江大道501号</w:t>
      </w:r>
      <w:r>
        <w:rPr>
          <w:rFonts w:hint="eastAsia" w:ascii="仿宋_GB2312" w:hAnsi="仿宋_GB2312" w:eastAsia="仿宋_GB2312" w:cs="仿宋_GB2312"/>
          <w:color w:val="000000" w:themeColor="text1"/>
          <w:kern w:val="0"/>
          <w:sz w:val="28"/>
          <w:szCs w:val="28"/>
          <w14:textFill>
            <w14:solidFill>
              <w14:schemeClr w14:val="tx1"/>
            </w14:solidFill>
          </w14:textFill>
        </w:rPr>
        <w:tab/>
      </w:r>
    </w:p>
    <w:p>
      <w:pPr>
        <w:snapToGrid w:val="0"/>
        <w:spacing w:line="360" w:lineRule="auto"/>
        <w:ind w:left="420" w:leftChars="200" w:firstLine="571" w:firstLineChars="204"/>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联系人：</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 xml:space="preserve">黄工     </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联系方式：</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020-62315524</w:t>
      </w: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w:t>
      </w:r>
    </w:p>
    <w:p>
      <w:pPr>
        <w:ind w:firstLine="4340" w:firstLineChars="1550"/>
        <w:jc w:val="right"/>
        <w:rPr>
          <w:rFonts w:hint="eastAsia" w:ascii="仿宋_GB2312" w:hAnsi="仿宋_GB2312" w:eastAsia="仿宋_GB2312" w:cs="仿宋_GB2312"/>
          <w:color w:val="000000" w:themeColor="text1"/>
          <w:sz w:val="28"/>
          <w:szCs w:val="28"/>
          <w14:textFill>
            <w14:solidFill>
              <w14:schemeClr w14:val="tx1"/>
            </w14:solidFill>
          </w14:textFill>
        </w:rPr>
      </w:pPr>
    </w:p>
    <w:p>
      <w:pPr>
        <w:ind w:firstLine="4340" w:firstLineChars="1550"/>
        <w:jc w:val="right"/>
        <w:rPr>
          <w:rFonts w:ascii="仿宋_GB2312" w:hAnsi="仿宋_GB2312" w:eastAsia="仿宋_GB2312" w:cs="仿宋_GB2312"/>
          <w:color w:val="000000" w:themeColor="text1"/>
          <w:sz w:val="28"/>
          <w:szCs w:val="28"/>
          <w:u w:val="singl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广州市净水有限公司</w:t>
      </w:r>
    </w:p>
    <w:p>
      <w:pPr>
        <w:ind w:firstLine="4340" w:firstLineChars="1550"/>
        <w:jc w:val="righ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highlight w:val="none"/>
          <w:u w:val="none"/>
          <w14:textFill>
            <w14:solidFill>
              <w14:schemeClr w14:val="tx1"/>
            </w14:solidFill>
          </w14:textFill>
        </w:rPr>
        <w:t>2021</w:t>
      </w:r>
      <w:r>
        <w:rPr>
          <w:rFonts w:hint="eastAsia" w:ascii="仿宋_GB2312" w:hAnsi="仿宋_GB2312" w:eastAsia="仿宋_GB2312" w:cs="仿宋_GB2312"/>
          <w:color w:val="000000" w:themeColor="text1"/>
          <w:sz w:val="28"/>
          <w:szCs w:val="28"/>
          <w:highlight w:val="none"/>
          <w14:textFill>
            <w14:solidFill>
              <w14:schemeClr w14:val="tx1"/>
            </w14:solidFill>
          </w14:textFill>
        </w:rPr>
        <w:t>年</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9</w:t>
      </w:r>
      <w:r>
        <w:rPr>
          <w:rFonts w:hint="eastAsia" w:ascii="仿宋_GB2312" w:hAnsi="仿宋_GB2312" w:eastAsia="仿宋_GB2312" w:cs="仿宋_GB2312"/>
          <w:color w:val="000000" w:themeColor="text1"/>
          <w:sz w:val="28"/>
          <w:szCs w:val="28"/>
          <w:highlight w:val="none"/>
          <w14:textFill>
            <w14:solidFill>
              <w14:schemeClr w14:val="tx1"/>
            </w14:solidFill>
          </w14:textFill>
        </w:rPr>
        <w:t>月</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29</w:t>
      </w:r>
      <w:r>
        <w:rPr>
          <w:rFonts w:hint="eastAsia" w:ascii="仿宋_GB2312" w:hAnsi="仿宋_GB2312" w:eastAsia="仿宋_GB2312" w:cs="仿宋_GB2312"/>
          <w:color w:val="000000" w:themeColor="text1"/>
          <w:sz w:val="28"/>
          <w:szCs w:val="28"/>
          <w:highlight w:val="none"/>
          <w14:textFill>
            <w14:solidFill>
              <w14:schemeClr w14:val="tx1"/>
            </w14:solidFill>
          </w14:textFill>
        </w:rPr>
        <w:t>日</w:t>
      </w:r>
    </w:p>
    <w:p>
      <w:pPr>
        <w:spacing w:line="480" w:lineRule="auto"/>
        <w:rPr>
          <w:rFonts w:ascii="仿宋_GB2312" w:hAnsi="仿宋_GB2312" w:eastAsia="仿宋_GB2312" w:cs="仿宋_GB2312"/>
          <w:sz w:val="28"/>
          <w:szCs w:val="28"/>
        </w:rPr>
      </w:pPr>
    </w:p>
    <w:p>
      <w:pPr>
        <w:spacing w:line="480" w:lineRule="auto"/>
        <w:rPr>
          <w:rFonts w:ascii="仿宋_GB2312" w:hAnsi="仿宋_GB2312" w:eastAsia="仿宋_GB2312" w:cs="仿宋_GB2312"/>
          <w:sz w:val="28"/>
          <w:szCs w:val="28"/>
        </w:rPr>
      </w:pPr>
    </w:p>
    <w:p>
      <w:pPr>
        <w:pStyle w:val="31"/>
      </w:pPr>
    </w:p>
    <w:p>
      <w:pPr>
        <w:pStyle w:val="31"/>
      </w:pPr>
    </w:p>
    <w:p>
      <w:pPr>
        <w:pStyle w:val="31"/>
      </w:pPr>
    </w:p>
    <w:p>
      <w:pPr>
        <w:pStyle w:val="31"/>
      </w:pPr>
    </w:p>
    <w:p>
      <w:pPr>
        <w:pStyle w:val="31"/>
      </w:pPr>
    </w:p>
    <w:p>
      <w:pPr>
        <w:pStyle w:val="31"/>
      </w:pPr>
    </w:p>
    <w:p>
      <w:pPr>
        <w:pStyle w:val="31"/>
      </w:pPr>
    </w:p>
    <w:p>
      <w:pPr>
        <w:spacing w:line="48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附件</w:t>
      </w:r>
    </w:p>
    <w:p>
      <w:pPr>
        <w:spacing w:line="48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现场踏勘委派书</w:t>
      </w:r>
    </w:p>
    <w:p>
      <w:pPr>
        <w:spacing w:line="360" w:lineRule="auto"/>
        <w:rPr>
          <w:rFonts w:ascii="宋体" w:hAnsi="宋体"/>
          <w:szCs w:val="21"/>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致：广州市净水有限公司</w:t>
      </w:r>
    </w:p>
    <w:p>
      <w:pPr>
        <w:spacing w:line="360" w:lineRule="auto"/>
        <w:rPr>
          <w:rFonts w:ascii="仿宋_GB2312" w:hAnsi="仿宋_GB2312" w:eastAsia="仿宋_GB2312" w:cs="仿宋_GB2312"/>
          <w:b/>
          <w:sz w:val="28"/>
          <w:szCs w:val="28"/>
        </w:rPr>
      </w:pP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我公司（单位）</w:t>
      </w:r>
      <w:r>
        <w:rPr>
          <w:rFonts w:hint="eastAsia" w:ascii="仿宋_GB2312" w:hAnsi="仿宋_GB2312" w:eastAsia="仿宋_GB2312" w:cs="仿宋_GB2312"/>
          <w:sz w:val="28"/>
          <w:szCs w:val="28"/>
          <w:u w:val="single"/>
        </w:rPr>
        <w:t xml:space="preserve">  （报价单位名称）</w:t>
      </w:r>
      <w:r>
        <w:rPr>
          <w:rFonts w:hint="eastAsia" w:ascii="仿宋_GB2312" w:hAnsi="仿宋_GB2312" w:eastAsia="仿宋_GB2312" w:cs="仿宋_GB2312"/>
          <w:sz w:val="28"/>
          <w:szCs w:val="28"/>
        </w:rPr>
        <w:t>现委派</w:t>
      </w:r>
      <w:r>
        <w:rPr>
          <w:rFonts w:hint="eastAsia" w:ascii="仿宋_GB2312" w:hAnsi="仿宋_GB2312" w:eastAsia="仿宋_GB2312" w:cs="仿宋_GB2312"/>
          <w:i/>
          <w:sz w:val="28"/>
          <w:szCs w:val="28"/>
          <w:u w:val="single"/>
        </w:rPr>
        <w:t xml:space="preserve">（姓名、职务、身份证号）    </w:t>
      </w:r>
      <w:r>
        <w:rPr>
          <w:rFonts w:hint="eastAsia" w:ascii="仿宋_GB2312" w:hAnsi="仿宋_GB2312" w:eastAsia="仿宋_GB2312" w:cs="仿宋_GB2312"/>
          <w:sz w:val="28"/>
          <w:szCs w:val="28"/>
        </w:rPr>
        <w:t>处理本项目</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沥滘三期无线网络建设项目</w:t>
      </w:r>
      <w:r>
        <w:rPr>
          <w:rFonts w:hint="eastAsia" w:ascii="仿宋_GB2312" w:hAnsi="仿宋_GB2312" w:eastAsia="仿宋_GB2312" w:cs="仿宋_GB2312"/>
          <w:sz w:val="28"/>
          <w:szCs w:val="28"/>
        </w:rPr>
        <w:t>，项目编号：的现场踏勘事宜。</w:t>
      </w:r>
    </w:p>
    <w:p>
      <w:pPr>
        <w:adjustRightInd w:val="0"/>
        <w:snapToGrid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（注：基于近期疫情防控形势，授权委托人须出示健康码和提供疫苗接种情况，否则不予进入我公司）</w:t>
      </w:r>
    </w:p>
    <w:p>
      <w:pPr>
        <w:spacing w:line="360" w:lineRule="auto"/>
        <w:ind w:firstLine="540"/>
        <w:rPr>
          <w:rFonts w:ascii="仿宋_GB2312" w:hAnsi="仿宋_GB2312" w:eastAsia="仿宋_GB2312" w:cs="仿宋_GB2312"/>
          <w:sz w:val="28"/>
          <w:szCs w:val="28"/>
        </w:rPr>
      </w:pPr>
      <w:r>
        <w:rPr>
          <w:rFonts w:hint="eastAsia" w:ascii="仿宋_GB2312" w:hAnsi="仿宋_GB2312" w:eastAsia="仿宋_GB2312" w:cs="仿宋_GB2312"/>
          <w:sz w:val="28"/>
          <w:szCs w:val="28"/>
        </w:rPr>
        <w:t>特此声明！</w:t>
      </w:r>
    </w:p>
    <w:p>
      <w:pPr>
        <w:pStyle w:val="31"/>
      </w:pPr>
    </w:p>
    <w:p>
      <w:pPr>
        <w:adjustRightInd w:val="0"/>
        <w:snapToGrid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报价单位法定代表人（或法定授权代表）签字：</w:t>
      </w:r>
    </w:p>
    <w:p>
      <w:pPr>
        <w:adjustRightInd w:val="0"/>
        <w:snapToGrid w:val="0"/>
        <w:spacing w:line="360" w:lineRule="auto"/>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报价单位名称（签章）：</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日期：   年   月   日</w:t>
      </w:r>
    </w:p>
    <w:p>
      <w:pPr>
        <w:pStyle w:val="31"/>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trPr>
        <w:tc>
          <w:tcPr>
            <w:tcW w:w="4050" w:type="dxa"/>
            <w:noWrap/>
          </w:tcPr>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沥滘分公司（盖章）</w:t>
            </w:r>
          </w:p>
          <w:p>
            <w:pPr>
              <w:spacing w:line="360" w:lineRule="auto"/>
              <w:rPr>
                <w:rFonts w:ascii="仿宋_GB2312" w:hAnsi="仿宋_GB2312" w:eastAsia="仿宋_GB2312" w:cs="仿宋_GB2312"/>
                <w:sz w:val="28"/>
                <w:szCs w:val="28"/>
              </w:rPr>
            </w:pPr>
          </w:p>
          <w:p>
            <w:pPr>
              <w:spacing w:line="360" w:lineRule="auto"/>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经办人：</w:t>
            </w:r>
            <w:r>
              <w:rPr>
                <w:rFonts w:hint="eastAsia" w:ascii="仿宋_GB2312" w:hAnsi="仿宋_GB2312" w:eastAsia="仿宋_GB2312" w:cs="仿宋_GB2312"/>
                <w:sz w:val="28"/>
                <w:szCs w:val="28"/>
                <w:lang w:val="en-US" w:eastAsia="zh-CN"/>
              </w:rPr>
              <w:t>陈工</w:t>
            </w:r>
          </w:p>
          <w:p>
            <w:pPr>
              <w:spacing w:line="360" w:lineRule="auto"/>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lang w:val="en-US" w:eastAsia="zh-CN"/>
              </w:rPr>
              <w:t>15813311661</w:t>
            </w:r>
          </w:p>
        </w:tc>
      </w:tr>
    </w:tbl>
    <w:p>
      <w:pPr>
        <w:pStyle w:val="31"/>
      </w:pPr>
    </w:p>
    <w:p>
      <w:pPr>
        <w:pStyle w:val="15"/>
        <w:adjustRightInd w:val="0"/>
        <w:snapToGrid w:val="0"/>
        <w:spacing w:line="300" w:lineRule="auto"/>
        <w:jc w:val="center"/>
        <w:rPr>
          <w:rFonts w:ascii="仿宋_GB2312" w:hAnsi="仿宋_GB2312" w:eastAsia="仿宋_GB2312" w:cs="仿宋_GB2312"/>
          <w:b/>
          <w:color w:val="000000" w:themeColor="text1"/>
          <w:sz w:val="28"/>
          <w:szCs w:val="28"/>
          <w:lang w:val="zh-CN"/>
          <w14:textFill>
            <w14:solidFill>
              <w14:schemeClr w14:val="tx1"/>
            </w14:solidFill>
          </w14:textFill>
        </w:rPr>
      </w:pPr>
    </w:p>
    <w:p>
      <w:pPr>
        <w:pStyle w:val="15"/>
        <w:adjustRightInd w:val="0"/>
        <w:snapToGrid w:val="0"/>
        <w:spacing w:line="300" w:lineRule="auto"/>
        <w:jc w:val="center"/>
        <w:rPr>
          <w:rFonts w:ascii="仿宋_GB2312" w:hAnsi="仿宋_GB2312" w:eastAsia="仿宋_GB2312" w:cs="仿宋_GB2312"/>
          <w:b/>
          <w:color w:val="000000" w:themeColor="text1"/>
          <w:sz w:val="28"/>
          <w:szCs w:val="28"/>
          <w:lang w:val="zh-CN"/>
          <w14:textFill>
            <w14:solidFill>
              <w14:schemeClr w14:val="tx1"/>
            </w14:solidFill>
          </w14:textFill>
        </w:rPr>
      </w:pPr>
    </w:p>
    <w:p>
      <w:pPr>
        <w:pStyle w:val="15"/>
        <w:adjustRightInd w:val="0"/>
        <w:snapToGrid w:val="0"/>
        <w:spacing w:line="300" w:lineRule="auto"/>
        <w:jc w:val="center"/>
        <w:rPr>
          <w:rFonts w:ascii="仿宋_GB2312" w:hAnsi="仿宋_GB2312" w:eastAsia="仿宋_GB2312" w:cs="仿宋_GB2312"/>
          <w:b/>
          <w:color w:val="000000" w:themeColor="text1"/>
          <w:sz w:val="28"/>
          <w:szCs w:val="28"/>
          <w:lang w:val="zh-CN"/>
          <w14:textFill>
            <w14:solidFill>
              <w14:schemeClr w14:val="tx1"/>
            </w14:solidFill>
          </w14:textFill>
        </w:rPr>
      </w:pPr>
    </w:p>
    <w:p>
      <w:pPr>
        <w:pStyle w:val="15"/>
        <w:adjustRightInd w:val="0"/>
        <w:snapToGrid w:val="0"/>
        <w:spacing w:line="300" w:lineRule="auto"/>
        <w:jc w:val="center"/>
        <w:rPr>
          <w:rFonts w:ascii="仿宋_GB2312" w:hAnsi="仿宋_GB2312" w:eastAsia="仿宋_GB2312" w:cs="仿宋_GB2312"/>
          <w:b/>
          <w:color w:val="000000" w:themeColor="text1"/>
          <w:sz w:val="28"/>
          <w:szCs w:val="28"/>
          <w:lang w:val="zh-CN"/>
          <w14:textFill>
            <w14:solidFill>
              <w14:schemeClr w14:val="tx1"/>
            </w14:solidFill>
          </w14:textFill>
        </w:rPr>
      </w:pPr>
    </w:p>
    <w:p>
      <w:pPr>
        <w:pStyle w:val="15"/>
        <w:adjustRightInd w:val="0"/>
        <w:snapToGrid w:val="0"/>
        <w:spacing w:line="300" w:lineRule="auto"/>
        <w:jc w:val="center"/>
        <w:rPr>
          <w:rFonts w:ascii="仿宋_GB2312" w:hAnsi="仿宋_GB2312" w:eastAsia="仿宋_GB2312" w:cs="仿宋_GB2312"/>
          <w:b/>
          <w:color w:val="000000" w:themeColor="text1"/>
          <w:sz w:val="28"/>
          <w:szCs w:val="28"/>
          <w:lang w:val="zh-CN"/>
          <w14:textFill>
            <w14:solidFill>
              <w14:schemeClr w14:val="tx1"/>
            </w14:solidFill>
          </w14:textFill>
        </w:rPr>
      </w:pPr>
    </w:p>
    <w:p>
      <w:pPr>
        <w:pStyle w:val="15"/>
        <w:adjustRightInd w:val="0"/>
        <w:snapToGrid w:val="0"/>
        <w:spacing w:line="300" w:lineRule="auto"/>
        <w:jc w:val="both"/>
        <w:rPr>
          <w:rFonts w:ascii="仿宋_GB2312" w:hAnsi="仿宋_GB2312" w:eastAsia="仿宋_GB2312" w:cs="仿宋_GB2312"/>
          <w:b/>
          <w:color w:val="000000" w:themeColor="text1"/>
          <w:sz w:val="28"/>
          <w:szCs w:val="28"/>
          <w:lang w:val="zh-CN"/>
          <w14:textFill>
            <w14:solidFill>
              <w14:schemeClr w14:val="tx1"/>
            </w14:solidFill>
          </w14:textFill>
        </w:rPr>
      </w:pPr>
    </w:p>
    <w:p>
      <w:pPr>
        <w:pStyle w:val="15"/>
        <w:adjustRightInd w:val="0"/>
        <w:snapToGrid w:val="0"/>
        <w:spacing w:line="300" w:lineRule="auto"/>
        <w:jc w:val="center"/>
        <w:rPr>
          <w:rFonts w:ascii="仿宋_GB2312" w:hAnsi="仿宋_GB2312" w:eastAsia="仿宋_GB2312" w:cs="仿宋_GB2312"/>
          <w:b/>
          <w:color w:val="000000" w:themeColor="text1"/>
          <w:sz w:val="28"/>
          <w:szCs w:val="28"/>
          <w:lang w:val="zh-CN"/>
          <w14:textFill>
            <w14:solidFill>
              <w14:schemeClr w14:val="tx1"/>
            </w14:solidFill>
          </w14:textFill>
        </w:rPr>
      </w:pPr>
      <w:r>
        <w:rPr>
          <w:rFonts w:hint="eastAsia" w:ascii="仿宋_GB2312" w:hAnsi="仿宋_GB2312" w:eastAsia="仿宋_GB2312" w:cs="仿宋_GB2312"/>
          <w:b/>
          <w:color w:val="000000" w:themeColor="text1"/>
          <w:sz w:val="28"/>
          <w:szCs w:val="28"/>
          <w:lang w:val="zh-CN"/>
          <w14:textFill>
            <w14:solidFill>
              <w14:schemeClr w14:val="tx1"/>
            </w14:solidFill>
          </w14:textFill>
        </w:rPr>
        <w:t>第二部分 项目内容</w:t>
      </w:r>
    </w:p>
    <w:p>
      <w:pPr>
        <w:pStyle w:val="15"/>
        <w:adjustRightInd w:val="0"/>
        <w:snapToGrid w:val="0"/>
        <w:spacing w:line="300" w:lineRule="auto"/>
        <w:rPr>
          <w:rFonts w:ascii="仿宋_GB2312" w:hAnsi="仿宋_GB2312" w:eastAsia="仿宋_GB2312" w:cs="仿宋_GB2312"/>
          <w:b/>
          <w:color w:val="000000" w:themeColor="text1"/>
          <w:sz w:val="28"/>
          <w:szCs w:val="28"/>
          <w:lang w:val="zh-CN"/>
          <w14:textFill>
            <w14:solidFill>
              <w14:schemeClr w14:val="tx1"/>
            </w14:solidFill>
          </w14:textFill>
        </w:rPr>
      </w:pPr>
      <w:r>
        <w:rPr>
          <w:rFonts w:hint="eastAsia" w:ascii="仿宋_GB2312" w:hAnsi="仿宋_GB2312" w:eastAsia="仿宋_GB2312" w:cs="仿宋_GB2312"/>
          <w:b/>
          <w:color w:val="000000" w:themeColor="text1"/>
          <w:sz w:val="28"/>
          <w:szCs w:val="28"/>
          <w:lang w:val="zh-CN"/>
          <w14:textFill>
            <w14:solidFill>
              <w14:schemeClr w14:val="tx1"/>
            </w14:solidFill>
          </w14:textFill>
        </w:rPr>
        <w:t>一、项目情况介绍</w:t>
      </w:r>
    </w:p>
    <w:p>
      <w:pPr>
        <w:pStyle w:val="31"/>
        <w:keepNext w:val="0"/>
        <w:keepLines w:val="0"/>
        <w:pageBreakBefore w:val="0"/>
        <w:widowControl w:val="0"/>
        <w:kinsoku/>
        <w:wordWrap/>
        <w:overflowPunct/>
        <w:topLinePunct w:val="0"/>
        <w:autoSpaceDE w:val="0"/>
        <w:autoSpaceDN w:val="0"/>
        <w:bidi w:val="0"/>
        <w:adjustRightInd w:val="0"/>
        <w:snapToGrid/>
        <w:ind w:left="0" w:leftChars="0" w:firstLine="560" w:firstLineChars="200"/>
        <w:jc w:val="both"/>
        <w:textAlignment w:val="auto"/>
        <w:rPr>
          <w:lang w:val="zh-CN"/>
        </w:rPr>
      </w:pPr>
      <w:r>
        <w:rPr>
          <w:rFonts w:hint="eastAsia" w:ascii="仿宋_GB2312" w:hAnsi="仿宋_GB2312" w:eastAsia="仿宋_GB2312" w:cs="仿宋_GB2312"/>
          <w:color w:val="000000" w:themeColor="text1"/>
          <w:sz w:val="28"/>
          <w:szCs w:val="28"/>
          <w:lang w:val="zh-CN"/>
          <w14:textFill>
            <w14:solidFill>
              <w14:schemeClr w14:val="tx1"/>
            </w14:solidFill>
          </w14:textFill>
        </w:rPr>
        <w:t>地下厂区的手机信号已覆盖到三期负一负二层，能实现基本通话。提标生物滤池负一层至负三层没有手机信号覆盖，造成生产线所在区域的通信网络对实时接收和发送图片以及视频信号出较慢或卡顿情况，严重影响生产信息有效传达。生产调度通讯主要依靠使用无线对讲系统和班组人员前往首层空旷地方进行信息传达，严重影响信息传达的及时性。计划对沥滘分公三期负一、二层、提标生物滤池负一、二层进行无线WIFI覆盖。</w:t>
      </w:r>
    </w:p>
    <w:p>
      <w:pPr>
        <w:pStyle w:val="15"/>
        <w:adjustRightInd w:val="0"/>
        <w:snapToGrid w:val="0"/>
        <w:spacing w:line="300" w:lineRule="auto"/>
        <w:rPr>
          <w:rFonts w:ascii="仿宋_GB2312" w:hAnsi="仿宋_GB2312" w:eastAsia="仿宋_GB2312" w:cs="仿宋_GB2312"/>
          <w:b/>
          <w:color w:val="000000" w:themeColor="text1"/>
          <w:sz w:val="28"/>
          <w:szCs w:val="28"/>
          <w:lang w:val="zh-CN"/>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二</w:t>
      </w:r>
      <w:r>
        <w:rPr>
          <w:rFonts w:hint="eastAsia" w:ascii="仿宋_GB2312" w:hAnsi="仿宋_GB2312" w:eastAsia="仿宋_GB2312" w:cs="仿宋_GB2312"/>
          <w:b/>
          <w:color w:val="000000" w:themeColor="text1"/>
          <w:sz w:val="28"/>
          <w:szCs w:val="28"/>
          <w:lang w:val="zh-CN"/>
          <w14:textFill>
            <w14:solidFill>
              <w14:schemeClr w14:val="tx1"/>
            </w14:solidFill>
          </w14:textFill>
        </w:rPr>
        <w:t>、项目技术、内容要求</w:t>
      </w:r>
    </w:p>
    <w:p>
      <w:pPr>
        <w:keepNext w:val="0"/>
        <w:keepLines w:val="0"/>
        <w:pageBreakBefore w:val="0"/>
        <w:widowControl/>
        <w:kinsoku/>
        <w:wordWrap/>
        <w:overflowPunct/>
        <w:topLinePunct w:val="0"/>
        <w:autoSpaceDE/>
        <w:autoSpaceDN/>
        <w:bidi w:val="0"/>
        <w:adjustRightInd/>
        <w:snapToGrid/>
        <w:spacing w:line="240" w:lineRule="auto"/>
        <w:ind w:left="15" w:leftChars="7" w:firstLine="560" w:firstLineChars="200"/>
        <w:jc w:val="both"/>
        <w:textAlignment w:val="auto"/>
        <w:rPr>
          <w:rFonts w:ascii="仿宋_GB2312" w:hAnsi="仿宋_GB2312" w:eastAsia="仿宋_GB2312" w:cs="仿宋_GB2312"/>
          <w:color w:val="000000" w:themeColor="text1"/>
          <w:sz w:val="28"/>
          <w:szCs w:val="28"/>
          <w:lang w:val="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根据沥滘分公司的实际需求，总体设计</w:t>
      </w:r>
      <w:r>
        <w:rPr>
          <w:rFonts w:hint="eastAsia" w:ascii="仿宋_GB2312" w:hAnsi="宋体" w:eastAsia="仿宋_GB2312"/>
          <w:sz w:val="28"/>
          <w:szCs w:val="28"/>
        </w:rPr>
        <w:t>建设必须遵循技术先进、性能稳定、节约成本的原则。综合考虑施工、维护及操作因素，并将为今后的发展、扩建、改造等因素留有扩充余</w:t>
      </w:r>
      <w:r>
        <w:rPr>
          <w:rFonts w:hint="eastAsia" w:ascii="仿宋_GB2312" w:hAnsi="宋体" w:eastAsia="仿宋_GB2312"/>
          <w:sz w:val="28"/>
          <w:szCs w:val="28"/>
          <w:lang w:val="en-US" w:eastAsia="zh-CN"/>
        </w:rPr>
        <w:t>地</w:t>
      </w:r>
      <w:r>
        <w:rPr>
          <w:rFonts w:hint="eastAsia" w:ascii="仿宋_GB2312" w:hAnsi="仿宋_GB2312" w:eastAsia="仿宋_GB2312" w:cs="仿宋_GB2312"/>
          <w:color w:val="000000" w:themeColor="text1"/>
          <w:sz w:val="28"/>
          <w:szCs w:val="28"/>
          <w:lang w:val="zh-CN"/>
          <w14:textFill>
            <w14:solidFill>
              <w14:schemeClr w14:val="tx1"/>
            </w14:solidFill>
          </w14:textFill>
        </w:rPr>
        <w:t>进行设计：</w:t>
      </w:r>
    </w:p>
    <w:p>
      <w:pPr>
        <w:keepNext w:val="0"/>
        <w:keepLines w:val="0"/>
        <w:pageBreakBefore w:val="0"/>
        <w:numPr>
          <w:ilvl w:val="0"/>
          <w:numId w:val="0"/>
        </w:numPr>
        <w:kinsoku/>
        <w:wordWrap/>
        <w:overflowPunct/>
        <w:topLinePunct w:val="0"/>
        <w:autoSpaceDE/>
        <w:autoSpaceDN/>
        <w:bidi w:val="0"/>
        <w:adjustRightInd w:val="0"/>
        <w:snapToGrid w:val="0"/>
        <w:spacing w:line="240" w:lineRule="auto"/>
        <w:ind w:left="0" w:firstLine="560" w:firstLineChars="200"/>
        <w:textAlignment w:val="auto"/>
        <w:outlineLvl w:val="1"/>
        <w:rPr>
          <w:rFonts w:hint="eastAsia" w:ascii="仿宋_GB2312" w:hAnsi="仿宋_GB2312" w:eastAsia="仿宋_GB2312" w:cs="仿宋_GB2312"/>
          <w:sz w:val="28"/>
          <w:szCs w:val="28"/>
        </w:rPr>
      </w:pPr>
      <w:bookmarkStart w:id="0" w:name="_Toc29160"/>
      <w:r>
        <w:rPr>
          <w:rFonts w:hint="eastAsia" w:ascii="仿宋_GB2312" w:hAnsi="仿宋_GB2312" w:eastAsia="仿宋_GB2312" w:cs="仿宋_GB2312"/>
          <w:sz w:val="28"/>
          <w:szCs w:val="28"/>
        </w:rPr>
        <w:t>1.</w:t>
      </w:r>
      <w:bookmarkEnd w:id="0"/>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无线</w:t>
      </w:r>
      <w:r>
        <w:rPr>
          <w:rFonts w:hint="eastAsia" w:ascii="仿宋_GB2312" w:hAnsi="仿宋_GB2312" w:eastAsia="仿宋_GB2312" w:cs="仿宋_GB2312"/>
          <w:sz w:val="28"/>
          <w:szCs w:val="28"/>
        </w:rPr>
        <w:t>网络设计架构</w:t>
      </w:r>
    </w:p>
    <w:p>
      <w:pPr>
        <w:keepNext w:val="0"/>
        <w:keepLines w:val="0"/>
        <w:pageBreakBefore w:val="0"/>
        <w:kinsoku/>
        <w:wordWrap/>
        <w:overflowPunct/>
        <w:topLinePunct w:val="0"/>
        <w:autoSpaceDE/>
        <w:autoSpaceDN/>
        <w:bidi w:val="0"/>
        <w:snapToGrid/>
        <w:spacing w:after="163" w:afterLines="50" w:line="240" w:lineRule="auto"/>
        <w:ind w:left="15" w:leftChars="7" w:firstLine="560" w:firstLineChars="200"/>
        <w:jc w:val="both"/>
        <w:textAlignment w:val="auto"/>
        <w:rPr>
          <w:rFonts w:ascii="仿宋_GB2312" w:hAnsi="仿宋_GB2312" w:eastAsia="仿宋_GB2312" w:cs="仿宋_GB2312"/>
          <w:color w:val="000000" w:themeColor="text1"/>
          <w:sz w:val="28"/>
          <w:szCs w:val="28"/>
          <w:lang w:val="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沥滘分公司</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无线</w:t>
      </w:r>
      <w:r>
        <w:rPr>
          <w:rFonts w:ascii="仿宋_GB2312" w:hAnsi="宋体" w:eastAsia="仿宋_GB2312"/>
          <w:sz w:val="28"/>
          <w:szCs w:val="28"/>
        </w:rPr>
        <w:t>网络设计架构包含了三个层次,包括终端层</w:t>
      </w:r>
      <w:r>
        <w:rPr>
          <w:rFonts w:hint="eastAsia" w:ascii="仿宋_GB2312" w:hAnsi="宋体" w:eastAsia="仿宋_GB2312"/>
          <w:sz w:val="28"/>
          <w:szCs w:val="28"/>
        </w:rPr>
        <w:t>、网络层、控制层、接入层由各类型的最新无线室内室外</w:t>
      </w:r>
      <w:r>
        <w:rPr>
          <w:rFonts w:ascii="仿宋_GB2312" w:hAnsi="宋体" w:eastAsia="仿宋_GB2312"/>
          <w:sz w:val="28"/>
          <w:szCs w:val="28"/>
        </w:rPr>
        <w:t>Wi-Fi6 AP</w:t>
      </w:r>
      <w:r>
        <w:rPr>
          <w:rFonts w:hint="eastAsia" w:ascii="仿宋_GB2312" w:hAnsi="宋体" w:eastAsia="仿宋_GB2312"/>
          <w:sz w:val="28"/>
          <w:szCs w:val="28"/>
        </w:rPr>
        <w:t>、移动办公无线终端构成，传输网络中</w:t>
      </w:r>
      <w:r>
        <w:rPr>
          <w:rFonts w:ascii="仿宋_GB2312" w:hAnsi="宋体" w:eastAsia="仿宋_GB2312"/>
          <w:sz w:val="28"/>
          <w:szCs w:val="28"/>
        </w:rPr>
        <w:t>,部署安视POE交换机</w:t>
      </w:r>
      <w:r>
        <w:rPr>
          <w:rFonts w:hint="eastAsia" w:ascii="仿宋_GB2312" w:hAnsi="宋体" w:eastAsia="仿宋_GB2312"/>
          <w:sz w:val="28"/>
          <w:szCs w:val="28"/>
        </w:rPr>
        <w:t>、汇聚交换机</w:t>
      </w:r>
      <w:r>
        <w:rPr>
          <w:rFonts w:ascii="仿宋_GB2312" w:hAnsi="宋体" w:eastAsia="仿宋_GB2312"/>
          <w:sz w:val="28"/>
          <w:szCs w:val="28"/>
        </w:rPr>
        <w:t>,提供大带宽骨干网络性能</w:t>
      </w:r>
      <w:r>
        <w:rPr>
          <w:rFonts w:hint="eastAsia" w:ascii="仿宋_GB2312" w:hAnsi="宋体" w:eastAsia="仿宋_GB2312"/>
          <w:sz w:val="28"/>
          <w:szCs w:val="28"/>
        </w:rPr>
        <w:t>，控制层由高性能网络控制器组成</w:t>
      </w:r>
      <w:r>
        <w:rPr>
          <w:rFonts w:ascii="仿宋_GB2312" w:hAnsi="宋体" w:eastAsia="仿宋_GB2312"/>
          <w:sz w:val="28"/>
          <w:szCs w:val="28"/>
        </w:rPr>
        <w:t>,控制器集用户认证,上网行为管理与审计,可视化大数据管理等于一体</w:t>
      </w:r>
      <w:r>
        <w:rPr>
          <w:rFonts w:hint="eastAsia" w:ascii="仿宋_GB2312" w:hAnsi="仿宋_GB2312" w:eastAsia="仿宋_GB2312" w:cs="仿宋_GB2312"/>
          <w:color w:val="000000" w:themeColor="text1"/>
          <w:sz w:val="28"/>
          <w:szCs w:val="28"/>
          <w:lang w:val="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无线</w:t>
      </w:r>
      <w:r>
        <w:rPr>
          <w:rFonts w:ascii="仿宋_GB2312" w:hAnsi="宋体" w:eastAsia="仿宋_GB2312"/>
          <w:sz w:val="28"/>
          <w:szCs w:val="28"/>
        </w:rPr>
        <w:t>网络设计架构</w:t>
      </w:r>
      <w:r>
        <w:rPr>
          <w:rFonts w:hint="eastAsia" w:ascii="仿宋_GB2312" w:hAnsi="仿宋_GB2312" w:eastAsia="仿宋_GB2312" w:cs="仿宋_GB2312"/>
          <w:color w:val="000000" w:themeColor="text1"/>
          <w:sz w:val="28"/>
          <w:szCs w:val="28"/>
          <w:lang w:val="zh-CN"/>
          <w14:textFill>
            <w14:solidFill>
              <w14:schemeClr w14:val="tx1"/>
            </w14:solidFill>
          </w14:textFill>
        </w:rPr>
        <w:t>如图1所示：</w:t>
      </w:r>
    </w:p>
    <w:p>
      <w:pPr>
        <w:adjustRightInd w:val="0"/>
        <w:snapToGrid w:val="0"/>
        <w:spacing w:line="360" w:lineRule="auto"/>
        <w:jc w:val="center"/>
        <w:rPr>
          <w:rFonts w:ascii="宋体" w:hAnsi="宋体" w:cs="宋体"/>
        </w:rPr>
      </w:pPr>
      <w:r>
        <w:drawing>
          <wp:anchor distT="0" distB="0" distL="114935" distR="114935" simplePos="0" relativeHeight="251659264" behindDoc="0" locked="0" layoutInCell="1" allowOverlap="1">
            <wp:simplePos x="0" y="0"/>
            <wp:positionH relativeFrom="column">
              <wp:posOffset>262890</wp:posOffset>
            </wp:positionH>
            <wp:positionV relativeFrom="paragraph">
              <wp:posOffset>-351790</wp:posOffset>
            </wp:positionV>
            <wp:extent cx="5236210" cy="4103370"/>
            <wp:effectExtent l="0" t="0" r="2540" b="11430"/>
            <wp:wrapTopAndBottom/>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5236210" cy="4103370"/>
                    </a:xfrm>
                    <a:prstGeom prst="rect">
                      <a:avLst/>
                    </a:prstGeom>
                    <a:noFill/>
                    <a:ln>
                      <a:noFill/>
                    </a:ln>
                  </pic:spPr>
                </pic:pic>
              </a:graphicData>
            </a:graphic>
          </wp:anchor>
        </w:drawing>
      </w:r>
    </w:p>
    <w:p>
      <w:pPr>
        <w:adjustRightInd w:val="0"/>
        <w:snapToGrid w:val="0"/>
        <w:spacing w:line="360" w:lineRule="auto"/>
        <w:jc w:val="center"/>
        <w:rPr>
          <w:rFonts w:ascii="宋体" w:hAnsi="宋体" w:cs="宋体"/>
        </w:rPr>
      </w:pPr>
    </w:p>
    <w:p>
      <w:pPr>
        <w:pStyle w:val="31"/>
        <w:adjustRightInd w:val="0"/>
        <w:snapToGrid w:val="0"/>
        <w:spacing w:line="360" w:lineRule="auto"/>
        <w:jc w:val="center"/>
        <w:rPr>
          <w:rFonts w:ascii="宋体" w:hAnsi="宋体" w:cs="宋体"/>
        </w:rPr>
      </w:pPr>
      <w:r>
        <w:rPr>
          <w:rFonts w:hint="eastAsia"/>
        </w:rPr>
        <w:t xml:space="preserve">图 1 </w:t>
      </w:r>
      <w:r>
        <w:rPr>
          <w:rFonts w:hint="eastAsia" w:ascii="仿宋_GB2312" w:hAnsi="宋体" w:eastAsia="仿宋_GB2312"/>
          <w:sz w:val="28"/>
          <w:szCs w:val="28"/>
        </w:rPr>
        <w:t>总体架构图</w:t>
      </w:r>
    </w:p>
    <w:p>
      <w:pPr>
        <w:keepNext w:val="0"/>
        <w:keepLines w:val="0"/>
        <w:pageBreakBefore w:val="0"/>
        <w:numPr>
          <w:ilvl w:val="0"/>
          <w:numId w:val="0"/>
        </w:numPr>
        <w:kinsoku/>
        <w:wordWrap/>
        <w:overflowPunct/>
        <w:topLinePunct w:val="0"/>
        <w:bidi w:val="0"/>
        <w:adjustRightInd w:val="0"/>
        <w:snapToGrid w:val="0"/>
        <w:spacing w:line="240" w:lineRule="auto"/>
        <w:ind w:left="0" w:firstLine="560" w:firstLineChars="200"/>
        <w:jc w:val="both"/>
        <w:textAlignment w:val="auto"/>
        <w:outlineLvl w:val="1"/>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en-US" w:eastAsia="zh-CN"/>
        </w:rPr>
        <w:t>2.方案设计</w:t>
      </w:r>
      <w:r>
        <w:rPr>
          <w:rFonts w:hint="eastAsia" w:ascii="仿宋_GB2312" w:hAnsi="仿宋_GB2312" w:eastAsia="仿宋_GB2312" w:cs="仿宋_GB2312"/>
          <w:sz w:val="28"/>
          <w:szCs w:val="28"/>
        </w:rPr>
        <w:t>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根据沥滘三期无线网络建设项目目标,本次项目的内容分为:无线WIFI系统设计、建设、调试与质保。</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（1）现场勘查,出具系统方案及布点图。</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综合布线,针对所需无线覆盖区域做网线拉通处理。主干光缆敷设：由综合楼网络机房沿电缆沟敷设一条48芯光缆至三期细格栅自控电房。分支光缆敷设：由三期细格栅自控电房分别敷设光缆至各片区终端机柜。</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（3）无线设备安装,针对定好的无线点位,安装AP无线设备及片区终端网络机柜。</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_GB2312" w:hAnsi="仿宋_GB2312" w:eastAsia="仿宋_GB2312" w:cs="仿宋_GB2312"/>
          <w:color w:val="000000" w:themeColor="text1"/>
          <w:sz w:val="28"/>
          <w:szCs w:val="28"/>
          <w:lang w:val="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（4）网络进行联调测试，实现沥滘分公司地下空间的WIFI全面覆盖。</w:t>
      </w:r>
    </w:p>
    <w:p>
      <w:pPr>
        <w:keepNext w:val="0"/>
        <w:keepLines w:val="0"/>
        <w:pageBreakBefore w:val="0"/>
        <w:kinsoku/>
        <w:wordWrap/>
        <w:overflowPunct/>
        <w:topLinePunct w:val="0"/>
        <w:bidi w:val="0"/>
        <w:adjustRightInd w:val="0"/>
        <w:snapToGrid w:val="0"/>
        <w:spacing w:line="240" w:lineRule="auto"/>
        <w:ind w:firstLine="560" w:firstLineChars="200"/>
        <w:jc w:val="both"/>
        <w:textAlignment w:val="auto"/>
        <w:outlineLvl w:val="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3.主设备选型内容要求</w:t>
      </w:r>
      <w:bookmarkStart w:id="1" w:name="_Toc16423"/>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_GB2312" w:hAnsi="仿宋_GB2312" w:eastAsia="仿宋_GB2312" w:cs="仿宋_GB2312"/>
          <w:color w:val="000000" w:themeColor="text1"/>
          <w:sz w:val="28"/>
          <w:szCs w:val="28"/>
          <w:lang w:val="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本项目有开阔的厂区,封闭的设备、电房、仪表间等生产环境、此类环境中使用支持802.11 ax协议的面板AP和室外AP,既满足此类环境对无线性能的要求,</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同时</w:t>
      </w:r>
      <w:r>
        <w:rPr>
          <w:rFonts w:hint="eastAsia" w:ascii="仿宋_GB2312" w:hAnsi="仿宋_GB2312" w:eastAsia="仿宋_GB2312" w:cs="仿宋_GB2312"/>
          <w:color w:val="000000" w:themeColor="text1"/>
          <w:sz w:val="28"/>
          <w:szCs w:val="28"/>
          <w:lang w:val="zh-CN"/>
          <w14:textFill>
            <w14:solidFill>
              <w14:schemeClr w14:val="tx1"/>
            </w14:solidFill>
          </w14:textFill>
        </w:rPr>
        <w:t>满足</w:t>
      </w:r>
      <w:r>
        <w:rPr>
          <w:rFonts w:hint="eastAsia" w:ascii="仿宋_GB2312" w:hAnsi="仿宋_GB2312" w:eastAsia="仿宋_GB2312" w:cs="仿宋_GB2312"/>
          <w:color w:val="000000" w:themeColor="text1"/>
          <w:sz w:val="28"/>
          <w:szCs w:val="28"/>
          <w:lang w:val="zh-CN" w:eastAsia="zh-CN"/>
          <w14:textFill>
            <w14:solidFill>
              <w14:schemeClr w14:val="tx1"/>
            </w14:solidFill>
          </w14:textFill>
        </w:rPr>
        <w:t>办公、生产以及智慧净水示范工程对无线</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网络</w:t>
      </w:r>
      <w:r>
        <w:rPr>
          <w:rFonts w:hint="eastAsia" w:ascii="仿宋_GB2312" w:hAnsi="仿宋_GB2312" w:eastAsia="仿宋_GB2312" w:cs="仿宋_GB2312"/>
          <w:color w:val="000000" w:themeColor="text1"/>
          <w:sz w:val="28"/>
          <w:szCs w:val="28"/>
          <w:lang w:val="zh-CN" w:eastAsia="zh-CN"/>
          <w14:textFill>
            <w14:solidFill>
              <w14:schemeClr w14:val="tx1"/>
            </w14:solidFill>
          </w14:textFill>
        </w:rPr>
        <w:t>的</w:t>
      </w:r>
      <w:r>
        <w:rPr>
          <w:rFonts w:hint="eastAsia" w:ascii="仿宋_GB2312" w:hAnsi="仿宋_GB2312" w:eastAsia="仿宋_GB2312" w:cs="仿宋_GB2312"/>
          <w:color w:val="000000" w:themeColor="text1"/>
          <w:sz w:val="28"/>
          <w:szCs w:val="28"/>
          <w:lang w:val="zh-CN"/>
          <w14:textFill>
            <w14:solidFill>
              <w14:schemeClr w14:val="tx1"/>
            </w14:solidFill>
          </w14:textFill>
        </w:rPr>
        <w:t>需求。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_GB2312" w:hAnsi="仿宋_GB2312" w:eastAsia="仿宋_GB2312" w:cs="仿宋_GB2312"/>
          <w:color w:val="000000" w:themeColor="text1"/>
          <w:sz w:val="28"/>
          <w:szCs w:val="28"/>
          <w:lang w:val="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lang w:val="zh-CN"/>
          <w14:textFill>
            <w14:solidFill>
              <w14:schemeClr w14:val="tx1"/>
            </w14:solidFill>
          </w14:textFill>
        </w:rPr>
        <w:t>）开阔厂区</w:t>
      </w:r>
      <w:r>
        <w:rPr>
          <w:rFonts w:hint="eastAsia" w:ascii="仿宋_GB2312" w:hAnsi="仿宋_GB2312" w:eastAsia="仿宋_GB2312" w:cs="仿宋_GB2312"/>
          <w:sz w:val="28"/>
          <w:szCs w:val="28"/>
        </w:rPr>
        <w:t>主设备选型</w:t>
      </w:r>
      <w:r>
        <w:rPr>
          <w:rFonts w:hint="eastAsia" w:ascii="仿宋_GB2312" w:hAnsi="仿宋_GB2312" w:eastAsia="仿宋_GB2312" w:cs="仿宋_GB2312"/>
          <w:sz w:val="28"/>
          <w:szCs w:val="28"/>
          <w:lang w:val="en-US" w:eastAsia="zh-CN"/>
        </w:rPr>
        <w:t>要求</w:t>
      </w:r>
      <w:r>
        <w:rPr>
          <w:rFonts w:hint="eastAsia" w:ascii="仿宋_GB2312" w:hAnsi="仿宋_GB2312" w:eastAsia="仿宋_GB2312" w:cs="仿宋_GB2312"/>
          <w:color w:val="000000" w:themeColor="text1"/>
          <w:sz w:val="28"/>
          <w:szCs w:val="28"/>
          <w:lang w:val="zh-CN"/>
          <w14:textFill>
            <w14:solidFill>
              <w14:schemeClr w14:val="tx1"/>
            </w14:solidFill>
          </w14:textFill>
        </w:rPr>
        <w:t>:室外WIFI6定向AP</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_GB2312" w:hAnsi="仿宋_GB2312" w:eastAsia="仿宋_GB2312" w:cs="仿宋_GB2312"/>
          <w:color w:val="000000" w:themeColor="text1"/>
          <w:sz w:val="28"/>
          <w:szCs w:val="28"/>
          <w:lang w:val="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室外Wi-Fi 6无线AP内置矩阵式智能天线,基于最新的Wi-Fi 6标准开发,支持2×2 UL MU-MIMO技术、OFDMA空间复用技术和1024-QAM调制解调算法,整机最高速率达1.775Gbps,可提供更快的无线上网和更大的无线覆盖范围。满足各种</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日常</w:t>
      </w:r>
      <w:r>
        <w:rPr>
          <w:rFonts w:hint="eastAsia" w:ascii="仿宋_GB2312" w:hAnsi="仿宋_GB2312" w:eastAsia="仿宋_GB2312" w:cs="仿宋_GB2312"/>
          <w:color w:val="000000" w:themeColor="text1"/>
          <w:sz w:val="28"/>
          <w:szCs w:val="28"/>
          <w:lang w:val="zh-CN" w:eastAsia="zh-CN"/>
          <w14:textFill>
            <w14:solidFill>
              <w14:schemeClr w14:val="tx1"/>
            </w14:solidFill>
          </w14:textFill>
        </w:rPr>
        <w:t>办公、生产以及智慧净水示范工程</w:t>
      </w:r>
      <w:r>
        <w:rPr>
          <w:rFonts w:hint="eastAsia" w:ascii="仿宋_GB2312" w:hAnsi="仿宋_GB2312" w:eastAsia="仿宋_GB2312" w:cs="仿宋_GB2312"/>
          <w:color w:val="000000" w:themeColor="text1"/>
          <w:sz w:val="28"/>
          <w:szCs w:val="28"/>
          <w:lang w:val="zh-CN"/>
          <w14:textFill>
            <w14:solidFill>
              <w14:schemeClr w14:val="tx1"/>
            </w14:solidFill>
          </w14:textFill>
        </w:rPr>
        <w:t>无线业务的承载使用,如视频、语音等多媒体业务,并提供智能射频、服务质量保证、无缝漫游等。采用千兆以太网口上行链路,保证无线高速传输,</w:t>
      </w:r>
      <w:r>
        <w:rPr>
          <w:rFonts w:hint="eastAsia" w:ascii="仿宋_GB2312" w:hAnsi="仿宋_GB2312" w:eastAsia="仿宋_GB2312" w:cs="仿宋_GB2312"/>
          <w:b w:val="0"/>
          <w:bCs w:val="0"/>
          <w:color w:val="000000" w:themeColor="text1"/>
          <w:sz w:val="28"/>
          <w:szCs w:val="28"/>
          <w:lang w:val="zh-CN"/>
          <w14:textFill>
            <w14:solidFill>
              <w14:schemeClr w14:val="tx1"/>
            </w14:solidFill>
          </w14:textFill>
        </w:rPr>
        <w:t>支持PoE远程供电,可根据现场供电环境进行灵活选择，配合控</w:t>
      </w:r>
      <w:r>
        <w:rPr>
          <w:rFonts w:hint="eastAsia" w:ascii="仿宋_GB2312" w:hAnsi="仿宋_GB2312" w:eastAsia="仿宋_GB2312" w:cs="仿宋_GB2312"/>
          <w:color w:val="000000" w:themeColor="text1"/>
          <w:sz w:val="28"/>
          <w:szCs w:val="28"/>
          <w:lang w:val="zh-CN"/>
          <w14:textFill>
            <w14:solidFill>
              <w14:schemeClr w14:val="tx1"/>
            </w14:solidFill>
          </w14:textFill>
        </w:rPr>
        <w:t>制器,带来更快速的网络体验和更安全的业务接入。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_GB2312" w:hAnsi="仿宋_GB2312" w:eastAsia="仿宋_GB2312" w:cs="仿宋_GB2312"/>
          <w:color w:val="000000" w:themeColor="text1"/>
          <w:sz w:val="28"/>
          <w:szCs w:val="28"/>
          <w:lang w:val="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lang w:val="zh-CN"/>
          <w14:textFill>
            <w14:solidFill>
              <w14:schemeClr w14:val="tx1"/>
            </w14:solidFill>
          </w14:textFill>
        </w:rPr>
        <w:t>）室内小型办公点主设备选型</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要求</w:t>
      </w:r>
      <w:r>
        <w:rPr>
          <w:rFonts w:hint="eastAsia" w:ascii="仿宋_GB2312" w:hAnsi="仿宋_GB2312" w:eastAsia="仿宋_GB2312" w:cs="仿宋_GB2312"/>
          <w:color w:val="000000" w:themeColor="text1"/>
          <w:sz w:val="28"/>
          <w:szCs w:val="28"/>
          <w:lang w:val="zh-CN"/>
          <w14:textFill>
            <w14:solidFill>
              <w14:schemeClr w14:val="tx1"/>
            </w14:solidFill>
          </w14:textFill>
        </w:rPr>
        <w:t>:室内WiFi6AP</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_GB2312" w:hAnsi="仿宋_GB2312" w:eastAsia="仿宋_GB2312" w:cs="仿宋_GB2312"/>
          <w:color w:val="000000" w:themeColor="text1"/>
          <w:sz w:val="28"/>
          <w:szCs w:val="28"/>
          <w:lang w:val="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室内无线AP内置矩阵式智能天线,基于最新的Wi-Fi 6标准,支持802.11ax协议,支持2×2 MU-MIMO技术,支持双频双路4条空间流,OFDMA空分复用技术和1024QAM调制解调算法,整机最高速率达1.775Gbps,支持USB口,可提供更快的无线上网和更大的无线覆盖范围。满足各种</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日常</w:t>
      </w:r>
      <w:r>
        <w:rPr>
          <w:rFonts w:hint="eastAsia" w:ascii="仿宋_GB2312" w:hAnsi="仿宋_GB2312" w:eastAsia="仿宋_GB2312" w:cs="仿宋_GB2312"/>
          <w:color w:val="000000" w:themeColor="text1"/>
          <w:sz w:val="28"/>
          <w:szCs w:val="28"/>
          <w:lang w:val="zh-CN" w:eastAsia="zh-CN"/>
          <w14:textFill>
            <w14:solidFill>
              <w14:schemeClr w14:val="tx1"/>
            </w14:solidFill>
          </w14:textFill>
        </w:rPr>
        <w:t>办公、生产以及智慧净水示范工程</w:t>
      </w:r>
      <w:r>
        <w:rPr>
          <w:rFonts w:hint="eastAsia" w:ascii="仿宋_GB2312" w:hAnsi="仿宋_GB2312" w:eastAsia="仿宋_GB2312" w:cs="仿宋_GB2312"/>
          <w:color w:val="000000" w:themeColor="text1"/>
          <w:sz w:val="28"/>
          <w:szCs w:val="28"/>
          <w:lang w:val="zh-CN"/>
          <w14:textFill>
            <w14:solidFill>
              <w14:schemeClr w14:val="tx1"/>
            </w14:solidFill>
          </w14:textFill>
        </w:rPr>
        <w:t>无线业务的承载使用,如视频、语音等多媒体业务,并提供智能射频、服务质量保证、无缝漫游等。室内无线AP采用千兆以太网口上行链路,保证无线高速传输;支持本地供电与POE远程供电,可根据现场供电环境进行灵活选择。室内无线AP支持802.1X/CA证书/移动OA/微信小程序/短信/多因素等多种认证方式，APP缓存、数据探针、智能负载均衡、网关、VPN、QoS、潜在风险终端和网络访问流量的识别与封堵，胖瘦一体化、室内无线AP适用于吸顶、壁挂以及桌面放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_GB2312" w:hAnsi="仿宋_GB2312" w:eastAsia="仿宋_GB2312" w:cs="仿宋_GB2312"/>
          <w:color w:val="000000" w:themeColor="text1"/>
          <w:sz w:val="28"/>
          <w:szCs w:val="28"/>
          <w:lang w:val="zh-CN" w:eastAsia="zh-CN"/>
          <w14:textFill>
            <w14:solidFill>
              <w14:schemeClr w14:val="tx1"/>
            </w14:solidFill>
          </w14:textFill>
        </w:rPr>
      </w:pPr>
      <w:r>
        <w:rPr>
          <w:rFonts w:hint="eastAsia" w:ascii="仿宋_GB2312" w:hAnsi="仿宋_GB2312" w:eastAsia="仿宋_GB2312" w:cs="仿宋_GB2312"/>
          <w:color w:val="000000" w:themeColor="text1"/>
          <w:sz w:val="28"/>
          <w:szCs w:val="28"/>
          <w:lang w:val="zh-CN" w:eastAsia="zh-CN"/>
          <w14:textFill>
            <w14:solidFill>
              <w14:schemeClr w14:val="tx1"/>
            </w14:solidFill>
          </w14:textFill>
        </w:rPr>
        <w:t>为保证整个系统的质量，</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室内无线AP、室外无线AP、无线控制器AC，品牌参照或相当于华为、信锐、华三等</w:t>
      </w:r>
      <w:r>
        <w:rPr>
          <w:rFonts w:hint="eastAsia" w:ascii="仿宋_GB2312" w:hAnsi="仿宋_GB2312" w:eastAsia="仿宋_GB2312" w:cs="仿宋_GB2312"/>
          <w:color w:val="000000" w:themeColor="text1"/>
          <w:sz w:val="28"/>
          <w:szCs w:val="28"/>
          <w:lang w:val="zh-CN" w:eastAsia="zh-CN"/>
          <w14:textFill>
            <w14:solidFill>
              <w14:schemeClr w14:val="tx1"/>
            </w14:solidFill>
          </w14:textFill>
        </w:rPr>
        <w:t>知名品牌。</w:t>
      </w:r>
    </w:p>
    <w:p>
      <w:pPr>
        <w:pStyle w:val="31"/>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560" w:firstLineChars="200"/>
        <w:jc w:val="both"/>
        <w:textAlignment w:val="auto"/>
        <w:rPr>
          <w:rFonts w:hint="eastAsia" w:ascii="仿宋_GB2312" w:hAnsi="仿宋_GB2312" w:eastAsia="仿宋_GB2312" w:cs="仿宋_GB2312"/>
          <w:color w:val="000000" w:themeColor="text1"/>
          <w:kern w:val="2"/>
          <w:sz w:val="28"/>
          <w:szCs w:val="28"/>
          <w:lang w:val="zh-CN" w:eastAsia="zh-CN" w:bidi="ar-SA"/>
          <w14:textFill>
            <w14:solidFill>
              <w14:schemeClr w14:val="tx1"/>
            </w14:solidFill>
          </w14:textFill>
        </w:rPr>
      </w:pPr>
      <w:bookmarkStart w:id="2" w:name="_Toc80228227"/>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4.</w:t>
      </w:r>
      <w:r>
        <w:rPr>
          <w:rFonts w:hint="eastAsia" w:ascii="仿宋_GB2312" w:hAnsi="仿宋_GB2312" w:eastAsia="仿宋_GB2312" w:cs="仿宋_GB2312"/>
          <w:color w:val="000000" w:themeColor="text1"/>
          <w:kern w:val="2"/>
          <w:sz w:val="28"/>
          <w:szCs w:val="28"/>
          <w:lang w:val="zh-CN" w:eastAsia="zh-CN" w:bidi="ar-SA"/>
          <w14:textFill>
            <w14:solidFill>
              <w14:schemeClr w14:val="tx1"/>
            </w14:solidFill>
          </w14:textFill>
        </w:rPr>
        <w:t>供电线缆选型要求</w:t>
      </w:r>
      <w:bookmarkEnd w:id="2"/>
    </w:p>
    <w:p>
      <w:pPr>
        <w:keepNext w:val="0"/>
        <w:keepLines w:val="0"/>
        <w:pageBreakBefore w:val="0"/>
        <w:kinsoku/>
        <w:wordWrap/>
        <w:overflowPunct/>
        <w:topLinePunct w:val="0"/>
        <w:bidi w:val="0"/>
        <w:spacing w:line="240" w:lineRule="auto"/>
        <w:ind w:firstLine="560" w:firstLineChars="200"/>
        <w:jc w:val="both"/>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1</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rPr>
        <w:t>主干电源线</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主干线缆选用RVV3*2.5mm2；额定电压：300V/500V。</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导体：多股铜导体，符合GB/T 3956 第5类（等同于IEC60228.5）。</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绝缘：聚氯乙烯混合料（PVC）。</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芯线标识：≤5芯，彩色芯线；黑色芯线白色数字编号，黄绿地线。</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截面积：0.75-2.5mm&amp;sup2;，0.5、2.5—35mm&amp;sup2;</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测试电压：2000V，5min。绝缘电阻：&gt;200M欧姆×KM。</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使用温度：-30~ +70℃。弯曲半径：15×电缆外径。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阻燃特性：IEC 60 332.1。参考标准：GB 5023、IEC60227、HD VDE21.5 S3。</w:t>
      </w:r>
    </w:p>
    <w:p>
      <w:pPr>
        <w:keepNext w:val="0"/>
        <w:keepLines w:val="0"/>
        <w:pageBreakBefore w:val="0"/>
        <w:kinsoku/>
        <w:wordWrap/>
        <w:overflowPunct/>
        <w:topLinePunct w:val="0"/>
        <w:bidi w:val="0"/>
        <w:spacing w:line="240" w:lineRule="auto"/>
        <w:ind w:firstLine="560" w:firstLineChars="200"/>
        <w:jc w:val="both"/>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2</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rPr>
        <w:t>支线电源线</w:t>
      </w:r>
    </w:p>
    <w:p>
      <w:pPr>
        <w:pStyle w:val="57"/>
        <w:keepNext w:val="0"/>
        <w:keepLines w:val="0"/>
        <w:pageBreakBefore w:val="0"/>
        <w:kinsoku/>
        <w:wordWrap/>
        <w:overflowPunct/>
        <w:topLinePunct w:val="0"/>
        <w:bidi w:val="0"/>
        <w:spacing w:line="240" w:lineRule="auto"/>
        <w:ind w:firstLine="560" w:firstLineChars="200"/>
        <w:jc w:val="both"/>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末端AP均为POE供电</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rPr>
        <w:t>根据网络要求选择六类四对非屏蔽双绞线</w:t>
      </w:r>
    </w:p>
    <w:p>
      <w:pPr>
        <w:pStyle w:val="57"/>
        <w:keepNext w:val="0"/>
        <w:keepLines w:val="0"/>
        <w:pageBreakBefore w:val="0"/>
        <w:kinsoku/>
        <w:wordWrap/>
        <w:overflowPunct/>
        <w:topLinePunct w:val="0"/>
        <w:bidi w:val="0"/>
        <w:spacing w:line="240" w:lineRule="auto"/>
        <w:ind w:firstLine="560" w:firstLineChars="200"/>
        <w:jc w:val="both"/>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芯线规格：23AWG芯线对数：4对，每芯带有彩色护套</w:t>
      </w:r>
    </w:p>
    <w:p>
      <w:pPr>
        <w:pStyle w:val="57"/>
        <w:keepNext w:val="0"/>
        <w:keepLines w:val="0"/>
        <w:pageBreakBefore w:val="0"/>
        <w:kinsoku/>
        <w:wordWrap/>
        <w:overflowPunct/>
        <w:topLinePunct w:val="0"/>
        <w:bidi w:val="0"/>
        <w:spacing w:line="240" w:lineRule="auto"/>
        <w:ind w:firstLine="560" w:firstLineChars="200"/>
        <w:jc w:val="both"/>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标准：ISO/IEC11801TIA/EIA568B带宽：≥250MHz</w:t>
      </w:r>
    </w:p>
    <w:p>
      <w:pPr>
        <w:pStyle w:val="31"/>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560" w:firstLineChars="200"/>
        <w:jc w:val="both"/>
        <w:textAlignment w:val="auto"/>
        <w:rPr>
          <w:rFonts w:hint="eastAsia" w:ascii="仿宋_GB2312" w:hAnsi="仿宋_GB2312" w:eastAsia="仿宋_GB2312" w:cs="仿宋_GB2312"/>
          <w:sz w:val="28"/>
          <w:szCs w:val="28"/>
          <w:lang w:val="zh-CN"/>
        </w:rPr>
      </w:pPr>
      <w:bookmarkStart w:id="3" w:name="_Toc8943"/>
      <w:bookmarkStart w:id="4" w:name="_Toc6042"/>
      <w:bookmarkStart w:id="5" w:name="_Toc15491"/>
      <w:bookmarkStart w:id="6" w:name="_Toc7706"/>
      <w:bookmarkStart w:id="7" w:name="_Toc19955"/>
      <w:bookmarkStart w:id="8" w:name="_Toc20956"/>
      <w:bookmarkStart w:id="9" w:name="_Toc1960"/>
      <w:bookmarkStart w:id="10" w:name="_Toc16811"/>
      <w:bookmarkStart w:id="11" w:name="_Toc31994"/>
      <w:bookmarkStart w:id="12" w:name="_Toc499646446"/>
      <w:bookmarkStart w:id="13" w:name="_Toc6682"/>
      <w:bookmarkStart w:id="14" w:name="_Toc32079"/>
      <w:bookmarkStart w:id="15" w:name="_Toc736"/>
      <w:bookmarkStart w:id="16" w:name="_Toc28063"/>
      <w:bookmarkStart w:id="17" w:name="_Toc4447"/>
      <w:bookmarkStart w:id="18" w:name="_Toc1188"/>
      <w:bookmarkStart w:id="19" w:name="_Toc80228228"/>
      <w:r>
        <w:rPr>
          <w:rFonts w:hint="eastAsia" w:ascii="仿宋_GB2312" w:hAnsi="仿宋_GB2312" w:cs="仿宋_GB2312"/>
          <w:sz w:val="28"/>
          <w:szCs w:val="28"/>
          <w:lang w:val="en-US" w:eastAsia="zh-CN"/>
        </w:rPr>
        <w:t>5.</w:t>
      </w:r>
      <w:r>
        <w:rPr>
          <w:rFonts w:hint="eastAsia" w:ascii="仿宋_GB2312" w:hAnsi="仿宋_GB2312" w:eastAsia="仿宋_GB2312" w:cs="仿宋_GB2312"/>
          <w:sz w:val="28"/>
          <w:szCs w:val="28"/>
          <w:lang w:val="zh-CN"/>
        </w:rPr>
        <w:t>传输线缆</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hint="eastAsia" w:ascii="仿宋_GB2312" w:hAnsi="仿宋_GB2312" w:eastAsia="仿宋_GB2312" w:cs="仿宋_GB2312"/>
          <w:sz w:val="28"/>
          <w:szCs w:val="28"/>
          <w:lang w:val="zh-CN"/>
        </w:rPr>
        <w:t>要求</w:t>
      </w:r>
      <w:bookmarkEnd w:id="19"/>
    </w:p>
    <w:p>
      <w:pPr>
        <w:pStyle w:val="57"/>
        <w:keepNext w:val="0"/>
        <w:keepLines w:val="0"/>
        <w:pageBreakBefore w:val="0"/>
        <w:kinsoku/>
        <w:wordWrap/>
        <w:overflowPunct/>
        <w:topLinePunct w:val="0"/>
        <w:bidi w:val="0"/>
        <w:spacing w:line="240" w:lineRule="auto"/>
        <w:ind w:firstLine="560" w:firstLineChars="200"/>
        <w:jc w:val="both"/>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对于光缆的敷设实现端到端到位，并在各端盘留一定的长度，对于光缆的型号、芯数和光端机的选择充分考虑传输距离、信号、施工和环境的要求，考虑后续扩容需要，在选择上预留一定的冗余。</w:t>
      </w:r>
    </w:p>
    <w:p>
      <w:pPr>
        <w:keepNext w:val="0"/>
        <w:keepLines w:val="0"/>
        <w:pageBreakBefore w:val="0"/>
        <w:kinsoku/>
        <w:wordWrap/>
        <w:overflowPunct/>
        <w:topLinePunct w:val="0"/>
        <w:bidi w:val="0"/>
        <w:spacing w:line="24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机房及所有汇聚点的主干、支线光纤要求满融到光纤配线架上，满足今后扩容需要。</w:t>
      </w:r>
    </w:p>
    <w:p>
      <w:pPr>
        <w:keepNext w:val="0"/>
        <w:keepLines w:val="0"/>
        <w:pageBreakBefore w:val="0"/>
        <w:kinsoku/>
        <w:wordWrap/>
        <w:overflowPunct/>
        <w:topLinePunct w:val="0"/>
        <w:bidi w:val="0"/>
        <w:spacing w:line="24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为保证整个系统的质量，</w:t>
      </w:r>
      <w:r>
        <w:rPr>
          <w:rFonts w:hint="eastAsia" w:ascii="仿宋_GB2312" w:hAnsi="仿宋_GB2312" w:eastAsia="仿宋_GB2312" w:cs="仿宋_GB2312"/>
          <w:sz w:val="28"/>
          <w:szCs w:val="28"/>
          <w:lang w:val="en-US" w:eastAsia="zh-CN"/>
        </w:rPr>
        <w:t>室内</w:t>
      </w:r>
      <w:r>
        <w:rPr>
          <w:rFonts w:hint="eastAsia" w:ascii="仿宋_GB2312" w:hAnsi="宋体" w:eastAsia="仿宋_GB2312" w:cs="Arial"/>
          <w:sz w:val="28"/>
          <w:szCs w:val="28"/>
        </w:rPr>
        <w:t>光纤</w:t>
      </w:r>
      <w:r>
        <w:rPr>
          <w:rFonts w:hint="eastAsia" w:ascii="仿宋_GB2312" w:hAnsi="宋体" w:eastAsia="仿宋_GB2312" w:cs="Arial"/>
          <w:sz w:val="28"/>
          <w:szCs w:val="28"/>
          <w:lang w:val="en-US" w:eastAsia="zh-CN"/>
        </w:rPr>
        <w:t>品牌参照或相当于</w:t>
      </w:r>
      <w:r>
        <w:rPr>
          <w:rFonts w:hint="eastAsia" w:ascii="仿宋_GB2312" w:hAnsi="宋体" w:eastAsia="仿宋_GB2312" w:cs="Arial"/>
          <w:sz w:val="28"/>
          <w:szCs w:val="28"/>
        </w:rPr>
        <w:t>汉维、普天国内</w:t>
      </w:r>
      <w:r>
        <w:rPr>
          <w:rFonts w:hint="eastAsia" w:ascii="仿宋_GB2312" w:hAnsi="宋体" w:eastAsia="仿宋_GB2312" w:cs="Arial"/>
          <w:sz w:val="28"/>
          <w:szCs w:val="28"/>
          <w:lang w:val="en-US" w:eastAsia="zh-CN"/>
        </w:rPr>
        <w:t>等</w:t>
      </w:r>
      <w:r>
        <w:rPr>
          <w:rFonts w:hint="eastAsia" w:ascii="仿宋_GB2312" w:hAnsi="宋体" w:eastAsia="仿宋_GB2312" w:cs="Arial"/>
          <w:sz w:val="28"/>
          <w:szCs w:val="28"/>
        </w:rPr>
        <w:t>知名品牌，超6类网线</w:t>
      </w:r>
      <w:r>
        <w:rPr>
          <w:rFonts w:hint="eastAsia" w:ascii="仿宋_GB2312" w:hAnsi="宋体" w:eastAsia="仿宋_GB2312" w:cs="Arial"/>
          <w:sz w:val="28"/>
          <w:szCs w:val="28"/>
          <w:lang w:val="en-US" w:eastAsia="zh-CN"/>
        </w:rPr>
        <w:t>品牌参照或相当于</w:t>
      </w:r>
      <w:r>
        <w:rPr>
          <w:rFonts w:hint="eastAsia" w:ascii="仿宋_GB2312" w:hAnsi="宋体" w:eastAsia="仿宋_GB2312" w:cs="Arial"/>
          <w:sz w:val="28"/>
          <w:szCs w:val="28"/>
        </w:rPr>
        <w:t>西蒙、康普国内外知名品牌。</w:t>
      </w:r>
    </w:p>
    <w:p>
      <w:pPr>
        <w:pStyle w:val="5"/>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eastAsia="仿宋_GB2312"/>
          <w:b w:val="0"/>
          <w:bCs w:val="0"/>
          <w:sz w:val="28"/>
          <w:szCs w:val="28"/>
          <w:lang w:eastAsia="zh-CN"/>
        </w:rPr>
      </w:pPr>
      <w:bookmarkStart w:id="20" w:name="_Toc80228229"/>
      <w:r>
        <w:rPr>
          <w:rFonts w:hint="eastAsia" w:ascii="仿宋_GB2312" w:eastAsia="仿宋_GB2312"/>
          <w:b w:val="0"/>
          <w:bCs w:val="0"/>
          <w:sz w:val="28"/>
          <w:szCs w:val="28"/>
          <w:lang w:val="en-US" w:eastAsia="zh-CN"/>
        </w:rPr>
        <w:t>6.</w:t>
      </w:r>
      <w:r>
        <w:rPr>
          <w:rFonts w:hint="eastAsia" w:ascii="仿宋_GB2312" w:eastAsia="仿宋_GB2312"/>
          <w:b w:val="0"/>
          <w:bCs w:val="0"/>
          <w:sz w:val="28"/>
          <w:szCs w:val="28"/>
          <w:lang w:eastAsia="zh-CN"/>
        </w:rPr>
        <w:t>实施要求</w:t>
      </w:r>
      <w:bookmarkEnd w:id="20"/>
    </w:p>
    <w:p>
      <w:pPr>
        <w:pStyle w:val="6"/>
        <w:pageBreakBefore w:val="0"/>
        <w:widowControl w:val="0"/>
        <w:numPr>
          <w:ilvl w:val="0"/>
          <w:numId w:val="0"/>
        </w:numPr>
        <w:kinsoku/>
        <w:wordWrap/>
        <w:overflowPunct/>
        <w:topLinePunct w:val="0"/>
        <w:autoSpaceDE/>
        <w:autoSpaceDN/>
        <w:bidi w:val="0"/>
        <w:adjustRightInd/>
        <w:snapToGrid/>
        <w:spacing w:line="240" w:lineRule="auto"/>
        <w:ind w:left="480" w:leftChars="0" w:firstLine="560" w:firstLineChars="200"/>
        <w:textAlignment w:val="auto"/>
        <w:rPr>
          <w:rFonts w:hint="eastAsia" w:ascii="仿宋_GB2312" w:eastAsia="仿宋_GB2312"/>
          <w:b w:val="0"/>
          <w:bCs w:val="0"/>
          <w:sz w:val="28"/>
          <w:szCs w:val="28"/>
        </w:rPr>
      </w:pPr>
      <w:r>
        <w:rPr>
          <w:rFonts w:hint="eastAsia" w:ascii="仿宋_GB2312" w:eastAsia="仿宋_GB2312"/>
          <w:b w:val="0"/>
          <w:bCs w:val="0"/>
          <w:sz w:val="28"/>
          <w:szCs w:val="28"/>
          <w:lang w:val="en-US" w:eastAsia="zh-CN"/>
        </w:rPr>
        <w:t>1.</w:t>
      </w:r>
      <w:r>
        <w:rPr>
          <w:rFonts w:hint="eastAsia" w:ascii="仿宋_GB2312" w:eastAsia="仿宋_GB2312"/>
          <w:b w:val="0"/>
          <w:bCs w:val="0"/>
          <w:sz w:val="28"/>
          <w:szCs w:val="28"/>
        </w:rPr>
        <w:t>项目实施单位须根据地埋式污水处理厂安全生产的需要做好综合布线路由规划，协助厂区管理人员制定日常实施细则，当出现紧急情况下，应急指挥可灵活调整系统设置。保证通讯信号畅通，互不干扰，互为补充。</w:t>
      </w:r>
    </w:p>
    <w:p>
      <w:pPr>
        <w:pStyle w:val="6"/>
        <w:pageBreakBefore w:val="0"/>
        <w:widowControl w:val="0"/>
        <w:numPr>
          <w:ilvl w:val="0"/>
          <w:numId w:val="0"/>
        </w:numPr>
        <w:kinsoku/>
        <w:wordWrap/>
        <w:overflowPunct/>
        <w:topLinePunct w:val="0"/>
        <w:autoSpaceDE/>
        <w:autoSpaceDN/>
        <w:bidi w:val="0"/>
        <w:adjustRightInd/>
        <w:snapToGrid/>
        <w:spacing w:line="240" w:lineRule="auto"/>
        <w:ind w:left="480" w:leftChars="0" w:firstLine="560" w:firstLineChars="200"/>
        <w:textAlignment w:val="auto"/>
        <w:rPr>
          <w:rFonts w:hint="eastAsia" w:ascii="仿宋_GB2312" w:eastAsia="仿宋_GB2312"/>
          <w:b w:val="0"/>
          <w:bCs w:val="0"/>
          <w:sz w:val="28"/>
          <w:szCs w:val="28"/>
        </w:rPr>
      </w:pPr>
      <w:r>
        <w:rPr>
          <w:rFonts w:hint="eastAsia" w:ascii="仿宋_GB2312" w:eastAsia="仿宋_GB2312"/>
          <w:b w:val="0"/>
          <w:bCs w:val="0"/>
          <w:sz w:val="28"/>
          <w:szCs w:val="28"/>
          <w:lang w:val="en-US" w:eastAsia="zh-CN"/>
        </w:rPr>
        <w:t>2.</w:t>
      </w:r>
      <w:r>
        <w:rPr>
          <w:rFonts w:hint="eastAsia" w:ascii="仿宋_GB2312" w:eastAsia="仿宋_GB2312"/>
          <w:b w:val="0"/>
          <w:bCs w:val="0"/>
          <w:sz w:val="28"/>
          <w:szCs w:val="28"/>
        </w:rPr>
        <w:t>线路的安装要规范美观，要求每隔1米须固定一次，转弯须适当增加加固点。</w:t>
      </w:r>
    </w:p>
    <w:p>
      <w:pPr>
        <w:pStyle w:val="6"/>
        <w:pageBreakBefore w:val="0"/>
        <w:widowControl w:val="0"/>
        <w:numPr>
          <w:ilvl w:val="0"/>
          <w:numId w:val="0"/>
        </w:numPr>
        <w:kinsoku/>
        <w:wordWrap/>
        <w:overflowPunct/>
        <w:topLinePunct w:val="0"/>
        <w:autoSpaceDE/>
        <w:autoSpaceDN/>
        <w:bidi w:val="0"/>
        <w:adjustRightInd/>
        <w:snapToGrid/>
        <w:spacing w:line="240" w:lineRule="auto"/>
        <w:ind w:left="48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eastAsia="仿宋_GB2312"/>
          <w:b w:val="0"/>
          <w:bCs w:val="0"/>
          <w:sz w:val="28"/>
          <w:szCs w:val="28"/>
          <w:lang w:val="en-US" w:eastAsia="zh-CN"/>
        </w:rPr>
        <w:t>3.</w:t>
      </w:r>
      <w:r>
        <w:rPr>
          <w:rFonts w:hint="eastAsia" w:ascii="仿宋_GB2312" w:eastAsia="仿宋_GB2312"/>
          <w:b w:val="0"/>
          <w:bCs w:val="0"/>
          <w:sz w:val="28"/>
          <w:szCs w:val="28"/>
        </w:rPr>
        <w:t>由施工单位提供规范的测试方案，经我方审批通过后开展整体测试，达到我方技术参数要求</w:t>
      </w:r>
      <w:r>
        <w:rPr>
          <w:rFonts w:hint="eastAsia" w:ascii="仿宋_GB2312" w:eastAsia="仿宋_GB2312"/>
          <w:b w:val="0"/>
          <w:bCs w:val="0"/>
          <w:sz w:val="28"/>
          <w:szCs w:val="28"/>
          <w:lang w:eastAsia="zh-CN"/>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实现沥滘分公司地下空间的WIFI全面覆盖</w:t>
      </w:r>
      <w:r>
        <w:rPr>
          <w:rFonts w:hint="eastAsia" w:ascii="仿宋_GB2312" w:eastAsia="仿宋_GB2312"/>
          <w:b w:val="0"/>
          <w:bCs w:val="0"/>
          <w:sz w:val="28"/>
          <w:szCs w:val="28"/>
        </w:rPr>
        <w:t>后方可申请</w:t>
      </w:r>
      <w:r>
        <w:rPr>
          <w:rFonts w:hint="eastAsia" w:ascii="仿宋_GB2312" w:eastAsia="仿宋_GB2312"/>
          <w:b w:val="0"/>
          <w:bCs w:val="0"/>
          <w:sz w:val="28"/>
          <w:szCs w:val="28"/>
          <w:lang w:val="en-US" w:eastAsia="zh-CN"/>
        </w:rPr>
        <w:t>竣工</w:t>
      </w:r>
      <w:r>
        <w:rPr>
          <w:rFonts w:hint="eastAsia" w:ascii="仿宋_GB2312" w:eastAsia="仿宋_GB2312"/>
          <w:b w:val="0"/>
          <w:bCs w:val="0"/>
          <w:sz w:val="28"/>
          <w:szCs w:val="28"/>
        </w:rPr>
        <w:t>验收</w:t>
      </w:r>
      <w:r>
        <w:rPr>
          <w:rFonts w:hint="eastAsia" w:ascii="仿宋_GB2312" w:eastAsia="仿宋_GB2312"/>
          <w:b w:val="0"/>
          <w:bCs w:val="0"/>
          <w:sz w:val="28"/>
          <w:szCs w:val="28"/>
          <w:lang w:eastAsia="zh-CN"/>
        </w:rPr>
        <w:t>。</w:t>
      </w:r>
    </w:p>
    <w:p>
      <w:pPr>
        <w:pStyle w:val="31"/>
        <w:rPr>
          <w:rFonts w:hint="eastAsia" w:ascii="仿宋_GB2312" w:hAnsi="仿宋_GB2312" w:eastAsia="仿宋_GB2312" w:cs="仿宋_GB2312"/>
        </w:rPr>
      </w:pPr>
    </w:p>
    <w:bookmarkEnd w:id="1"/>
    <w:p>
      <w:pPr>
        <w:adjustRightInd w:val="0"/>
        <w:snapToGrid w:val="0"/>
        <w:spacing w:line="360" w:lineRule="auto"/>
        <w:ind w:firstLine="420"/>
        <w:outlineLvl w:val="1"/>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.技术要求</w:t>
      </w:r>
    </w:p>
    <w:p>
      <w:pPr>
        <w:spacing w:line="300" w:lineRule="auto"/>
        <w:ind w:firstLine="420"/>
        <w:rPr>
          <w:rFonts w:hint="eastAsia" w:ascii="仿宋_GB2312" w:hAnsi="仿宋_GB2312" w:eastAsia="仿宋_GB2312" w:cs="仿宋_GB2312"/>
          <w:sz w:val="28"/>
          <w:szCs w:val="28"/>
          <w:u w:val="single"/>
          <w:lang w:val="zh-CN"/>
        </w:rPr>
      </w:pPr>
      <w:r>
        <w:rPr>
          <w:rFonts w:hint="eastAsia" w:ascii="仿宋_GB2312" w:hAnsi="仿宋_GB2312" w:eastAsia="仿宋_GB2312" w:cs="仿宋_GB2312"/>
          <w:sz w:val="28"/>
          <w:szCs w:val="28"/>
        </w:rPr>
        <w:t>（1）</w:t>
      </w:r>
      <w:r>
        <w:rPr>
          <w:rFonts w:hint="eastAsia" w:ascii="仿宋_GB2312" w:hAnsi="仿宋_GB2312" w:eastAsia="仿宋_GB2312" w:cs="仿宋_GB2312"/>
          <w:sz w:val="20"/>
          <w:szCs w:val="20"/>
          <w:highlight w:val="none"/>
          <w:lang w:val="en-US" w:eastAsia="zh-CN"/>
        </w:rPr>
        <w:t>△</w:t>
      </w:r>
      <w:r>
        <w:rPr>
          <w:rFonts w:hint="eastAsia" w:ascii="仿宋_GB2312" w:hAnsi="仿宋_GB2312" w:eastAsia="仿宋_GB2312" w:cs="仿宋_GB2312"/>
          <w:sz w:val="28"/>
          <w:szCs w:val="28"/>
          <w:u w:val="single"/>
          <w:lang w:val="zh-CN"/>
        </w:rPr>
        <w:t>供应商</w:t>
      </w:r>
      <w:r>
        <w:rPr>
          <w:rFonts w:hint="eastAsia" w:ascii="仿宋_GB2312" w:hAnsi="仿宋_GB2312" w:eastAsia="仿宋_GB2312" w:cs="仿宋_GB2312"/>
          <w:sz w:val="28"/>
          <w:szCs w:val="28"/>
          <w:u w:val="single"/>
        </w:rPr>
        <w:t>递交响应文件时</w:t>
      </w:r>
      <w:r>
        <w:rPr>
          <w:rFonts w:hint="eastAsia" w:ascii="仿宋_GB2312" w:hAnsi="仿宋_GB2312" w:eastAsia="仿宋_GB2312" w:cs="仿宋_GB2312"/>
          <w:sz w:val="28"/>
          <w:szCs w:val="28"/>
          <w:u w:val="single"/>
          <w:lang w:val="zh-CN"/>
        </w:rPr>
        <w:t>须出具承诺函，承诺所提供报价货物/设备备件均为制造商全新原装产品，</w:t>
      </w:r>
      <w:r>
        <w:rPr>
          <w:rFonts w:hint="eastAsia" w:ascii="仿宋_GB2312" w:hAnsi="仿宋_GB2312" w:eastAsia="仿宋_GB2312" w:cs="仿宋_GB2312"/>
          <w:sz w:val="28"/>
          <w:szCs w:val="28"/>
          <w:u w:val="single"/>
          <w:lang w:val="en-US" w:eastAsia="zh-CN"/>
        </w:rPr>
        <w:t>且</w:t>
      </w:r>
      <w:r>
        <w:rPr>
          <w:rFonts w:hint="eastAsia" w:ascii="仿宋_GB2312" w:hAnsi="仿宋_GB2312" w:eastAsia="仿宋_GB2312" w:cs="仿宋_GB2312"/>
          <w:sz w:val="28"/>
          <w:szCs w:val="28"/>
          <w:u w:val="single"/>
          <w:lang w:val="zh-CN"/>
        </w:rPr>
        <w:t>产品出厂</w:t>
      </w:r>
      <w:r>
        <w:rPr>
          <w:rFonts w:hint="eastAsia" w:ascii="仿宋_GB2312" w:hAnsi="仿宋_GB2312" w:eastAsia="仿宋_GB2312" w:cs="仿宋_GB2312"/>
          <w:sz w:val="28"/>
          <w:szCs w:val="28"/>
          <w:u w:val="single"/>
          <w:lang w:val="en-US" w:eastAsia="zh-CN"/>
        </w:rPr>
        <w:t>日期为</w:t>
      </w:r>
      <w:r>
        <w:rPr>
          <w:rFonts w:hint="eastAsia" w:ascii="仿宋_GB2312" w:hAnsi="仿宋_GB2312" w:eastAsia="仿宋_GB2312" w:cs="仿宋_GB2312"/>
          <w:sz w:val="28"/>
          <w:szCs w:val="28"/>
          <w:u w:val="single"/>
          <w:lang w:val="zh-CN"/>
        </w:rPr>
        <w:t>半年内，</w:t>
      </w:r>
      <w:r>
        <w:rPr>
          <w:rFonts w:hint="eastAsia" w:ascii="仿宋_GB2312" w:hAnsi="仿宋_GB2312" w:eastAsia="仿宋_GB2312" w:cs="仿宋_GB2312"/>
          <w:sz w:val="28"/>
          <w:szCs w:val="28"/>
          <w:u w:val="single"/>
          <w:lang w:val="en-US" w:eastAsia="zh-CN"/>
        </w:rPr>
        <w:t>供货时出具设备出厂合格证明</w:t>
      </w:r>
      <w:r>
        <w:rPr>
          <w:rFonts w:hint="eastAsia" w:ascii="仿宋_GB2312" w:hAnsi="仿宋_GB2312" w:eastAsia="仿宋_GB2312" w:cs="仿宋_GB2312"/>
          <w:sz w:val="28"/>
          <w:szCs w:val="28"/>
          <w:u w:val="single"/>
          <w:lang w:val="zh-CN"/>
        </w:rPr>
        <w:t>。</w:t>
      </w:r>
    </w:p>
    <w:p>
      <w:pPr>
        <w:pStyle w:val="31"/>
        <w:ind w:firstLine="420"/>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bCs/>
          <w:sz w:val="28"/>
          <w:szCs w:val="28"/>
        </w:rPr>
        <w:t>拟采购的软硬件配置及服务要求如下：</w:t>
      </w:r>
    </w:p>
    <w:tbl>
      <w:tblPr>
        <w:tblStyle w:val="25"/>
        <w:tblW w:w="9260" w:type="dxa"/>
        <w:jc w:val="center"/>
        <w:tblLayout w:type="autofit"/>
        <w:tblCellMar>
          <w:top w:w="0" w:type="dxa"/>
          <w:left w:w="108" w:type="dxa"/>
          <w:bottom w:w="0" w:type="dxa"/>
          <w:right w:w="108" w:type="dxa"/>
        </w:tblCellMar>
      </w:tblPr>
      <w:tblGrid>
        <w:gridCol w:w="660"/>
        <w:gridCol w:w="1660"/>
        <w:gridCol w:w="5340"/>
        <w:gridCol w:w="840"/>
        <w:gridCol w:w="760"/>
      </w:tblGrid>
      <w:tr>
        <w:tblPrEx>
          <w:tblCellMar>
            <w:top w:w="0" w:type="dxa"/>
            <w:left w:w="108" w:type="dxa"/>
            <w:bottom w:w="0" w:type="dxa"/>
            <w:right w:w="108" w:type="dxa"/>
          </w:tblCellMar>
        </w:tblPrEx>
        <w:trPr>
          <w:trHeight w:val="330"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
                <w:bCs/>
                <w:color w:val="000000" w:themeColor="text1"/>
                <w:kern w:val="0"/>
                <w:sz w:val="22"/>
                <w:szCs w:val="22"/>
                <w:highlight w:val="none"/>
                <w14:textFill>
                  <w14:solidFill>
                    <w14:schemeClr w14:val="tx1"/>
                  </w14:solidFill>
                </w14:textFill>
              </w:rPr>
            </w:pPr>
            <w:r>
              <w:rPr>
                <w:rFonts w:hint="eastAsia" w:ascii="仿宋_GB2312" w:hAnsi="仿宋_GB2312" w:eastAsia="仿宋_GB2312" w:cs="仿宋_GB2312"/>
                <w:b/>
                <w:bCs/>
                <w:color w:val="000000" w:themeColor="text1"/>
                <w:kern w:val="0"/>
                <w:sz w:val="22"/>
                <w:szCs w:val="22"/>
                <w:highlight w:val="none"/>
                <w14:textFill>
                  <w14:solidFill>
                    <w14:schemeClr w14:val="tx1"/>
                  </w14:solidFill>
                </w14:textFill>
              </w:rPr>
              <w:t>序号</w:t>
            </w:r>
          </w:p>
        </w:tc>
        <w:tc>
          <w:tcPr>
            <w:tcW w:w="16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
                <w:bCs/>
                <w:color w:val="000000" w:themeColor="text1"/>
                <w:kern w:val="0"/>
                <w:sz w:val="22"/>
                <w:szCs w:val="22"/>
                <w:highlight w:val="none"/>
                <w14:textFill>
                  <w14:solidFill>
                    <w14:schemeClr w14:val="tx1"/>
                  </w14:solidFill>
                </w14:textFill>
              </w:rPr>
            </w:pPr>
            <w:r>
              <w:rPr>
                <w:rFonts w:hint="eastAsia" w:ascii="仿宋_GB2312" w:hAnsi="仿宋_GB2312" w:eastAsia="仿宋_GB2312" w:cs="仿宋_GB2312"/>
                <w:b/>
                <w:bCs/>
                <w:color w:val="000000" w:themeColor="text1"/>
                <w:kern w:val="0"/>
                <w:sz w:val="22"/>
                <w:szCs w:val="22"/>
                <w:highlight w:val="none"/>
                <w14:textFill>
                  <w14:solidFill>
                    <w14:schemeClr w14:val="tx1"/>
                  </w14:solidFill>
                </w14:textFill>
              </w:rPr>
              <w:t>项目</w:t>
            </w:r>
          </w:p>
        </w:tc>
        <w:tc>
          <w:tcPr>
            <w:tcW w:w="53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
                <w:bCs/>
                <w:color w:val="000000" w:themeColor="text1"/>
                <w:kern w:val="0"/>
                <w:sz w:val="22"/>
                <w:szCs w:val="22"/>
                <w:highlight w:val="none"/>
                <w14:textFill>
                  <w14:solidFill>
                    <w14:schemeClr w14:val="tx1"/>
                  </w14:solidFill>
                </w14:textFill>
              </w:rPr>
            </w:pPr>
            <w:r>
              <w:rPr>
                <w:rFonts w:hint="eastAsia" w:ascii="仿宋_GB2312" w:hAnsi="仿宋_GB2312" w:eastAsia="仿宋_GB2312" w:cs="仿宋_GB2312"/>
                <w:b/>
                <w:bCs/>
                <w:color w:val="000000" w:themeColor="text1"/>
                <w:kern w:val="0"/>
                <w:sz w:val="22"/>
                <w:szCs w:val="22"/>
                <w:highlight w:val="none"/>
                <w14:textFill>
                  <w14:solidFill>
                    <w14:schemeClr w14:val="tx1"/>
                  </w14:solidFill>
                </w14:textFill>
              </w:rPr>
              <w:t>规格参数</w:t>
            </w:r>
          </w:p>
        </w:tc>
        <w:tc>
          <w:tcPr>
            <w:tcW w:w="8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
                <w:bCs/>
                <w:color w:val="000000" w:themeColor="text1"/>
                <w:kern w:val="0"/>
                <w:sz w:val="22"/>
                <w:szCs w:val="22"/>
                <w:highlight w:val="none"/>
                <w14:textFill>
                  <w14:solidFill>
                    <w14:schemeClr w14:val="tx1"/>
                  </w14:solidFill>
                </w14:textFill>
              </w:rPr>
            </w:pPr>
            <w:r>
              <w:rPr>
                <w:rFonts w:hint="eastAsia" w:ascii="仿宋_GB2312" w:hAnsi="仿宋_GB2312" w:eastAsia="仿宋_GB2312" w:cs="仿宋_GB2312"/>
                <w:b/>
                <w:bCs/>
                <w:color w:val="000000" w:themeColor="text1"/>
                <w:kern w:val="0"/>
                <w:sz w:val="22"/>
                <w:szCs w:val="22"/>
                <w:highlight w:val="none"/>
                <w14:textFill>
                  <w14:solidFill>
                    <w14:schemeClr w14:val="tx1"/>
                  </w14:solidFill>
                </w14:textFill>
              </w:rPr>
              <w:t>单位</w:t>
            </w:r>
          </w:p>
        </w:tc>
        <w:tc>
          <w:tcPr>
            <w:tcW w:w="7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
                <w:bCs/>
                <w:color w:val="000000" w:themeColor="text1"/>
                <w:kern w:val="0"/>
                <w:sz w:val="22"/>
                <w:szCs w:val="22"/>
                <w:highlight w:val="none"/>
                <w14:textFill>
                  <w14:solidFill>
                    <w14:schemeClr w14:val="tx1"/>
                  </w14:solidFill>
                </w14:textFill>
              </w:rPr>
            </w:pPr>
            <w:r>
              <w:rPr>
                <w:rFonts w:hint="eastAsia" w:ascii="仿宋_GB2312" w:hAnsi="仿宋_GB2312" w:eastAsia="仿宋_GB2312" w:cs="仿宋_GB2312"/>
                <w:b/>
                <w:bCs/>
                <w:color w:val="000000" w:themeColor="text1"/>
                <w:kern w:val="0"/>
                <w:sz w:val="22"/>
                <w:szCs w:val="22"/>
                <w:highlight w:val="none"/>
                <w14:textFill>
                  <w14:solidFill>
                    <w14:schemeClr w14:val="tx1"/>
                  </w14:solidFill>
                </w14:textFill>
              </w:rPr>
              <w:t>数量</w:t>
            </w:r>
          </w:p>
        </w:tc>
      </w:tr>
      <w:tr>
        <w:tblPrEx>
          <w:tblCellMar>
            <w:top w:w="0" w:type="dxa"/>
            <w:left w:w="108" w:type="dxa"/>
            <w:bottom w:w="0" w:type="dxa"/>
            <w:right w:w="108" w:type="dxa"/>
          </w:tblCellMar>
        </w:tblPrEx>
        <w:trPr>
          <w:trHeight w:val="9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color w:val="000000" w:themeColor="text1"/>
                <w:kern w:val="0"/>
                <w:sz w:val="20"/>
                <w:szCs w:val="20"/>
                <w:highlight w:val="none"/>
                <w14:textFill>
                  <w14:solidFill>
                    <w14:schemeClr w14:val="tx1"/>
                  </w14:solidFill>
                </w14:textFill>
              </w:rPr>
              <w:t>1</w:t>
            </w:r>
          </w:p>
        </w:tc>
        <w:tc>
          <w:tcPr>
            <w:tcW w:w="1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highlight w:val="none"/>
                <w:u w:val="none"/>
                <w:lang w:val="en-US" w:eastAsia="zh-CN" w:bidi="ar"/>
                <w14:textFill>
                  <w14:solidFill>
                    <w14:schemeClr w14:val="tx1"/>
                  </w14:solidFill>
                </w14:textFill>
              </w:rPr>
              <w:t>无线AP</w:t>
            </w:r>
          </w:p>
        </w:tc>
        <w:tc>
          <w:tcPr>
            <w:tcW w:w="5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室外型Wi-Fi6无线接入点，内置定向天线，支持OFDMA、UL-MU-MIMO、空间复用技术和1024QAM调制解调算法，整机4条空间流，支持2.4G和5G同时工作，整机最大接入速率1775Mbps；一个SFP光口和两个千兆电口；内置天馈防雷器,支持POE供电；支持802.1X/CA证书/阿里钉钉/企业微信/微信小程序/短信/多因素等多种认证方式、APP缓存、数据探针、智能负载均衡、网关、VPN、QoS、潜在风险终端和网络访问流量的识别与封堵、胖瘦一体化。</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1、支持802.11ax 协议，兼容802.11a/b/g/n/ac/Wave2协议，支持2.4G和5G同时工作；</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2、支持2.4G 2*2条流及 5G 2*2条流；2.4G最大传输速率≥570Mbps，5G最大传输速率≥1200Mbps，整机最大传输速率≥1.7Gbps；</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3、千兆以太网口≥2个，千兆SFP光口≥1个；</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4、支持内置定向天线，无需外接天线即可实现远距离覆盖；</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5、支持802.3at标准的PoE供电；</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6、AP满负荷工作功耗≤25W；</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7、IP防护等级≥68；</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8、单射频接入人数≥512，整机最大接入人数≥1024，支持基于SSID的接入用户数限制；</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9、支持Fat和Fit 两种工作模式，根据网络规划的需要，可以灵活地在Fat和Fit两种工作模式中切换，同时可以根据应用需求，选择工作模式；</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10、△</w:t>
            </w:r>
            <w:r>
              <w:rPr>
                <w:rFonts w:hint="eastAsia" w:ascii="仿宋_GB2312" w:hAnsi="仿宋_GB2312" w:eastAsia="仿宋_GB2312" w:cs="仿宋_GB2312"/>
                <w:color w:val="000000" w:themeColor="text1"/>
                <w:sz w:val="20"/>
                <w:szCs w:val="20"/>
                <w:highlight w:val="none"/>
                <w:u w:val="single"/>
                <w:lang w:val="en-US" w:eastAsia="zh-CN"/>
                <w14:textFill>
                  <w14:solidFill>
                    <w14:schemeClr w14:val="tx1"/>
                  </w14:solidFill>
                </w14:textFill>
              </w:rPr>
              <w:t>支持接入点VPN功能，可以跨互联网与异地的管理端建立加密通信隧道，实现加密远程访问（提供功能截图证明）；</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11、支持802.1x 认证、MAC 地址认证、PSK 认证、Portal认证等方式，支持针对外部人员的二维码扫码审核认证；</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12、无线AP支持联动安全策略，通过安全策略可以实现对疑似感染病毒或已感染病毒的无线客户端进行识别、监控与隔离等多种方式的处理（提供功能截图证明）；</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13、支持无线带宽平均分配，让不同协商速率的终端占用相等的无线信道时间，防止低速终端拉低网络整体速率；</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14、支持将Fit AP切换成网关模式（非Fat AP模式），支持PPPoE拨号、静态IP、DHCP三种上网方式（提供功能配置截图证明）；</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15、支持逃生模式，AP与管理端连接中断后，原有用户在线、新用户正常接入，业务不中断。</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color w:val="000000" w:themeColor="text1"/>
                <w:kern w:val="0"/>
                <w:sz w:val="20"/>
                <w:szCs w:val="20"/>
                <w:highlight w:val="none"/>
                <w14:textFill>
                  <w14:solidFill>
                    <w14:schemeClr w14:val="tx1"/>
                  </w14:solidFill>
                </w14:textFill>
              </w:rPr>
              <w:t>台</w:t>
            </w:r>
          </w:p>
        </w:tc>
        <w:tc>
          <w:tcPr>
            <w:tcW w:w="7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highlight w:val="none"/>
                <w:u w:val="none"/>
                <w:lang w:val="en-US" w:eastAsia="zh-CN" w:bidi="ar"/>
                <w14:textFill>
                  <w14:solidFill>
                    <w14:schemeClr w14:val="tx1"/>
                  </w14:solidFill>
                </w14:textFill>
              </w:rPr>
              <w:t>89</w:t>
            </w:r>
          </w:p>
        </w:tc>
      </w:tr>
      <w:tr>
        <w:tblPrEx>
          <w:tblCellMar>
            <w:top w:w="0" w:type="dxa"/>
            <w:left w:w="108" w:type="dxa"/>
            <w:bottom w:w="0" w:type="dxa"/>
            <w:right w:w="108" w:type="dxa"/>
          </w:tblCellMar>
        </w:tblPrEx>
        <w:trPr>
          <w:trHeight w:val="555"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color w:val="000000" w:themeColor="text1"/>
                <w:kern w:val="0"/>
                <w:sz w:val="20"/>
                <w:szCs w:val="20"/>
                <w:highlight w:val="none"/>
                <w14:textFill>
                  <w14:solidFill>
                    <w14:schemeClr w14:val="tx1"/>
                  </w14:solidFill>
                </w14:textFill>
              </w:rPr>
              <w:t>2</w:t>
            </w:r>
          </w:p>
        </w:tc>
        <w:tc>
          <w:tcPr>
            <w:tcW w:w="1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highlight w:val="none"/>
                <w:u w:val="none"/>
                <w:lang w:val="en-US" w:eastAsia="zh-CN" w:bidi="ar"/>
                <w14:textFill>
                  <w14:solidFill>
                    <w14:schemeClr w14:val="tx1"/>
                  </w14:solidFill>
                </w14:textFill>
              </w:rPr>
              <w:t>无线AP</w:t>
            </w:r>
          </w:p>
        </w:tc>
        <w:tc>
          <w:tcPr>
            <w:tcW w:w="5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室内Wi-Fi 6 高性能无线接入点，支持802.11ax协议，支持OFDMA、UL-MU-MIMO、空间复用技术和1024QAM调制解调算法，整机4条空间流，内置天线，整机最大接入速率1775Mbps，支持USB口；支持802.1X/CA证书/移动OA/微信小程序/短信/多因素等多种认证方式、APP缓存、数据探针、智能负载均衡、网关、VPN、QoS、潜在风险终端和网络访问流量的识别与封堵、胖瘦一体化； 支持1个千兆以太网口，支持PoE和12V/2A本地供电。</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1、支持802.11ax 协议，兼容802.11a/b/g/n/ac协议，支持2.4G和5G同时工作；</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2、支持2.4G 2*2条流及 5G 2*2条流；2.4G最大传输速率≥570Mbps，5G最大传输速率≥1200Mbps，整机最大传输速率≥1.7Gbps；</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3、上联千兆以太网口≥1个，下联千兆以太网口≥4个，提供背侧面pass through≥1对；</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4、内置智能天线，安装尺寸符合86盒国家标准；</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5、支持802.3at标准的PoE供电，满负荷工作功耗≤14W；</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6、单射频接入人数≥500，整机最大接入人数≥1000；</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7、支持虚拟AP技术，单射频SSID数量≥16，整机≥32；</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8、支持Fat和Fit 两种工作模式，根据网络规划的需要，可以灵活地在Fat和Fit两种工作模式中切换，同时可以根据应用需求，选择工作模式；</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9、支持Wi-Fi报文进行侦听捕获并实时镜像到本地分析设备供网络管理员进行故障排查、优化分析；</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10、支持802.1x 认证、MAC 地址认证、PSK 认证、Portal认证等认证方式，支持面向访客的二维码审核认证方式；</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11、支持802.11h 动态频率选择(DFS)、信道自动扫描功能，自动规避干扰；</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12、支持无线带宽平均分配，让不同协商速率的终端占用相等的无线信道时间，防止低速终端拉低网络整体速率；</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13、通过基于特征和协议的射频优化，有效提升无线部署中高密度接入、流媒体传输等场景中的应用加速能力和质量保障效果；</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14、△</w:t>
            </w:r>
            <w:r>
              <w:rPr>
                <w:rFonts w:hint="eastAsia" w:ascii="仿宋_GB2312" w:hAnsi="仿宋_GB2312" w:eastAsia="仿宋_GB2312" w:cs="仿宋_GB2312"/>
                <w:color w:val="000000" w:themeColor="text1"/>
                <w:sz w:val="20"/>
                <w:szCs w:val="20"/>
                <w:highlight w:val="none"/>
                <w:u w:val="single"/>
                <w:lang w:val="en-US" w:eastAsia="zh-CN"/>
                <w14:textFill>
                  <w14:solidFill>
                    <w14:schemeClr w14:val="tx1"/>
                  </w14:solidFill>
                </w14:textFill>
              </w:rPr>
              <w:t>无线AP支持联动安全策略，通过安全策略可以实现对疑似感染病毒或已感染病毒的无线客户端进行识别、监控与隔离等多种方式的处理（提供功能截图证明）；</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15、支持将在内网进行ARP扫描、IP扫描、端口扫描达到阈值后的终端执行告警或自动拉入动态黑名单；</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16、△</w:t>
            </w:r>
            <w:r>
              <w:rPr>
                <w:rFonts w:hint="eastAsia" w:ascii="仿宋_GB2312" w:hAnsi="仿宋_GB2312" w:eastAsia="仿宋_GB2312" w:cs="仿宋_GB2312"/>
                <w:color w:val="000000" w:themeColor="text1"/>
                <w:sz w:val="20"/>
                <w:szCs w:val="20"/>
                <w:highlight w:val="none"/>
                <w:u w:val="single"/>
                <w:lang w:val="en-US" w:eastAsia="zh-CN"/>
                <w14:textFill>
                  <w14:solidFill>
                    <w14:schemeClr w14:val="tx1"/>
                  </w14:solidFill>
                </w14:textFill>
              </w:rPr>
              <w:t>支持Fit AP切换成网关模式（非Fat AP模式），支持PPPoE拨号、静态IP、DHCP三种上网方式（提供功能配置截图证明）；</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17、支持逃生模式，AP与控制器连接中断后，原有用户在线、新用户正常接入，业务不中断。</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color w:val="000000" w:themeColor="text1"/>
                <w:kern w:val="0"/>
                <w:sz w:val="20"/>
                <w:szCs w:val="20"/>
                <w:highlight w:val="none"/>
                <w14:textFill>
                  <w14:solidFill>
                    <w14:schemeClr w14:val="tx1"/>
                  </w14:solidFill>
                </w14:textFill>
              </w:rPr>
              <w:t>台</w:t>
            </w:r>
          </w:p>
        </w:tc>
        <w:tc>
          <w:tcPr>
            <w:tcW w:w="7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highlight w:val="none"/>
                <w:u w:val="none"/>
                <w:lang w:val="en-US" w:eastAsia="zh-CN" w:bidi="ar"/>
                <w14:textFill>
                  <w14:solidFill>
                    <w14:schemeClr w14:val="tx1"/>
                  </w14:solidFill>
                </w14:textFill>
              </w:rPr>
              <w:t>69</w:t>
            </w:r>
          </w:p>
        </w:tc>
      </w:tr>
      <w:tr>
        <w:tblPrEx>
          <w:tblCellMar>
            <w:top w:w="0" w:type="dxa"/>
            <w:left w:w="108" w:type="dxa"/>
            <w:bottom w:w="0" w:type="dxa"/>
            <w:right w:w="108" w:type="dxa"/>
          </w:tblCellMar>
        </w:tblPrEx>
        <w:trPr>
          <w:trHeight w:val="462"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color w:val="000000" w:themeColor="text1"/>
                <w:kern w:val="0"/>
                <w:sz w:val="20"/>
                <w:szCs w:val="20"/>
                <w:highlight w:val="none"/>
                <w14:textFill>
                  <w14:solidFill>
                    <w14:schemeClr w14:val="tx1"/>
                  </w14:solidFill>
                </w14:textFill>
              </w:rPr>
              <w:t>3</w:t>
            </w:r>
          </w:p>
        </w:tc>
        <w:tc>
          <w:tcPr>
            <w:tcW w:w="1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highlight w:val="none"/>
                <w:u w:val="none"/>
                <w:lang w:val="en-US" w:eastAsia="zh-CN" w:bidi="ar"/>
                <w14:textFill>
                  <w14:solidFill>
                    <w14:schemeClr w14:val="tx1"/>
                  </w14:solidFill>
                </w14:textFill>
              </w:rPr>
              <w:t>无线控制器AC</w:t>
            </w:r>
          </w:p>
        </w:tc>
        <w:tc>
          <w:tcPr>
            <w:tcW w:w="5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下一代千兆无线控制器， 自带6个千兆电口，默认管理16个AP，集中转发最大支持144个AP，本地转发最大支持900个AP，支持在线用户数8K，支持身份认证、行为管理、行为审计、应用层流控、VPN、AP统一管理、有线无线一体化、集群管理、可视化网管、微信认证、营销推广、用户画像、客流分析，内置128G固态硬盘</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1、千兆以太网口数≥6个，RJ-45 Console管理口≥1个；</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2、具备USB接口数≥2个，以用于外界硬件设备；</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3、集中转发模式下最大可支持管理AP数≥256，单台设备最大可支持管理AP数≥1024；</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sz w:val="20"/>
                <w:szCs w:val="20"/>
                <w:highlight w:val="none"/>
                <w:u w:val="single"/>
                <w:lang w:val="en-US" w:eastAsia="zh-CN"/>
                <w14:textFill>
                  <w14:solidFill>
                    <w14:schemeClr w14:val="tx1"/>
                  </w14:solidFill>
                </w14:textFill>
              </w:rPr>
              <w:t>内置硬盘，硬盘大小≥128GB（提供官网截图以及官网链接）；</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5、支持802.11a、802.11b、802.11g、802.11n、802.11ac、802.11ac wave2、802.11e、802.11h、802.11i、802.11k、802.11v等无线协议；</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6、支持802.1x、Portal、MAC地址认证、CA证书认证、WAPI、802.1X WEP等内网认证；</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7、支持二维码审核认证、微信实名认证、短信认证、APP认证、临时访客账号等外网认证方式；</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8、支持关联RADIUS、微软AD域、LDAP、数据库（Oracle、MySQL、MS-SQL）、Portal2.0、AS等外置认证服务器，实现802.1x、Portal等第三方认证；</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9、</w:t>
            </w:r>
            <w:r>
              <w:rPr>
                <w:rFonts w:hint="eastAsia" w:ascii="仿宋_GB2312" w:hAnsi="仿宋_GB2312" w:eastAsia="仿宋_GB2312" w:cs="仿宋_GB2312"/>
                <w:color w:val="000000" w:themeColor="text1"/>
                <w:sz w:val="20"/>
                <w:szCs w:val="20"/>
                <w:highlight w:val="none"/>
                <w:u w:val="none"/>
                <w:lang w:val="en-US" w:eastAsia="zh-CN"/>
                <w14:textFill>
                  <w14:solidFill>
                    <w14:schemeClr w14:val="tx1"/>
                  </w14:solidFill>
                </w14:textFill>
              </w:rPr>
              <w:t>支持对接移动OA平台进行用户认证，包括阿里钉钉、微信企业号、口袋助理等主流平台，实现同步组织架构实现不同部门人员分配不同的上网权限策略，同时可以直接通过APP或轻应用即可自助管理账号密码（提供功能截图证明）；</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10、</w:t>
            </w:r>
            <w:r>
              <w:rPr>
                <w:rFonts w:hint="eastAsia" w:ascii="仿宋_GB2312" w:hAnsi="仿宋_GB2312" w:eastAsia="仿宋_GB2312" w:cs="仿宋_GB2312"/>
                <w:i w:val="0"/>
                <w:iCs w:val="0"/>
                <w:color w:val="000000" w:themeColor="text1"/>
                <w:sz w:val="20"/>
                <w:szCs w:val="20"/>
                <w:highlight w:val="none"/>
                <w:u w:val="none"/>
                <w:lang w:val="en-US" w:eastAsia="zh-CN"/>
                <w14:textFill>
                  <w14:solidFill>
                    <w14:schemeClr w14:val="tx1"/>
                  </w14:solidFill>
                </w14:textFill>
              </w:rPr>
              <w:t>为了保证网络的可扩展性，需要支持兼容其他品牌无线设备实现统一Portal/Web和802.1X认证，包括短信认证、二维码审核、802.1X、Web账号密码认证，兼容的厂商包括但不限于华三、华为、信锐、锐捷、思科、Aruba、Ruckus等（提供功能截图证明）；</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color w:val="000000" w:themeColor="text1"/>
                <w:kern w:val="0"/>
                <w:sz w:val="20"/>
                <w:szCs w:val="20"/>
                <w:highlight w:val="none"/>
                <w14:textFill>
                  <w14:solidFill>
                    <w14:schemeClr w14:val="tx1"/>
                  </w14:solidFill>
                </w14:textFill>
              </w:rPr>
              <w:t>台</w:t>
            </w:r>
          </w:p>
        </w:tc>
        <w:tc>
          <w:tcPr>
            <w:tcW w:w="7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highlight w:val="none"/>
                <w:u w:val="none"/>
                <w:lang w:val="en-US" w:eastAsia="zh-CN" w:bidi="ar"/>
                <w14:textFill>
                  <w14:solidFill>
                    <w14:schemeClr w14:val="tx1"/>
                  </w14:solidFill>
                </w14:textFill>
              </w:rPr>
              <w:t>1</w:t>
            </w:r>
          </w:p>
        </w:tc>
      </w:tr>
      <w:tr>
        <w:tblPrEx>
          <w:tblCellMar>
            <w:top w:w="0" w:type="dxa"/>
            <w:left w:w="108" w:type="dxa"/>
            <w:bottom w:w="0" w:type="dxa"/>
            <w:right w:w="108" w:type="dxa"/>
          </w:tblCellMar>
        </w:tblPrEx>
        <w:trPr>
          <w:trHeight w:val="5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color w:val="000000" w:themeColor="text1"/>
                <w:kern w:val="0"/>
                <w:sz w:val="20"/>
                <w:szCs w:val="20"/>
                <w:highlight w:val="none"/>
                <w14:textFill>
                  <w14:solidFill>
                    <w14:schemeClr w14:val="tx1"/>
                  </w14:solidFill>
                </w14:textFill>
              </w:rPr>
              <w:t>4</w:t>
            </w:r>
          </w:p>
        </w:tc>
        <w:tc>
          <w:tcPr>
            <w:tcW w:w="1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highlight w:val="none"/>
                <w:u w:val="none"/>
                <w:lang w:val="en-US" w:eastAsia="zh-CN" w:bidi="ar"/>
                <w14:textFill>
                  <w14:solidFill>
                    <w14:schemeClr w14:val="tx1"/>
                  </w14:solidFill>
                </w14:textFill>
              </w:rPr>
              <w:t>管理AP数Lic</w:t>
            </w:r>
          </w:p>
        </w:tc>
        <w:tc>
          <w:tcPr>
            <w:tcW w:w="5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NAP接入授权，每增加一个管理的AP数量</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themeColor="text1"/>
                <w:kern w:val="0"/>
                <w:sz w:val="20"/>
                <w:szCs w:val="20"/>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highlight w:val="none"/>
                <w:lang w:val="en-US" w:eastAsia="zh-CN"/>
                <w14:textFill>
                  <w14:solidFill>
                    <w14:schemeClr w14:val="tx1"/>
                  </w14:solidFill>
                </w14:textFill>
              </w:rPr>
              <w:t>个</w:t>
            </w:r>
          </w:p>
        </w:tc>
        <w:tc>
          <w:tcPr>
            <w:tcW w:w="7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highlight w:val="none"/>
                <w:u w:val="none"/>
                <w:lang w:val="en-US" w:eastAsia="zh-CN" w:bidi="ar"/>
                <w14:textFill>
                  <w14:solidFill>
                    <w14:schemeClr w14:val="tx1"/>
                  </w14:solidFill>
                </w14:textFill>
              </w:rPr>
              <w:t>126</w:t>
            </w:r>
          </w:p>
        </w:tc>
      </w:tr>
      <w:tr>
        <w:tblPrEx>
          <w:tblCellMar>
            <w:top w:w="0" w:type="dxa"/>
            <w:left w:w="108" w:type="dxa"/>
            <w:bottom w:w="0" w:type="dxa"/>
            <w:right w:w="108" w:type="dxa"/>
          </w:tblCellMar>
        </w:tblPrEx>
        <w:trPr>
          <w:trHeight w:val="60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color w:val="000000" w:themeColor="text1"/>
                <w:kern w:val="0"/>
                <w:sz w:val="20"/>
                <w:szCs w:val="20"/>
                <w:highlight w:val="none"/>
                <w14:textFill>
                  <w14:solidFill>
                    <w14:schemeClr w14:val="tx1"/>
                  </w14:solidFill>
                </w14:textFill>
              </w:rPr>
              <w:t>5</w:t>
            </w:r>
          </w:p>
        </w:tc>
        <w:tc>
          <w:tcPr>
            <w:tcW w:w="1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highlight w:val="none"/>
                <w:u w:val="none"/>
                <w:lang w:val="en-US" w:eastAsia="zh-CN" w:bidi="ar"/>
                <w14:textFill>
                  <w14:solidFill>
                    <w14:schemeClr w14:val="tx1"/>
                  </w14:solidFill>
                </w14:textFill>
              </w:rPr>
              <w:t>8口POE交换机</w:t>
            </w:r>
          </w:p>
        </w:tc>
        <w:tc>
          <w:tcPr>
            <w:tcW w:w="5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POE交换机，8个千兆POE电口，4个 1G/2.5G SFP光口；交换容量≥256Gbps/2.56Tbps，包转发率≥27Mpps/102Mpps，支持全端口线速转发；支持IEEE 802.3af/at供电标准，单端口最大输出PoE功率30W，整机最大输出PoE功率135W；支持NAC统一管理、统一查看状态、VLAN等配置管理；支持终端识别、终端准入、安全防护及安全画像可视；支持胖瘦一体化。</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1、千兆POE电口数≥8个，千兆SFP光口≥4个；</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2、支持IEEE 802.3af/at供电标准，单端口最大输出功率≥30W，整机最大输出功率≥135W；</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3、交换性能≥256Gbps/2.56Tbps，包转发率≥27Mpps/102Mpps，若存在双参数，以生产制造商官网最小参数为准；</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4、支持MAC地址≥16K，支持MAC地址自动学习、源MAC地址过滤、接口MAC地址学习个数限制；</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5、支持基于端口或堆叠口的ACL策略、基于源目IP/MAC地址的ACL策略、基于协议的ACL策略、基于时间的ACL策略；</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6、支持M-LAG虚拟化技术，跨设备链路聚合（非堆叠技术实现），要求配对的设备有独立的控制平面，提高组网可靠性；</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7、支持Qos特性，通过多种调度模式（例如：轮询模式、严格优先模式等）实现流量基于报文或端口的优先级；</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8、支持DHCP Snooping，可将交换机端口设置为信任端口或非信任端口，非信任端口也可设置白名单响应DHCP报文；</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9、支持STP、RSTP、MSTP防环协议；</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10、支持IGMP v1/v2/v3 Snooping组播协议；</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11、△</w:t>
            </w:r>
            <w:r>
              <w:rPr>
                <w:rFonts w:hint="eastAsia" w:ascii="仿宋_GB2312" w:hAnsi="仿宋_GB2312" w:eastAsia="仿宋_GB2312" w:cs="仿宋_GB2312"/>
                <w:color w:val="000000" w:themeColor="text1"/>
                <w:sz w:val="20"/>
                <w:szCs w:val="20"/>
                <w:highlight w:val="none"/>
                <w:u w:val="single"/>
                <w:lang w:val="en-US" w:eastAsia="zh-CN"/>
                <w14:textFill>
                  <w14:solidFill>
                    <w14:schemeClr w14:val="tx1"/>
                  </w14:solidFill>
                </w14:textFill>
              </w:rPr>
              <w:t>为实现对终端的接入安全进行管控，交换机应支持终端业务可视化，对端口下终端的活跃状态、流量趋势、安全事件、终端维度的流量进行分析，并查看其主机名、IP地址、接入位置以及特征变化等信息（提供权威第三方检测报告证明）；</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12、支持端口保护、隔离，并有效防止DOS、ARP攻击，支持对CPU的保护功能；</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13、△</w:t>
            </w:r>
            <w:r>
              <w:rPr>
                <w:rFonts w:hint="eastAsia" w:ascii="仿宋_GB2312" w:hAnsi="仿宋_GB2312" w:eastAsia="仿宋_GB2312" w:cs="仿宋_GB2312"/>
                <w:color w:val="000000" w:themeColor="text1"/>
                <w:sz w:val="20"/>
                <w:szCs w:val="20"/>
                <w:highlight w:val="none"/>
                <w:u w:val="single"/>
                <w:lang w:val="en-US" w:eastAsia="zh-CN"/>
                <w14:textFill>
                  <w14:solidFill>
                    <w14:schemeClr w14:val="tx1"/>
                  </w14:solidFill>
                </w14:textFill>
              </w:rPr>
              <w:t>支持内网终端互访情况、东西向流量安全记录并呈现，并实现自动阻塞内网病毒传播、远程桌面等恶意流量（提供权威第三方检测报告证明）；</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color w:val="000000" w:themeColor="text1"/>
                <w:kern w:val="0"/>
                <w:sz w:val="20"/>
                <w:szCs w:val="20"/>
                <w:highlight w:val="none"/>
                <w14:textFill>
                  <w14:solidFill>
                    <w14:schemeClr w14:val="tx1"/>
                  </w14:solidFill>
                </w14:textFill>
              </w:rPr>
              <w:t>台</w:t>
            </w:r>
          </w:p>
        </w:tc>
        <w:tc>
          <w:tcPr>
            <w:tcW w:w="7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highlight w:val="none"/>
                <w:u w:val="none"/>
                <w:lang w:val="en-US" w:eastAsia="zh-CN" w:bidi="ar"/>
                <w14:textFill>
                  <w14:solidFill>
                    <w14:schemeClr w14:val="tx1"/>
                  </w14:solidFill>
                </w14:textFill>
              </w:rPr>
              <w:t>14</w:t>
            </w:r>
          </w:p>
        </w:tc>
      </w:tr>
      <w:tr>
        <w:tblPrEx>
          <w:tblCellMar>
            <w:top w:w="0" w:type="dxa"/>
            <w:left w:w="108" w:type="dxa"/>
            <w:bottom w:w="0" w:type="dxa"/>
            <w:right w:w="108" w:type="dxa"/>
          </w:tblCellMar>
        </w:tblPrEx>
        <w:trPr>
          <w:trHeight w:val="84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color w:val="000000" w:themeColor="text1"/>
                <w:kern w:val="0"/>
                <w:sz w:val="20"/>
                <w:szCs w:val="20"/>
                <w:highlight w:val="none"/>
                <w14:textFill>
                  <w14:solidFill>
                    <w14:schemeClr w14:val="tx1"/>
                  </w14:solidFill>
                </w14:textFill>
              </w:rPr>
              <w:t>6</w:t>
            </w:r>
          </w:p>
        </w:tc>
        <w:tc>
          <w:tcPr>
            <w:tcW w:w="1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highlight w:val="none"/>
                <w:u w:val="none"/>
                <w:lang w:val="en-US" w:eastAsia="zh-CN" w:bidi="ar"/>
                <w14:textFill>
                  <w14:solidFill>
                    <w14:schemeClr w14:val="tx1"/>
                  </w14:solidFill>
                </w14:textFill>
              </w:rPr>
              <w:t>24口POE交换机</w:t>
            </w:r>
          </w:p>
        </w:tc>
        <w:tc>
          <w:tcPr>
            <w:tcW w:w="5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POE交换机，24个千兆POE电口，4个 1G/2.5G SFP光口；交换容量≥336Gbps/3.36Tbps，包转发率≥108Mpps/126Mpps，支持全端口线速转发；支持IEEE 802.3af/at供电标准，单端口最大输出PoE功率30W，整机最大输出PoE功率370W；支持NAC统一管理、统一查看状态、VLAN等配置管理；支持终端识别、终端准入、安全防护及安全画像可视；支持胖瘦一体化。</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1、千兆POE电口≥24个， 千兆 SFP千兆光口≥4个；</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2、支持IEEE 802.3af/at供电标准，单端口最大输出功率≥30W，整机最大输出功率≥370W；</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3、交换性能≥336Gbps/3.36Tbps，包转发率≥96Mpps/126Mpps，若存在双参数，以生产制造商官网最小参数为准；</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4、支持MAC地址≥16K，支持MAC地址自动学习、源MAC地址过滤、接口MAC地址学习个数限制；</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5、支持基于端口或堆叠口的ACL策略、基于源目IP/MAC地址的ACL策略、基于协议的ACL策略、基于时间的ACL策略；</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6、支持M-LAG虚拟化技术，跨设备链路聚合（非堆叠技术实现），要求配对的设备有独立的控制平面，提高组网可靠性；</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7、支持Qos特性，通过多种调度模式（例如：轮询模式、严格优先模式等）实现流量基于报文或端口的优先级；</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8、支持DHCP Snooping，可将交换机端口设置为信任端口或非信任端口，非信任端口也可设置白名单响应DHCP报文；</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9、支持STP、RSTP、MSTP防环协议；</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10、支持IGMP v1/v2/v3 Snooping组播协议；</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11、△</w:t>
            </w:r>
            <w:r>
              <w:rPr>
                <w:rFonts w:hint="eastAsia" w:ascii="仿宋_GB2312" w:hAnsi="仿宋_GB2312" w:eastAsia="仿宋_GB2312" w:cs="仿宋_GB2312"/>
                <w:color w:val="000000" w:themeColor="text1"/>
                <w:sz w:val="20"/>
                <w:szCs w:val="20"/>
                <w:highlight w:val="none"/>
                <w:u w:val="single"/>
                <w:lang w:val="en-US" w:eastAsia="zh-CN"/>
                <w14:textFill>
                  <w14:solidFill>
                    <w14:schemeClr w14:val="tx1"/>
                  </w14:solidFill>
                </w14:textFill>
              </w:rPr>
              <w:t>为实现对终端的接入安全进行管控，交换机应支持终端业务可视化，对端口下终端的活跃状态、流量趋势、安全事件、终端维度的流量进行分析，并查看其主机名、IP地址、接入位置以及特征变化等信息（提供权威第三方检测报告证明）；</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12、支持端口保护、隔离，并有效防止DOS、ARP攻击，支持对CPU的保护功能；</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13、△</w:t>
            </w:r>
            <w:r>
              <w:rPr>
                <w:rFonts w:hint="eastAsia" w:ascii="仿宋_GB2312" w:hAnsi="仿宋_GB2312" w:eastAsia="仿宋_GB2312" w:cs="仿宋_GB2312"/>
                <w:color w:val="000000" w:themeColor="text1"/>
                <w:sz w:val="20"/>
                <w:szCs w:val="20"/>
                <w:highlight w:val="none"/>
                <w:u w:val="single"/>
                <w:lang w:val="en-US" w:eastAsia="zh-CN"/>
                <w14:textFill>
                  <w14:solidFill>
                    <w14:schemeClr w14:val="tx1"/>
                  </w14:solidFill>
                </w14:textFill>
              </w:rPr>
              <w:t>支持内网终端互访情况、东西向流量安全记录并呈现，并实现自动阻塞内网病毒传播、远程桌面等恶意流量（提供权威第三方检测报告证明）；</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color w:val="000000" w:themeColor="text1"/>
                <w:kern w:val="0"/>
                <w:sz w:val="20"/>
                <w:szCs w:val="20"/>
                <w:highlight w:val="none"/>
                <w14:textFill>
                  <w14:solidFill>
                    <w14:schemeClr w14:val="tx1"/>
                  </w14:solidFill>
                </w14:textFill>
              </w:rPr>
              <w:t>台</w:t>
            </w:r>
          </w:p>
        </w:tc>
        <w:tc>
          <w:tcPr>
            <w:tcW w:w="7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highlight w:val="none"/>
                <w:u w:val="none"/>
                <w:lang w:val="en-US" w:eastAsia="zh-CN" w:bidi="ar"/>
                <w14:textFill>
                  <w14:solidFill>
                    <w14:schemeClr w14:val="tx1"/>
                  </w14:solidFill>
                </w14:textFill>
              </w:rPr>
              <w:t>7</w:t>
            </w:r>
          </w:p>
        </w:tc>
      </w:tr>
      <w:tr>
        <w:tblPrEx>
          <w:tblCellMar>
            <w:top w:w="0" w:type="dxa"/>
            <w:left w:w="108" w:type="dxa"/>
            <w:bottom w:w="0" w:type="dxa"/>
            <w:right w:w="108" w:type="dxa"/>
          </w:tblCellMar>
        </w:tblPrEx>
        <w:trPr>
          <w:trHeight w:val="825"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color w:val="000000" w:themeColor="text1"/>
                <w:kern w:val="0"/>
                <w:sz w:val="20"/>
                <w:szCs w:val="20"/>
                <w:highlight w:val="none"/>
                <w14:textFill>
                  <w14:solidFill>
                    <w14:schemeClr w14:val="tx1"/>
                  </w14:solidFill>
                </w14:textFill>
              </w:rPr>
              <w:t>7</w:t>
            </w:r>
          </w:p>
        </w:tc>
        <w:tc>
          <w:tcPr>
            <w:tcW w:w="1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highlight w:val="none"/>
                <w:u w:val="none"/>
                <w:lang w:val="en-US" w:eastAsia="zh-CN" w:bidi="ar"/>
                <w14:textFill>
                  <w14:solidFill>
                    <w14:schemeClr w14:val="tx1"/>
                  </w14:solidFill>
                </w14:textFill>
              </w:rPr>
              <w:t>24口汇聚交换机</w:t>
            </w:r>
          </w:p>
        </w:tc>
        <w:tc>
          <w:tcPr>
            <w:tcW w:w="5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光交换机，24个千兆SFP光口，16个千兆电口（复用），4个10G SFP+万兆光口，2个20 G QSFP光口；交换容量≥598Gbps/5.98Tbps，包转发率≥222Mpps，支持全端口线速转发；支持NAC统一管理、统一查看状态、VLAN等配置管理；支持终端识别、终端准入、安全防护及安全画像可视；支持胖瘦一体化；支持双电源模块，默认含1个 150W 交流电源。</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1、100/1000 Base-X 千兆光口≥24个，千兆电combo口≥16（可与24个光口中的4个复用），10G SFP+万兆光口≥4个，QSFP端口≥2个；</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2、为有效节省空间，交换机高度不得高于1U；</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3、交换性能≥598Gbps/5.98Tbps，包转发率≥222Mpps，若存在双参数，以生产制造商官网最小参数为准；</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4、支持双电源模块（电源模块支持交流/直流电源）；</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5、支持IEEE 802.3az 标准的 EEE节能技术：当EEE使能时，大幅度减小端口在该阶段的功耗，达到节能目的；</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6、支持MAC地址≥64K，支持MAC地址自动学习、源MAC地址过滤、接口MAC地址学习个数限制；</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7、支持基于端口或堆叠口的ACL策略、基于源目IP/MAC地址的ACL策略、基于协议的ACL策略、基于时间的ACL策略；</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8、△</w:t>
            </w:r>
            <w:r>
              <w:rPr>
                <w:rFonts w:hint="eastAsia" w:ascii="仿宋_GB2312" w:hAnsi="仿宋_GB2312" w:eastAsia="仿宋_GB2312" w:cs="仿宋_GB2312"/>
                <w:color w:val="000000" w:themeColor="text1"/>
                <w:sz w:val="20"/>
                <w:szCs w:val="20"/>
                <w:highlight w:val="none"/>
                <w:u w:val="single"/>
                <w:lang w:val="en-US" w:eastAsia="zh-CN"/>
                <w14:textFill>
                  <w14:solidFill>
                    <w14:schemeClr w14:val="tx1"/>
                  </w14:solidFill>
                </w14:textFill>
              </w:rPr>
              <w:t>支持M-LAG虚拟化技术，跨设备链路聚合（非堆叠技术实现），要求配对的设备有独立的控制平面，提高组网可靠性（提供权威第三方检测报告证明）；</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9、支持Qos特性，通过多种调度模式（例如：轮询模式、严格优先模式等）实现流量基于报文或端口的优先级；</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10、支持DHCP Snooping，可将交换机端口设置为信任端口或非信任端口，非信任端口也可设置白名单响应DHCP报文；</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11、支持STP、RSTP、MSTP防环协议；</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12、组播条目≥1K，支持IGMP v1/v2/v3 Snooping组播协议；</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13、支持端口聚合≥128个，支持手工和静态LACP；</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14、支持Ipv4/Ipv6静态路由；</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15、支持代理发现技术，可指定本台交换机对下联所有接入交换机进行代理上线，所有接入交换机通过代理技术即可快速激活上线并传递拓扑；</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16、支持端口保护、隔离，并有效防止DOS、ARP攻击，支持对CPU的保护功能；</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17、支持流量端口镜像及重定向功能；</w:t>
            </w:r>
          </w:p>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18、△</w:t>
            </w:r>
            <w:r>
              <w:rPr>
                <w:rFonts w:hint="eastAsia" w:ascii="仿宋_GB2312" w:hAnsi="仿宋_GB2312" w:eastAsia="仿宋_GB2312" w:cs="仿宋_GB2312"/>
                <w:color w:val="000000" w:themeColor="text1"/>
                <w:sz w:val="20"/>
                <w:szCs w:val="20"/>
                <w:highlight w:val="none"/>
                <w:u w:val="single"/>
                <w:lang w:val="en-US" w:eastAsia="zh-CN"/>
                <w14:textFill>
                  <w14:solidFill>
                    <w14:schemeClr w14:val="tx1"/>
                  </w14:solidFill>
                </w14:textFill>
              </w:rPr>
              <w:t>支持内网终端互访情况、东西向流量安全记录并呈现，并实现自动阻塞内网病毒传播、远程桌面等恶意流量（提供权威第三方检测报告证明）</w:t>
            </w: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color w:val="000000" w:themeColor="text1"/>
                <w:kern w:val="0"/>
                <w:sz w:val="20"/>
                <w:szCs w:val="20"/>
                <w:highlight w:val="none"/>
                <w14:textFill>
                  <w14:solidFill>
                    <w14:schemeClr w14:val="tx1"/>
                  </w14:solidFill>
                </w14:textFill>
              </w:rPr>
              <w:t>台</w:t>
            </w:r>
          </w:p>
        </w:tc>
        <w:tc>
          <w:tcPr>
            <w:tcW w:w="7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highlight w:val="none"/>
                <w:u w:val="none"/>
                <w:lang w:val="en-US" w:eastAsia="zh-CN" w:bidi="ar"/>
                <w14:textFill>
                  <w14:solidFill>
                    <w14:schemeClr w14:val="tx1"/>
                  </w14:solidFill>
                </w14:textFill>
              </w:rPr>
              <w:t>1</w:t>
            </w:r>
          </w:p>
        </w:tc>
      </w:tr>
      <w:tr>
        <w:tblPrEx>
          <w:tblCellMar>
            <w:top w:w="0" w:type="dxa"/>
            <w:left w:w="108" w:type="dxa"/>
            <w:bottom w:w="0" w:type="dxa"/>
            <w:right w:w="108" w:type="dxa"/>
          </w:tblCellMar>
        </w:tblPrEx>
        <w:trPr>
          <w:trHeight w:val="439"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color w:val="000000" w:themeColor="text1"/>
                <w:kern w:val="0"/>
                <w:sz w:val="20"/>
                <w:szCs w:val="20"/>
                <w:highlight w:val="none"/>
                <w14:textFill>
                  <w14:solidFill>
                    <w14:schemeClr w14:val="tx1"/>
                  </w14:solidFill>
                </w14:textFill>
              </w:rPr>
              <w:t>8</w:t>
            </w:r>
          </w:p>
        </w:tc>
        <w:tc>
          <w:tcPr>
            <w:tcW w:w="1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highlight w:val="none"/>
                <w:u w:val="none"/>
                <w:lang w:val="en-US" w:eastAsia="zh-CN" w:bidi="ar"/>
                <w14:textFill>
                  <w14:solidFill>
                    <w14:schemeClr w14:val="tx1"/>
                  </w14:solidFill>
                </w14:textFill>
              </w:rPr>
              <w:t>光纤模块</w:t>
            </w:r>
          </w:p>
        </w:tc>
        <w:tc>
          <w:tcPr>
            <w:tcW w:w="5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SFP 千兆单模光模块，单模，1310nm，最大传输距离 10km，接头类型：LC</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color w:val="000000" w:themeColor="text1"/>
                <w:kern w:val="0"/>
                <w:sz w:val="20"/>
                <w:szCs w:val="20"/>
                <w:highlight w:val="none"/>
                <w:lang w:bidi="ar"/>
                <w14:textFill>
                  <w14:solidFill>
                    <w14:schemeClr w14:val="tx1"/>
                  </w14:solidFill>
                </w14:textFill>
              </w:rPr>
              <w:t>块</w:t>
            </w:r>
          </w:p>
        </w:tc>
        <w:tc>
          <w:tcPr>
            <w:tcW w:w="7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highlight w:val="none"/>
                <w:u w:val="none"/>
                <w:lang w:val="en-US" w:eastAsia="zh-CN" w:bidi="ar"/>
                <w14:textFill>
                  <w14:solidFill>
                    <w14:schemeClr w14:val="tx1"/>
                  </w14:solidFill>
                </w14:textFill>
              </w:rPr>
              <w:t>46</w:t>
            </w:r>
          </w:p>
        </w:tc>
      </w:tr>
      <w:tr>
        <w:tblPrEx>
          <w:tblCellMar>
            <w:top w:w="0" w:type="dxa"/>
            <w:left w:w="108" w:type="dxa"/>
            <w:bottom w:w="0" w:type="dxa"/>
            <w:right w:w="108" w:type="dxa"/>
          </w:tblCellMar>
        </w:tblPrEx>
        <w:trPr>
          <w:trHeight w:val="439"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color w:val="000000" w:themeColor="text1"/>
                <w:kern w:val="0"/>
                <w:sz w:val="20"/>
                <w:szCs w:val="20"/>
                <w:highlight w:val="none"/>
                <w14:textFill>
                  <w14:solidFill>
                    <w14:schemeClr w14:val="tx1"/>
                  </w14:solidFill>
                </w14:textFill>
              </w:rPr>
              <w:t>9</w:t>
            </w:r>
          </w:p>
        </w:tc>
        <w:tc>
          <w:tcPr>
            <w:tcW w:w="1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highlight w:val="none"/>
                <w:u w:val="none"/>
                <w:lang w:val="en-US" w:eastAsia="zh-CN" w:bidi="ar"/>
                <w14:textFill>
                  <w14:solidFill>
                    <w14:schemeClr w14:val="tx1"/>
                  </w14:solidFill>
                </w14:textFill>
              </w:rPr>
              <w:t>辅材</w:t>
            </w:r>
          </w:p>
        </w:tc>
        <w:tc>
          <w:tcPr>
            <w:tcW w:w="5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 xml:space="preserve"> 线材、管材、电源线、设备工具、标签、配件等材料</w:t>
            </w:r>
          </w:p>
        </w:tc>
        <w:tc>
          <w:tcPr>
            <w:tcW w:w="8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color w:val="000000" w:themeColor="text1"/>
                <w:kern w:val="0"/>
                <w:sz w:val="20"/>
                <w:szCs w:val="20"/>
                <w:highlight w:val="none"/>
                <w:lang w:bidi="ar"/>
                <w14:textFill>
                  <w14:solidFill>
                    <w14:schemeClr w14:val="tx1"/>
                  </w14:solidFill>
                </w14:textFill>
              </w:rPr>
              <w:t>批</w:t>
            </w:r>
          </w:p>
        </w:tc>
        <w:tc>
          <w:tcPr>
            <w:tcW w:w="7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highlight w:val="none"/>
                <w:u w:val="none"/>
                <w:lang w:val="en-US" w:eastAsia="zh-CN" w:bidi="ar"/>
                <w14:textFill>
                  <w14:solidFill>
                    <w14:schemeClr w14:val="tx1"/>
                  </w14:solidFill>
                </w14:textFill>
              </w:rPr>
              <w:t>1</w:t>
            </w:r>
          </w:p>
        </w:tc>
      </w:tr>
      <w:tr>
        <w:tblPrEx>
          <w:tblCellMar>
            <w:top w:w="0" w:type="dxa"/>
            <w:left w:w="108" w:type="dxa"/>
            <w:bottom w:w="0" w:type="dxa"/>
            <w:right w:w="108" w:type="dxa"/>
          </w:tblCellMar>
        </w:tblPrEx>
        <w:trPr>
          <w:trHeight w:val="439"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color w:val="000000" w:themeColor="text1"/>
                <w:kern w:val="0"/>
                <w:sz w:val="20"/>
                <w:szCs w:val="20"/>
                <w:highlight w:val="none"/>
                <w14:textFill>
                  <w14:solidFill>
                    <w14:schemeClr w14:val="tx1"/>
                  </w14:solidFill>
                </w14:textFill>
              </w:rPr>
              <w:t>10</w:t>
            </w:r>
          </w:p>
        </w:tc>
        <w:tc>
          <w:tcPr>
            <w:tcW w:w="1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highlight w:val="none"/>
                <w:u w:val="none"/>
                <w:lang w:val="en-US" w:eastAsia="zh-CN" w:bidi="ar"/>
                <w14:textFill>
                  <w14:solidFill>
                    <w14:schemeClr w14:val="tx1"/>
                  </w14:solidFill>
                </w14:textFill>
              </w:rPr>
              <w:t>技术服务</w:t>
            </w:r>
          </w:p>
        </w:tc>
        <w:tc>
          <w:tcPr>
            <w:tcW w:w="5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highlight w:val="none"/>
                <w:lang w:val="en-US" w:eastAsia="zh-CN"/>
                <w14:textFill>
                  <w14:solidFill>
                    <w14:schemeClr w14:val="tx1"/>
                  </w14:solidFill>
                </w14:textFill>
              </w:rPr>
              <w:t xml:space="preserve"> 施工安装调试、技术服务等</w:t>
            </w:r>
          </w:p>
        </w:tc>
        <w:tc>
          <w:tcPr>
            <w:tcW w:w="8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color w:val="000000" w:themeColor="text1"/>
                <w:kern w:val="0"/>
                <w:sz w:val="20"/>
                <w:szCs w:val="20"/>
                <w:highlight w:val="none"/>
                <w:lang w:bidi="ar"/>
                <w14:textFill>
                  <w14:solidFill>
                    <w14:schemeClr w14:val="tx1"/>
                  </w14:solidFill>
                </w14:textFill>
              </w:rPr>
              <w:t>项</w:t>
            </w:r>
          </w:p>
        </w:tc>
        <w:tc>
          <w:tcPr>
            <w:tcW w:w="7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0"/>
                <w:szCs w:val="20"/>
                <w:highlight w:val="none"/>
                <w14:textFill>
                  <w14:solidFill>
                    <w14:schemeClr w14:val="tx1"/>
                  </w14:solidFill>
                </w14:textFill>
              </w:rPr>
            </w:pPr>
            <w:r>
              <w:rPr>
                <w:rFonts w:hint="eastAsia" w:ascii="仿宋_GB2312" w:hAnsi="仿宋_GB2312" w:eastAsia="仿宋_GB2312" w:cs="仿宋_GB2312"/>
                <w:i w:val="0"/>
                <w:color w:val="000000" w:themeColor="text1"/>
                <w:kern w:val="0"/>
                <w:sz w:val="20"/>
                <w:szCs w:val="20"/>
                <w:highlight w:val="none"/>
                <w:u w:val="none"/>
                <w:lang w:val="en-US" w:eastAsia="zh-CN" w:bidi="ar"/>
                <w14:textFill>
                  <w14:solidFill>
                    <w14:schemeClr w14:val="tx1"/>
                  </w14:solidFill>
                </w14:textFill>
              </w:rPr>
              <w:t>1</w:t>
            </w:r>
          </w:p>
        </w:tc>
      </w:tr>
    </w:tbl>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项目交付中所需线材等辅助性材料包含在报价中。</w:t>
      </w:r>
    </w:p>
    <w:p>
      <w:pPr>
        <w:pStyle w:val="31"/>
        <w:rPr>
          <w:lang w:val="zh-CN"/>
        </w:rPr>
      </w:pPr>
    </w:p>
    <w:p>
      <w:pPr>
        <w:adjustRightInd w:val="0"/>
        <w:snapToGrid w:val="0"/>
        <w:spacing w:line="360" w:lineRule="auto"/>
        <w:ind w:firstLine="420"/>
        <w:outlineLvl w:val="1"/>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.服务要求</w:t>
      </w:r>
    </w:p>
    <w:p>
      <w:pPr>
        <w:ind w:left="420" w:leftChars="200" w:firstLine="109" w:firstLineChars="52"/>
        <w:rPr>
          <w:rFonts w:hint="eastAsia" w:ascii="仿宋_GB2312" w:hAnsi="仿宋_GB2312" w:eastAsia="仿宋_GB2312" w:cs="仿宋_GB2312"/>
          <w:sz w:val="28"/>
          <w:szCs w:val="28"/>
        </w:rPr>
      </w:pPr>
      <w:r>
        <w:rPr>
          <w:rFonts w:hint="eastAsia" w:ascii="仿宋_GB2312" w:hAnsi="仿宋_GB2312" w:eastAsia="仿宋_GB2312" w:cs="仿宋_GB2312"/>
          <w:lang w:val="zh-CN"/>
        </w:rPr>
        <w:t xml:space="preserve">    </w:t>
      </w:r>
      <w:r>
        <w:rPr>
          <w:rFonts w:hint="eastAsia" w:ascii="仿宋_GB2312" w:hAnsi="仿宋_GB2312" w:eastAsia="仿宋_GB2312" w:cs="仿宋_GB2312"/>
          <w:sz w:val="28"/>
          <w:szCs w:val="28"/>
        </w:rPr>
        <w:t>项目必须提供的具体服务内容如下：</w:t>
      </w:r>
    </w:p>
    <w:p>
      <w:pPr>
        <w:ind w:firstLine="560" w:firstLineChars="200"/>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b/>
          <w:sz w:val="28"/>
          <w:szCs w:val="28"/>
        </w:rPr>
        <w:t>质保期服务内容</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A、报价人明确承诺:本项目的软硬件需提供一年免费售后服务。</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B、报价人产品属于国家规定“三包”范围的，其产品质量保证期不得低于“三包”规定。</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C、报价人的质量保证期承诺优于国家“三包”规定的，按承包人实际承诺执行。</w:t>
      </w:r>
    </w:p>
    <w:p>
      <w:pPr>
        <w:ind w:firstLine="560" w:firstLineChars="200"/>
        <w:rPr>
          <w:rFonts w:hint="eastAsia" w:ascii="仿宋_GB2312" w:hAnsi="仿宋_GB2312" w:eastAsia="仿宋_GB2312" w:cs="仿宋_GB2312"/>
          <w:sz w:val="28"/>
          <w:szCs w:val="28"/>
          <w:highlight w:val="red"/>
        </w:rPr>
      </w:pPr>
      <w:r>
        <w:rPr>
          <w:rFonts w:hint="eastAsia" w:ascii="仿宋_GB2312" w:hAnsi="仿宋_GB2312" w:eastAsia="仿宋_GB2312" w:cs="仿宋_GB2312"/>
          <w:sz w:val="28"/>
          <w:szCs w:val="28"/>
        </w:rPr>
        <w:t>D、</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u w:val="single"/>
        </w:rPr>
        <w:t>报价人产品</w:t>
      </w:r>
      <w:r>
        <w:rPr>
          <w:rFonts w:hint="eastAsia" w:ascii="仿宋_GB2312" w:hAnsi="仿宋_GB2312" w:eastAsia="仿宋_GB2312" w:cs="仿宋_GB2312"/>
          <w:sz w:val="28"/>
          <w:szCs w:val="28"/>
          <w:u w:val="single"/>
          <w:lang w:val="en-US" w:eastAsia="zh-CN"/>
        </w:rPr>
        <w:t>如</w:t>
      </w:r>
      <w:r>
        <w:rPr>
          <w:rFonts w:hint="eastAsia" w:ascii="仿宋_GB2312" w:hAnsi="仿宋_GB2312" w:eastAsia="仿宋_GB2312" w:cs="仿宋_GB2312"/>
          <w:sz w:val="28"/>
          <w:szCs w:val="28"/>
          <w:u w:val="single"/>
        </w:rPr>
        <w:t>由原厂负责标准售后服务的，应当在报价文件中予以明确说明,并附厂家售后服务承诺内容</w:t>
      </w:r>
      <w:r>
        <w:rPr>
          <w:rFonts w:hint="eastAsia" w:ascii="仿宋_GB2312" w:hAnsi="仿宋_GB2312" w:eastAsia="仿宋_GB2312" w:cs="仿宋_GB2312"/>
          <w:sz w:val="28"/>
          <w:szCs w:val="28"/>
          <w:u w:val="single"/>
          <w:lang w:eastAsia="zh-CN"/>
        </w:rPr>
        <w:t>（</w:t>
      </w:r>
      <w:r>
        <w:rPr>
          <w:rFonts w:hint="eastAsia" w:ascii="仿宋_GB2312" w:hAnsi="仿宋_GB2312" w:eastAsia="仿宋_GB2312" w:cs="仿宋_GB2312"/>
          <w:sz w:val="28"/>
          <w:szCs w:val="28"/>
          <w:u w:val="single"/>
          <w:lang w:val="en-US" w:eastAsia="zh-CN"/>
        </w:rPr>
        <w:t>如有）</w:t>
      </w:r>
      <w:r>
        <w:rPr>
          <w:rFonts w:hint="eastAsia" w:ascii="仿宋_GB2312" w:hAnsi="仿宋_GB2312" w:eastAsia="仿宋_GB2312" w:cs="仿宋_GB2312"/>
          <w:sz w:val="28"/>
          <w:szCs w:val="28"/>
          <w:u w:val="single"/>
        </w:rPr>
        <w:t>。</w:t>
      </w:r>
    </w:p>
    <w:p>
      <w:pPr>
        <w:ind w:firstLine="560" w:firstLineChars="200"/>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b/>
          <w:sz w:val="28"/>
          <w:szCs w:val="28"/>
        </w:rPr>
        <w:t>售后服务内容</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承包人在质量保证期内应当为询价人提供以下技术支持和服务:</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A、电话咨询</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承包人应当为询价人提供其单位以及原厂的技术援助电话，解答询价人在使用中遇到的问题，及时为询价人提出解决问题的建议。</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B、现场响应</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询价人遇到使用及技术问题，电话咨询不能解决的，承包人应在1小时内到达现场进行处理，确保产品正常工作﹔无法在2小时内解决的，应在2小时内提供备用产品，使询价人能够正常使用。</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C、技术升级</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在质保期内，如果承包人的销售的产品发现漏洞或能够技术升级，承包人应及时通知询价人，如询价人有相应要求，承包人应对询价人购买的产品进行升级服务。</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（2）质保期外服务要求</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A、质量保证期过后，承包人应同样提供免费电话咨询服务，并应承诺提供产品上门维护服务。</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B、质量保证期过后，询价人需要继续由承包人提供售后服务的，该承包人应以优惠价格提供售后服务。</w:t>
      </w:r>
    </w:p>
    <w:p>
      <w:pPr>
        <w:adjustRightInd w:val="0"/>
        <w:snapToGrid w:val="0"/>
        <w:spacing w:line="360" w:lineRule="auto"/>
        <w:ind w:firstLine="420"/>
        <w:outlineLvl w:val="1"/>
        <w:rPr>
          <w:rFonts w:hint="eastAsia" w:ascii="仿宋_GB2312" w:hAnsi="仿宋_GB2312" w:eastAsia="仿宋_GB2312" w:cs="仿宋_GB2312"/>
          <w:sz w:val="28"/>
          <w:szCs w:val="28"/>
        </w:rPr>
      </w:pPr>
    </w:p>
    <w:p>
      <w:pPr>
        <w:adjustRightInd w:val="0"/>
        <w:snapToGrid w:val="0"/>
        <w:spacing w:line="360" w:lineRule="auto"/>
        <w:ind w:firstLine="420"/>
        <w:outlineLvl w:val="1"/>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.培训要求</w:t>
      </w:r>
    </w:p>
    <w:p>
      <w:pPr>
        <w:pStyle w:val="54"/>
        <w:autoSpaceDE w:val="0"/>
        <w:autoSpaceDN w:val="0"/>
        <w:adjustRightInd w:val="0"/>
        <w:spacing w:line="360" w:lineRule="auto"/>
        <w:ind w:firstLine="56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承包单位应根据项目实施的计划、进度和需要与询价人的合理要求，及时安排对询价人的相关人员进行培训。</w:t>
      </w:r>
    </w:p>
    <w:p>
      <w:pPr>
        <w:pStyle w:val="54"/>
        <w:autoSpaceDE w:val="0"/>
        <w:autoSpaceDN w:val="0"/>
        <w:adjustRightInd w:val="0"/>
        <w:spacing w:line="360" w:lineRule="auto"/>
        <w:ind w:left="-134" w:leftChars="-64" w:firstLine="56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培训目标为使受训者能够独立、熟练地完成操作，实现本项目所有软硬件的基本操作。具体如下：</w:t>
      </w:r>
    </w:p>
    <w:p>
      <w:pPr>
        <w:pStyle w:val="54"/>
        <w:autoSpaceDE w:val="0"/>
        <w:autoSpaceDN w:val="0"/>
        <w:adjustRightInd w:val="0"/>
        <w:spacing w:line="360" w:lineRule="auto"/>
        <w:ind w:left="-142" w:firstLine="56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由承包单位组织正式培训，采用准备好的注释、讲义、讨论会、视听演示以及在现场进行实际操作示范，培训人员应做好操作、管理、维护的充分准备，承包单位应提交一份培训计划给询价人以获批准。</w:t>
      </w:r>
    </w:p>
    <w:p>
      <w:pPr>
        <w:pStyle w:val="54"/>
        <w:autoSpaceDE w:val="0"/>
        <w:autoSpaceDN w:val="0"/>
        <w:adjustRightInd w:val="0"/>
        <w:spacing w:line="360" w:lineRule="auto"/>
        <w:ind w:left="420" w:firstLine="0" w:firstLineChars="0"/>
        <w:textAlignment w:val="baseline"/>
        <w:rPr>
          <w:rFonts w:hint="eastAsia" w:ascii="仿宋_GB2312" w:hAnsi="仿宋_GB2312" w:eastAsia="仿宋_GB2312" w:cs="仿宋_GB2312"/>
          <w:sz w:val="28"/>
          <w:szCs w:val="28"/>
        </w:rPr>
      </w:pPr>
      <w:bookmarkStart w:id="21" w:name="_Toc4510_WPSOffice_Level3"/>
      <w:r>
        <w:rPr>
          <w:rFonts w:hint="eastAsia" w:ascii="仿宋_GB2312" w:hAnsi="仿宋_GB2312" w:eastAsia="仿宋_GB2312" w:cs="仿宋_GB2312"/>
          <w:sz w:val="28"/>
          <w:szCs w:val="28"/>
        </w:rPr>
        <w:t>1.培训范围：软硬件设备以及系统的日常使用及维护操作</w:t>
      </w:r>
      <w:bookmarkEnd w:id="21"/>
    </w:p>
    <w:p>
      <w:pPr>
        <w:pStyle w:val="54"/>
        <w:autoSpaceDE w:val="0"/>
        <w:autoSpaceDN w:val="0"/>
        <w:adjustRightInd w:val="0"/>
        <w:spacing w:line="360" w:lineRule="auto"/>
        <w:ind w:left="420" w:firstLine="0" w:firstLineChars="0"/>
        <w:textAlignment w:val="baseline"/>
        <w:rPr>
          <w:rFonts w:hint="eastAsia" w:ascii="仿宋_GB2312" w:hAnsi="仿宋_GB2312" w:eastAsia="仿宋_GB2312" w:cs="仿宋_GB2312"/>
          <w:sz w:val="28"/>
          <w:szCs w:val="28"/>
        </w:rPr>
      </w:pPr>
      <w:bookmarkStart w:id="22" w:name="_Toc23160_WPSOffice_Level3"/>
      <w:r>
        <w:rPr>
          <w:rFonts w:hint="eastAsia" w:ascii="仿宋_GB2312" w:hAnsi="仿宋_GB2312" w:eastAsia="仿宋_GB2312" w:cs="仿宋_GB2312"/>
          <w:sz w:val="28"/>
          <w:szCs w:val="28"/>
        </w:rPr>
        <w:t>2.培训地点：广州市净水有限公司</w:t>
      </w:r>
      <w:bookmarkEnd w:id="22"/>
    </w:p>
    <w:p>
      <w:pPr>
        <w:pStyle w:val="54"/>
        <w:autoSpaceDE w:val="0"/>
        <w:autoSpaceDN w:val="0"/>
        <w:adjustRightInd w:val="0"/>
        <w:spacing w:line="360" w:lineRule="auto"/>
        <w:ind w:left="420" w:firstLine="0" w:firstLineChars="0"/>
        <w:textAlignment w:val="baseline"/>
        <w:rPr>
          <w:rFonts w:hint="eastAsia" w:ascii="仿宋_GB2312" w:hAnsi="仿宋_GB2312" w:eastAsia="仿宋_GB2312" w:cs="仿宋_GB2312"/>
          <w:sz w:val="28"/>
          <w:szCs w:val="28"/>
        </w:rPr>
      </w:pPr>
      <w:bookmarkStart w:id="23" w:name="_Toc5209_WPSOffice_Level3"/>
      <w:r>
        <w:rPr>
          <w:rFonts w:hint="eastAsia" w:ascii="仿宋_GB2312" w:hAnsi="仿宋_GB2312" w:eastAsia="仿宋_GB2312" w:cs="仿宋_GB2312"/>
          <w:sz w:val="28"/>
          <w:szCs w:val="28"/>
        </w:rPr>
        <w:t>3.培训时间：在项目施工完成后进行培训</w:t>
      </w:r>
      <w:bookmarkEnd w:id="23"/>
    </w:p>
    <w:p>
      <w:pPr>
        <w:pStyle w:val="54"/>
        <w:autoSpaceDE w:val="0"/>
        <w:autoSpaceDN w:val="0"/>
        <w:adjustRightInd w:val="0"/>
        <w:spacing w:line="360" w:lineRule="auto"/>
        <w:ind w:left="420" w:firstLine="0" w:firstLineChars="0"/>
        <w:textAlignment w:val="baseline"/>
        <w:rPr>
          <w:rFonts w:hint="eastAsia" w:ascii="仿宋_GB2312" w:hAnsi="仿宋_GB2312" w:eastAsia="仿宋_GB2312" w:cs="仿宋_GB2312"/>
          <w:sz w:val="28"/>
          <w:szCs w:val="28"/>
        </w:rPr>
      </w:pPr>
      <w:bookmarkStart w:id="24" w:name="_Toc2260_WPSOffice_Level3"/>
      <w:r>
        <w:rPr>
          <w:rFonts w:hint="eastAsia" w:ascii="仿宋_GB2312" w:hAnsi="仿宋_GB2312" w:eastAsia="仿宋_GB2312" w:cs="仿宋_GB2312"/>
          <w:sz w:val="28"/>
          <w:szCs w:val="28"/>
        </w:rPr>
        <w:t>4.培训内容：</w:t>
      </w:r>
      <w:bookmarkEnd w:id="24"/>
    </w:p>
    <w:p>
      <w:pPr>
        <w:pStyle w:val="54"/>
        <w:autoSpaceDE w:val="0"/>
        <w:autoSpaceDN w:val="0"/>
        <w:adjustRightInd w:val="0"/>
        <w:spacing w:line="360" w:lineRule="auto"/>
        <w:ind w:firstLine="56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根据用户对设备日常维护需求提供相关的培训及答疑，次数至少1次。</w:t>
      </w:r>
    </w:p>
    <w:p>
      <w:pPr>
        <w:pStyle w:val="54"/>
        <w:autoSpaceDE w:val="0"/>
        <w:autoSpaceDN w:val="0"/>
        <w:adjustRightInd w:val="0"/>
        <w:spacing w:line="360" w:lineRule="auto"/>
        <w:ind w:firstLine="56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若用户对设备以及系统日常维护管理及使用仍存在疑问，在运行和维护期间乙方必须持续提供咨询服务。</w:t>
      </w:r>
    </w:p>
    <w:p>
      <w:pPr>
        <w:pStyle w:val="31"/>
      </w:pPr>
    </w:p>
    <w:p>
      <w:pPr>
        <w:autoSpaceDE w:val="0"/>
        <w:autoSpaceDN w:val="0"/>
        <w:adjustRightInd w:val="0"/>
        <w:snapToGrid w:val="0"/>
        <w:spacing w:line="300" w:lineRule="auto"/>
        <w:ind w:left="561"/>
        <w:rPr>
          <w:rFonts w:ascii="仿宋_GB2312" w:hAnsi="仿宋_GB2312" w:eastAsia="仿宋_GB2312" w:cs="仿宋_GB2312"/>
          <w:b/>
          <w:color w:val="000000" w:themeColor="text1"/>
          <w:sz w:val="28"/>
          <w:szCs w:val="28"/>
          <w:lang w:val="zh-CN"/>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三、项目商务要求</w:t>
      </w:r>
    </w:p>
    <w:p>
      <w:pPr>
        <w:pStyle w:val="54"/>
        <w:autoSpaceDE w:val="0"/>
        <w:autoSpaceDN w:val="0"/>
        <w:adjustRightInd w:val="0"/>
        <w:spacing w:line="360" w:lineRule="auto"/>
        <w:ind w:left="420" w:firstLine="0" w:firstLineChars="0"/>
        <w:textAlignment w:val="baseline"/>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rPr>
        <w:t>1.服务期：</w:t>
      </w:r>
      <w:r>
        <w:rPr>
          <w:rFonts w:hint="eastAsia" w:ascii="仿宋_GB2312" w:hAnsi="仿宋_GB2312" w:eastAsia="仿宋_GB2312" w:cs="仿宋_GB2312"/>
          <w:sz w:val="28"/>
          <w:szCs w:val="28"/>
          <w:lang w:val="en-US" w:eastAsia="zh-CN"/>
        </w:rPr>
        <w:t>90天</w:t>
      </w:r>
    </w:p>
    <w:p>
      <w:pPr>
        <w:pStyle w:val="54"/>
        <w:autoSpaceDE w:val="0"/>
        <w:autoSpaceDN w:val="0"/>
        <w:adjustRightInd w:val="0"/>
        <w:spacing w:line="360" w:lineRule="auto"/>
        <w:ind w:left="420" w:firstLine="0" w:firstLineChars="0"/>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2.质量要求：</w:t>
      </w:r>
      <w:r>
        <w:rPr>
          <w:rFonts w:hint="eastAsia" w:ascii="仿宋_GB2312" w:hAnsi="仿宋_GB2312" w:eastAsia="仿宋_GB2312" w:cs="仿宋_GB2312"/>
          <w:sz w:val="28"/>
          <w:szCs w:val="28"/>
          <w:lang w:val="en-US" w:eastAsia="zh-CN"/>
        </w:rPr>
        <w:t>报价人</w:t>
      </w:r>
      <w:r>
        <w:rPr>
          <w:rFonts w:hint="eastAsia" w:ascii="仿宋_GB2312" w:hAnsi="仿宋_GB2312" w:eastAsia="仿宋_GB2312" w:cs="仿宋_GB2312"/>
          <w:sz w:val="28"/>
          <w:szCs w:val="28"/>
          <w:lang w:val="zh-CN"/>
        </w:rPr>
        <w:t>所提供的设备必须为全新原装的、</w:t>
      </w:r>
      <w:r>
        <w:rPr>
          <w:rFonts w:hint="eastAsia" w:ascii="仿宋_GB2312" w:hAnsi="仿宋_GB2312" w:eastAsia="仿宋_GB2312" w:cs="仿宋_GB2312"/>
          <w:sz w:val="28"/>
          <w:szCs w:val="28"/>
          <w:lang w:val="en-US" w:eastAsia="zh-CN"/>
        </w:rPr>
        <w:t>符合国家及采购人提出的有关质量标准的设备</w:t>
      </w:r>
      <w:r>
        <w:rPr>
          <w:rFonts w:hint="eastAsia" w:ascii="仿宋_GB2312" w:hAnsi="仿宋_GB2312" w:eastAsia="仿宋_GB2312" w:cs="仿宋_GB2312"/>
          <w:sz w:val="28"/>
          <w:szCs w:val="28"/>
          <w:lang w:val="zh-CN"/>
        </w:rPr>
        <w:t>。</w:t>
      </w:r>
      <w:r>
        <w:rPr>
          <w:rFonts w:hint="eastAsia" w:ascii="仿宋_GB2312" w:hAnsi="仿宋_GB2312" w:eastAsia="仿宋_GB2312" w:cs="仿宋_GB2312"/>
          <w:sz w:val="28"/>
          <w:szCs w:val="28"/>
          <w:lang w:val="en-US" w:eastAsia="zh-CN"/>
        </w:rPr>
        <w:t>且报价人所提供的软件服务符合国家及采购人提出的有关建设指标要求和质量标准。</w:t>
      </w:r>
    </w:p>
    <w:p>
      <w:pPr>
        <w:pStyle w:val="54"/>
        <w:autoSpaceDE w:val="0"/>
        <w:autoSpaceDN w:val="0"/>
        <w:adjustRightInd w:val="0"/>
        <w:spacing w:line="360" w:lineRule="auto"/>
        <w:ind w:left="420" w:firstLine="0" w:firstLineChars="0"/>
        <w:textAlignment w:val="baseline"/>
        <w:rPr>
          <w:rFonts w:hint="eastAsia" w:ascii="仿宋_GB2312" w:hAnsi="仿宋_GB2312" w:eastAsia="仿宋_GB2312" w:cs="仿宋_GB2312"/>
          <w:i w:val="0"/>
          <w:iCs w:val="0"/>
          <w:sz w:val="28"/>
          <w:szCs w:val="28"/>
          <w:u w:val="none"/>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i w:val="0"/>
          <w:iCs w:val="0"/>
          <w:sz w:val="28"/>
          <w:szCs w:val="28"/>
          <w:u w:val="single"/>
          <w:lang w:val="en-US"/>
        </w:rPr>
        <w:t>报价单位须具有质量管理体系认证证书，具有IT服务管理体系认证证书，具有信息安全管理体系认证证书</w:t>
      </w:r>
      <w:r>
        <w:rPr>
          <w:rFonts w:hint="eastAsia" w:ascii="仿宋_GB2312" w:hAnsi="仿宋_GB2312" w:eastAsia="仿宋_GB2312" w:cs="仿宋_GB2312"/>
          <w:i w:val="0"/>
          <w:iCs w:val="0"/>
          <w:sz w:val="28"/>
          <w:szCs w:val="28"/>
          <w:u w:val="single"/>
        </w:rPr>
        <w:t>（提供复印件证明，加盖单位公章）。</w:t>
      </w:r>
    </w:p>
    <w:p>
      <w:pPr>
        <w:pStyle w:val="54"/>
        <w:autoSpaceDE w:val="0"/>
        <w:autoSpaceDN w:val="0"/>
        <w:adjustRightInd w:val="0"/>
        <w:spacing w:line="360" w:lineRule="auto"/>
        <w:ind w:left="420" w:firstLine="0" w:firstLineChars="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.安全文明施工要求：详见合同附件</w:t>
      </w:r>
    </w:p>
    <w:p>
      <w:pPr>
        <w:pStyle w:val="54"/>
        <w:autoSpaceDE w:val="0"/>
        <w:autoSpaceDN w:val="0"/>
        <w:adjustRightInd w:val="0"/>
        <w:spacing w:line="360" w:lineRule="auto"/>
        <w:ind w:left="420" w:firstLine="0" w:firstLineChars="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.总包及分包规定：不允许分包</w:t>
      </w:r>
    </w:p>
    <w:p>
      <w:pPr>
        <w:pStyle w:val="54"/>
        <w:autoSpaceDE w:val="0"/>
        <w:autoSpaceDN w:val="0"/>
        <w:adjustRightInd w:val="0"/>
        <w:spacing w:line="360" w:lineRule="auto"/>
        <w:ind w:left="420" w:firstLine="0" w:firstLineChars="0"/>
        <w:textAlignment w:val="baseline"/>
        <w:rPr>
          <w:rFonts w:hint="eastAsia" w:ascii="仿宋" w:hAnsi="仿宋" w:eastAsia="仿宋" w:cs="仿宋"/>
          <w:color w:val="000000" w:themeColor="text1"/>
          <w:sz w:val="28"/>
          <w:szCs w:val="28"/>
          <w14:textFill>
            <w14:solidFill>
              <w14:schemeClr w14:val="tx1"/>
            </w14:solidFill>
          </w14:textFill>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.付款方式：详见合同范本</w:t>
      </w:r>
    </w:p>
    <w:p>
      <w:pPr>
        <w:pStyle w:val="24"/>
        <w:rPr>
          <w:rFonts w:hint="eastAsia" w:ascii="仿宋" w:hAnsi="仿宋" w:eastAsia="仿宋" w:cs="仿宋"/>
          <w:color w:val="000000" w:themeColor="text1"/>
          <w:sz w:val="28"/>
          <w:szCs w:val="28"/>
          <w14:textFill>
            <w14:solidFill>
              <w14:schemeClr w14:val="tx1"/>
            </w14:solidFill>
          </w14:textFill>
        </w:rPr>
      </w:pPr>
    </w:p>
    <w:p>
      <w:pPr>
        <w:pStyle w:val="24"/>
        <w:rPr>
          <w:rFonts w:hint="eastAsia" w:ascii="仿宋" w:hAnsi="仿宋" w:eastAsia="仿宋" w:cs="仿宋"/>
          <w:color w:val="000000" w:themeColor="text1"/>
          <w:sz w:val="28"/>
          <w:szCs w:val="28"/>
          <w14:textFill>
            <w14:solidFill>
              <w14:schemeClr w14:val="tx1"/>
            </w14:solidFill>
          </w14:textFill>
        </w:rPr>
      </w:pPr>
    </w:p>
    <w:p>
      <w:pPr>
        <w:pStyle w:val="24"/>
        <w:rPr>
          <w:rFonts w:hint="eastAsia" w:ascii="仿宋" w:hAnsi="仿宋" w:eastAsia="仿宋" w:cs="仿宋"/>
          <w:color w:val="000000" w:themeColor="text1"/>
          <w:sz w:val="28"/>
          <w:szCs w:val="28"/>
          <w14:textFill>
            <w14:solidFill>
              <w14:schemeClr w14:val="tx1"/>
            </w14:solidFill>
          </w14:textFill>
        </w:rPr>
      </w:pPr>
    </w:p>
    <w:p>
      <w:pPr>
        <w:pStyle w:val="24"/>
        <w:rPr>
          <w:rFonts w:hint="eastAsia" w:ascii="仿宋" w:hAnsi="仿宋" w:eastAsia="仿宋" w:cs="仿宋"/>
          <w:color w:val="000000" w:themeColor="text1"/>
          <w:sz w:val="28"/>
          <w:szCs w:val="28"/>
          <w14:textFill>
            <w14:solidFill>
              <w14:schemeClr w14:val="tx1"/>
            </w14:solidFill>
          </w14:textFill>
        </w:rPr>
      </w:pPr>
    </w:p>
    <w:p>
      <w:pPr>
        <w:pStyle w:val="24"/>
        <w:rPr>
          <w:rFonts w:hint="eastAsia" w:ascii="仿宋" w:hAnsi="仿宋" w:eastAsia="仿宋" w:cs="仿宋"/>
          <w:color w:val="000000" w:themeColor="text1"/>
          <w:sz w:val="28"/>
          <w:szCs w:val="28"/>
          <w14:textFill>
            <w14:solidFill>
              <w14:schemeClr w14:val="tx1"/>
            </w14:solidFill>
          </w14:textFill>
        </w:rPr>
      </w:pPr>
    </w:p>
    <w:p>
      <w:pPr>
        <w:pStyle w:val="24"/>
        <w:rPr>
          <w:rFonts w:hint="eastAsia" w:ascii="仿宋" w:hAnsi="仿宋" w:eastAsia="仿宋" w:cs="仿宋"/>
          <w:color w:val="000000" w:themeColor="text1"/>
          <w:sz w:val="28"/>
          <w:szCs w:val="28"/>
          <w14:textFill>
            <w14:solidFill>
              <w14:schemeClr w14:val="tx1"/>
            </w14:solidFill>
          </w14:textFill>
        </w:rPr>
      </w:pPr>
    </w:p>
    <w:p>
      <w:pPr>
        <w:pStyle w:val="24"/>
        <w:rPr>
          <w:rFonts w:hint="eastAsia" w:ascii="仿宋" w:hAnsi="仿宋" w:eastAsia="仿宋" w:cs="仿宋"/>
          <w:color w:val="000000" w:themeColor="text1"/>
          <w:sz w:val="28"/>
          <w:szCs w:val="28"/>
          <w14:textFill>
            <w14:solidFill>
              <w14:schemeClr w14:val="tx1"/>
            </w14:solidFill>
          </w14:textFill>
        </w:rPr>
      </w:pPr>
    </w:p>
    <w:p>
      <w:pPr>
        <w:pStyle w:val="24"/>
        <w:rPr>
          <w:rFonts w:hint="eastAsia" w:ascii="仿宋" w:hAnsi="仿宋" w:eastAsia="仿宋" w:cs="仿宋"/>
          <w:color w:val="000000" w:themeColor="text1"/>
          <w:sz w:val="28"/>
          <w:szCs w:val="28"/>
          <w14:textFill>
            <w14:solidFill>
              <w14:schemeClr w14:val="tx1"/>
            </w14:solidFill>
          </w14:textFill>
        </w:rPr>
      </w:pPr>
    </w:p>
    <w:p>
      <w:pPr>
        <w:pStyle w:val="24"/>
        <w:rPr>
          <w:rFonts w:hint="eastAsia" w:ascii="仿宋" w:hAnsi="仿宋" w:eastAsia="仿宋" w:cs="仿宋"/>
          <w:color w:val="000000" w:themeColor="text1"/>
          <w:sz w:val="28"/>
          <w:szCs w:val="28"/>
          <w14:textFill>
            <w14:solidFill>
              <w14:schemeClr w14:val="tx1"/>
            </w14:solidFill>
          </w14:textFill>
        </w:rPr>
      </w:pPr>
    </w:p>
    <w:p>
      <w:pPr>
        <w:pStyle w:val="24"/>
        <w:rPr>
          <w:rFonts w:hint="eastAsia" w:ascii="仿宋" w:hAnsi="仿宋" w:eastAsia="仿宋" w:cs="仿宋"/>
          <w:color w:val="000000" w:themeColor="text1"/>
          <w:sz w:val="28"/>
          <w:szCs w:val="28"/>
          <w14:textFill>
            <w14:solidFill>
              <w14:schemeClr w14:val="tx1"/>
            </w14:solidFill>
          </w14:textFill>
        </w:rPr>
      </w:pPr>
    </w:p>
    <w:p>
      <w:pPr>
        <w:pStyle w:val="24"/>
        <w:rPr>
          <w:rFonts w:hint="eastAsia" w:ascii="仿宋" w:hAnsi="仿宋" w:eastAsia="仿宋" w:cs="仿宋"/>
          <w:color w:val="000000" w:themeColor="text1"/>
          <w:sz w:val="28"/>
          <w:szCs w:val="28"/>
          <w14:textFill>
            <w14:solidFill>
              <w14:schemeClr w14:val="tx1"/>
            </w14:solidFill>
          </w14:textFill>
        </w:rPr>
      </w:pPr>
    </w:p>
    <w:p>
      <w:pPr>
        <w:pStyle w:val="24"/>
        <w:rPr>
          <w:rFonts w:hint="eastAsia" w:ascii="仿宋" w:hAnsi="仿宋" w:eastAsia="仿宋" w:cs="仿宋"/>
          <w:color w:val="000000" w:themeColor="text1"/>
          <w:sz w:val="28"/>
          <w:szCs w:val="28"/>
          <w14:textFill>
            <w14:solidFill>
              <w14:schemeClr w14:val="tx1"/>
            </w14:solidFill>
          </w14:textFill>
        </w:rPr>
      </w:pPr>
    </w:p>
    <w:p>
      <w:pPr>
        <w:pStyle w:val="24"/>
        <w:rPr>
          <w:rFonts w:hint="eastAsia" w:ascii="仿宋" w:hAnsi="仿宋" w:eastAsia="仿宋" w:cs="仿宋"/>
          <w:color w:val="000000" w:themeColor="text1"/>
          <w:sz w:val="28"/>
          <w:szCs w:val="28"/>
          <w14:textFill>
            <w14:solidFill>
              <w14:schemeClr w14:val="tx1"/>
            </w14:solidFill>
          </w14:textFill>
        </w:rPr>
      </w:pPr>
    </w:p>
    <w:p>
      <w:pPr>
        <w:pStyle w:val="24"/>
        <w:rPr>
          <w:rFonts w:hint="eastAsia" w:ascii="仿宋" w:hAnsi="仿宋" w:eastAsia="仿宋" w:cs="仿宋"/>
          <w:color w:val="000000" w:themeColor="text1"/>
          <w:sz w:val="28"/>
          <w:szCs w:val="28"/>
          <w14:textFill>
            <w14:solidFill>
              <w14:schemeClr w14:val="tx1"/>
            </w14:solidFill>
          </w14:textFill>
        </w:rPr>
      </w:pPr>
    </w:p>
    <w:p>
      <w:pPr>
        <w:pStyle w:val="24"/>
        <w:rPr>
          <w:rFonts w:hint="eastAsia" w:ascii="仿宋" w:hAnsi="仿宋" w:eastAsia="仿宋" w:cs="仿宋"/>
          <w:color w:val="000000" w:themeColor="text1"/>
          <w:sz w:val="28"/>
          <w:szCs w:val="28"/>
          <w14:textFill>
            <w14:solidFill>
              <w14:schemeClr w14:val="tx1"/>
            </w14:solidFill>
          </w14:textFill>
        </w:rPr>
      </w:pPr>
    </w:p>
    <w:p>
      <w:pPr>
        <w:pStyle w:val="24"/>
        <w:rPr>
          <w:rFonts w:hint="eastAsia" w:ascii="仿宋" w:hAnsi="仿宋" w:eastAsia="仿宋" w:cs="仿宋"/>
          <w:color w:val="000000" w:themeColor="text1"/>
          <w:sz w:val="28"/>
          <w:szCs w:val="28"/>
          <w14:textFill>
            <w14:solidFill>
              <w14:schemeClr w14:val="tx1"/>
            </w14:solidFill>
          </w14:textFill>
        </w:rPr>
      </w:pPr>
    </w:p>
    <w:p>
      <w:pPr>
        <w:pStyle w:val="15"/>
        <w:adjustRightInd w:val="0"/>
        <w:snapToGrid w:val="0"/>
        <w:spacing w:line="300" w:lineRule="auto"/>
        <w:jc w:val="center"/>
        <w:rPr>
          <w:rFonts w:ascii="仿宋_GB2312" w:hAnsi="仿宋_GB2312" w:eastAsia="仿宋_GB2312" w:cs="仿宋_GB2312"/>
          <w:b/>
          <w:color w:val="000000" w:themeColor="text1"/>
          <w:sz w:val="28"/>
          <w:szCs w:val="28"/>
          <w:lang w:val="zh-CN"/>
          <w14:textFill>
            <w14:solidFill>
              <w14:schemeClr w14:val="tx1"/>
            </w14:solidFill>
          </w14:textFill>
        </w:rPr>
      </w:pPr>
    </w:p>
    <w:p>
      <w:pPr>
        <w:pStyle w:val="15"/>
        <w:adjustRightInd w:val="0"/>
        <w:snapToGrid w:val="0"/>
        <w:spacing w:line="300" w:lineRule="auto"/>
        <w:jc w:val="center"/>
        <w:rPr>
          <w:rFonts w:hint="eastAsia" w:ascii="仿宋_GB2312" w:hAnsi="仿宋_GB2312" w:eastAsia="仿宋_GB2312" w:cs="仿宋_GB2312"/>
          <w:b/>
          <w:color w:val="000000" w:themeColor="text1"/>
          <w:sz w:val="28"/>
          <w:szCs w:val="28"/>
          <w:lang w:val="zh-CN"/>
          <w14:textFill>
            <w14:solidFill>
              <w14:schemeClr w14:val="tx1"/>
            </w14:solidFill>
          </w14:textFill>
        </w:rPr>
      </w:pPr>
    </w:p>
    <w:p>
      <w:pPr>
        <w:pStyle w:val="15"/>
        <w:adjustRightInd w:val="0"/>
        <w:snapToGrid w:val="0"/>
        <w:spacing w:line="300" w:lineRule="auto"/>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lang w:val="zh-CN"/>
          <w14:textFill>
            <w14:solidFill>
              <w14:schemeClr w14:val="tx1"/>
            </w14:solidFill>
          </w14:textFill>
        </w:rPr>
        <w:t xml:space="preserve">第三部分 </w:t>
      </w:r>
      <w:r>
        <w:rPr>
          <w:rFonts w:hint="eastAsia" w:ascii="仿宋_GB2312" w:hAnsi="仿宋_GB2312" w:eastAsia="仿宋_GB2312" w:cs="仿宋_GB2312"/>
          <w:b/>
          <w:color w:val="000000" w:themeColor="text1"/>
          <w:sz w:val="28"/>
          <w:szCs w:val="28"/>
          <w14:textFill>
            <w14:solidFill>
              <w14:schemeClr w14:val="tx1"/>
            </w14:solidFill>
          </w14:textFill>
        </w:rPr>
        <w:t xml:space="preserve"> 报价须知</w:t>
      </w:r>
    </w:p>
    <w:p>
      <w:pPr>
        <w:pStyle w:val="15"/>
        <w:adjustRightInd w:val="0"/>
        <w:snapToGrid w:val="0"/>
        <w:spacing w:line="300" w:lineRule="auto"/>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一、概念释义</w:t>
      </w:r>
    </w:p>
    <w:p>
      <w:pPr>
        <w:pStyle w:val="15"/>
        <w:adjustRightInd w:val="0"/>
        <w:snapToGrid w:val="0"/>
        <w:spacing w:line="300" w:lineRule="auto"/>
        <w:ind w:left="560" w:hanging="560" w:hanging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1.“询价人”是指：</w:t>
      </w:r>
      <w:r>
        <w:rPr>
          <w:rFonts w:hint="eastAsia" w:ascii="仿宋_GB2312" w:hAnsi="仿宋_GB2312" w:eastAsia="仿宋_GB2312" w:cs="仿宋_GB2312"/>
          <w:color w:val="000000" w:themeColor="text1"/>
          <w:sz w:val="28"/>
          <w:szCs w:val="28"/>
          <w:u w:val="single"/>
          <w14:textFill>
            <w14:solidFill>
              <w14:schemeClr w14:val="tx1"/>
            </w14:solidFill>
          </w14:textFill>
        </w:rPr>
        <w:t>广州市净水有限公司</w:t>
      </w:r>
      <w:r>
        <w:rPr>
          <w:rFonts w:hint="eastAsia" w:ascii="仿宋_GB2312" w:hAnsi="仿宋_GB2312" w:eastAsia="仿宋_GB2312" w:cs="仿宋_GB2312"/>
          <w:color w:val="000000" w:themeColor="text1"/>
          <w:sz w:val="28"/>
          <w:szCs w:val="28"/>
          <w14:textFill>
            <w14:solidFill>
              <w14:schemeClr w14:val="tx1"/>
            </w14:solidFill>
          </w14:textFill>
        </w:rPr>
        <w:t>。</w:t>
      </w:r>
    </w:p>
    <w:p>
      <w:pPr>
        <w:pStyle w:val="15"/>
        <w:tabs>
          <w:tab w:val="left" w:pos="360"/>
        </w:tabs>
        <w:adjustRightInd w:val="0"/>
        <w:snapToGrid w:val="0"/>
        <w:spacing w:line="300" w:lineRule="auto"/>
        <w:ind w:left="560" w:hanging="560" w:hanging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2.合格的报价单位:</w:t>
      </w:r>
      <w:r>
        <w:rPr>
          <w:rFonts w:hint="eastAsia" w:ascii="仿宋_GB2312" w:hAnsi="仿宋_GB2312" w:eastAsia="仿宋_GB2312" w:cs="仿宋_GB2312"/>
          <w:color w:val="000000" w:themeColor="text1"/>
          <w:kern w:val="0"/>
          <w:sz w:val="28"/>
          <w:szCs w:val="28"/>
          <w14:textFill>
            <w14:solidFill>
              <w14:schemeClr w14:val="tx1"/>
            </w14:solidFill>
          </w14:textFill>
        </w:rPr>
        <w:t>符合询价文件规定资格</w:t>
      </w:r>
      <w:r>
        <w:rPr>
          <w:rFonts w:hint="eastAsia" w:ascii="仿宋_GB2312" w:hAnsi="仿宋_GB2312" w:eastAsia="仿宋_GB2312" w:cs="仿宋_GB2312"/>
          <w:color w:val="000000" w:themeColor="text1"/>
          <w:sz w:val="28"/>
          <w:szCs w:val="28"/>
          <w:lang w:val="zh-CN"/>
          <w14:textFill>
            <w14:solidFill>
              <w14:schemeClr w14:val="tx1"/>
            </w14:solidFill>
          </w14:textFill>
        </w:rPr>
        <w:t>要求</w:t>
      </w:r>
      <w:r>
        <w:rPr>
          <w:rFonts w:hint="eastAsia" w:ascii="仿宋_GB2312" w:hAnsi="仿宋_GB2312" w:eastAsia="仿宋_GB2312" w:cs="仿宋_GB2312"/>
          <w:color w:val="000000" w:themeColor="text1"/>
          <w:kern w:val="0"/>
          <w:sz w:val="28"/>
          <w:szCs w:val="28"/>
          <w14:textFill>
            <w14:solidFill>
              <w14:schemeClr w14:val="tx1"/>
            </w14:solidFill>
          </w14:textFill>
        </w:rPr>
        <w:t>的报价单位。</w:t>
      </w:r>
    </w:p>
    <w:p>
      <w:pPr>
        <w:pStyle w:val="15"/>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3.“承包人”是指经法定程序确认并授以合同的报价单位。</w:t>
      </w:r>
    </w:p>
    <w:p>
      <w:pPr>
        <w:pStyle w:val="15"/>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 合格的工程：满足国家相关法律、法规、规章等规定，并符合本项目相关质量要求、安全文明施工要求的工程。</w:t>
      </w:r>
    </w:p>
    <w:p>
      <w:pPr>
        <w:pStyle w:val="15"/>
        <w:adjustRightInd w:val="0"/>
        <w:snapToGrid w:val="0"/>
        <w:spacing w:line="300" w:lineRule="auto"/>
        <w:ind w:left="420" w:hanging="420"/>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二、询价文件</w:t>
      </w:r>
    </w:p>
    <w:p>
      <w:pPr>
        <w:pStyle w:val="15"/>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5．适用范围:本询价文件适用于本报价邀请中所述项目的询价。</w:t>
      </w:r>
    </w:p>
    <w:p>
      <w:pPr>
        <w:pStyle w:val="15"/>
        <w:adjustRightInd w:val="0"/>
        <w:snapToGrid w:val="0"/>
        <w:spacing w:line="300" w:lineRule="auto"/>
        <w:ind w:left="420" w:hanging="42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6. 询价文件的构成</w:t>
      </w:r>
    </w:p>
    <w:p>
      <w:pPr>
        <w:pStyle w:val="15"/>
        <w:adjustRightInd w:val="0"/>
        <w:snapToGrid w:val="0"/>
        <w:spacing w:line="300" w:lineRule="auto"/>
        <w:ind w:left="420" w:hanging="42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6.1询价文件包括但不限于下列文件:</w:t>
      </w:r>
    </w:p>
    <w:p>
      <w:pPr>
        <w:pStyle w:val="15"/>
        <w:adjustRightInd w:val="0"/>
        <w:snapToGrid w:val="0"/>
        <w:spacing w:line="300" w:lineRule="auto"/>
        <w:ind w:firstLine="36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1）报价邀请函</w:t>
      </w:r>
    </w:p>
    <w:p>
      <w:pPr>
        <w:pStyle w:val="15"/>
        <w:adjustRightInd w:val="0"/>
        <w:snapToGrid w:val="0"/>
        <w:spacing w:line="300" w:lineRule="auto"/>
        <w:ind w:firstLine="36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 项目内容</w:t>
      </w:r>
    </w:p>
    <w:p>
      <w:pPr>
        <w:pStyle w:val="15"/>
        <w:adjustRightInd w:val="0"/>
        <w:snapToGrid w:val="0"/>
        <w:spacing w:line="300" w:lineRule="auto"/>
        <w:ind w:firstLine="36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 报价单位须知</w:t>
      </w:r>
    </w:p>
    <w:p>
      <w:pPr>
        <w:pStyle w:val="15"/>
        <w:adjustRightInd w:val="0"/>
        <w:snapToGrid w:val="0"/>
        <w:spacing w:line="300" w:lineRule="auto"/>
        <w:ind w:firstLine="36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 合同书格式</w:t>
      </w:r>
    </w:p>
    <w:p>
      <w:pPr>
        <w:pStyle w:val="15"/>
        <w:adjustRightInd w:val="0"/>
        <w:snapToGrid w:val="0"/>
        <w:spacing w:line="300" w:lineRule="auto"/>
        <w:ind w:firstLine="36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 询价响应文件格式</w:t>
      </w:r>
    </w:p>
    <w:p>
      <w:pPr>
        <w:pStyle w:val="15"/>
        <w:adjustRightInd w:val="0"/>
        <w:snapToGrid w:val="0"/>
        <w:spacing w:line="300" w:lineRule="auto"/>
        <w:ind w:firstLine="36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6) 在询价过程中由询价人发出的修正和补充文件等</w:t>
      </w:r>
    </w:p>
    <w:p>
      <w:pPr>
        <w:pStyle w:val="15"/>
        <w:adjustRightInd w:val="0"/>
        <w:snapToGrid w:val="0"/>
        <w:spacing w:line="300" w:lineRule="auto"/>
        <w:ind w:left="420" w:hanging="42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6.2报价单位应认真阅读、并充分理解询价文件的全部内容（包括所有的补充、修改内容、重要事项、格式、条款等）。报价单位没有按照询价文件要求提交全部资料，或者没有对询价文件在各方面都做出实质性响应是报价单位的风险，有可能导致其询价响应被拒绝，或被认定为无效询价响应。</w:t>
      </w:r>
    </w:p>
    <w:p>
      <w:pPr>
        <w:pStyle w:val="15"/>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7. 询价文件的澄清或修改</w:t>
      </w:r>
    </w:p>
    <w:p>
      <w:pPr>
        <w:pStyle w:val="15"/>
        <w:adjustRightInd w:val="0"/>
        <w:snapToGrid w:val="0"/>
        <w:spacing w:line="300" w:lineRule="auto"/>
        <w:ind w:left="420" w:hanging="42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7.1询价文件的澄清是指询价人对询价文件中的遗漏、错误、词义表达不清或对比较复杂的事项进行说明，回答报价单位提出的各种问题。询价文件的修改是指询价人对询价文件中出现的错误进行修订。</w:t>
      </w:r>
    </w:p>
    <w:p>
      <w:pPr>
        <w:pStyle w:val="15"/>
        <w:adjustRightInd w:val="0"/>
        <w:snapToGrid w:val="0"/>
        <w:spacing w:line="300" w:lineRule="auto"/>
        <w:ind w:left="420" w:hanging="42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7.2任何要求对询价文件进行澄清的报价单位，均应以书面形式通知询价人。询价人对其收到的书面的对询价文件的澄清要求均以书面形式</w:t>
      </w:r>
      <w:r>
        <w:rPr>
          <w:rFonts w:hint="eastAsia" w:ascii="仿宋" w:hAnsi="仿宋" w:eastAsia="仿宋" w:cs="仿宋_GB2312"/>
          <w:color w:val="000000" w:themeColor="text1"/>
          <w:sz w:val="28"/>
          <w:szCs w:val="28"/>
          <w14:textFill>
            <w14:solidFill>
              <w14:schemeClr w14:val="tx1"/>
            </w14:solidFill>
          </w14:textFill>
        </w:rPr>
        <w:t>予以答复</w:t>
      </w:r>
      <w:r>
        <w:rPr>
          <w:rFonts w:hint="eastAsia" w:ascii="仿宋_GB2312" w:hAnsi="仿宋_GB2312" w:eastAsia="仿宋_GB2312" w:cs="仿宋_GB2312"/>
          <w:color w:val="000000" w:themeColor="text1"/>
          <w:sz w:val="28"/>
          <w:szCs w:val="28"/>
          <w14:textFill>
            <w14:solidFill>
              <w14:schemeClr w14:val="tx1"/>
            </w14:solidFill>
          </w14:textFill>
        </w:rPr>
        <w:t>或以净水公司门户网站公告的形式发布，（答复中不包括问题的来源）。报价单位在收到上述答复后，应立即向询价人回函确认，该答复作为询价文件的一部分，对报价单位有约束力。</w:t>
      </w:r>
    </w:p>
    <w:p>
      <w:pPr>
        <w:pStyle w:val="15"/>
        <w:adjustRightInd w:val="0"/>
        <w:snapToGrid w:val="0"/>
        <w:spacing w:line="300" w:lineRule="auto"/>
        <w:ind w:left="420" w:hanging="42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７.3询价文件的修改或澄清将以</w:t>
      </w:r>
      <w:r>
        <w:rPr>
          <w:rFonts w:hint="eastAsia" w:ascii="仿宋" w:hAnsi="仿宋" w:eastAsia="仿宋" w:cs="仿宋_GB2312"/>
          <w:color w:val="000000" w:themeColor="text1"/>
          <w:sz w:val="28"/>
          <w:szCs w:val="28"/>
          <w14:textFill>
            <w14:solidFill>
              <w14:schemeClr w14:val="tx1"/>
            </w14:solidFill>
          </w14:textFill>
        </w:rPr>
        <w:t>书面形式通知所有购买询价文件的报价单位或以</w:t>
      </w:r>
      <w:r>
        <w:rPr>
          <w:rFonts w:hint="eastAsia" w:ascii="仿宋_GB2312" w:hAnsi="仿宋_GB2312" w:eastAsia="仿宋_GB2312" w:cs="仿宋_GB2312"/>
          <w:color w:val="000000" w:themeColor="text1"/>
          <w:sz w:val="28"/>
          <w:szCs w:val="28"/>
          <w14:textFill>
            <w14:solidFill>
              <w14:schemeClr w14:val="tx1"/>
            </w14:solidFill>
          </w14:textFill>
        </w:rPr>
        <w:t>净水公司门户网站公告的形式发布，并对其具有约束力。</w:t>
      </w:r>
      <w:r>
        <w:rPr>
          <w:rFonts w:hint="eastAsia" w:ascii="仿宋" w:hAnsi="仿宋" w:eastAsia="仿宋" w:cs="仿宋_GB2312"/>
          <w:color w:val="000000" w:themeColor="text1"/>
          <w:sz w:val="28"/>
          <w:szCs w:val="28"/>
          <w14:textFill>
            <w14:solidFill>
              <w14:schemeClr w14:val="tx1"/>
            </w14:solidFill>
          </w14:textFill>
        </w:rPr>
        <w:t>报价单位在收到上述通知后，应立即向询价人回函确认。</w:t>
      </w:r>
    </w:p>
    <w:p>
      <w:pPr>
        <w:pStyle w:val="15"/>
        <w:adjustRightInd w:val="0"/>
        <w:snapToGrid w:val="0"/>
        <w:spacing w:line="300" w:lineRule="auto"/>
        <w:ind w:left="420" w:hanging="42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7.4询价人可以视询价具体情况，延长递交询价响应文件截止时间，并将变更时间以</w:t>
      </w:r>
      <w:r>
        <w:rPr>
          <w:rFonts w:hint="eastAsia" w:ascii="仿宋" w:hAnsi="仿宋" w:eastAsia="仿宋" w:cs="仿宋_GB2312"/>
          <w:color w:val="000000" w:themeColor="text1"/>
          <w:sz w:val="28"/>
          <w:szCs w:val="28"/>
          <w14:textFill>
            <w14:solidFill>
              <w14:schemeClr w14:val="tx1"/>
            </w14:solidFill>
          </w14:textFill>
        </w:rPr>
        <w:t>书面形式</w:t>
      </w:r>
      <w:r>
        <w:rPr>
          <w:rFonts w:hint="eastAsia" w:ascii="仿宋_GB2312" w:hAnsi="仿宋_GB2312" w:eastAsia="仿宋_GB2312" w:cs="仿宋_GB2312"/>
          <w:color w:val="000000" w:themeColor="text1"/>
          <w:sz w:val="28"/>
          <w:szCs w:val="28"/>
          <w14:textFill>
            <w14:solidFill>
              <w14:schemeClr w14:val="tx1"/>
            </w14:solidFill>
          </w14:textFill>
        </w:rPr>
        <w:t>通知所有询价文件收受人</w:t>
      </w:r>
      <w:r>
        <w:rPr>
          <w:rFonts w:hint="eastAsia" w:ascii="仿宋" w:hAnsi="仿宋" w:eastAsia="仿宋" w:cs="仿宋_GB2312"/>
          <w:color w:val="000000" w:themeColor="text1"/>
          <w:sz w:val="28"/>
          <w:szCs w:val="28"/>
          <w14:textFill>
            <w14:solidFill>
              <w14:schemeClr w14:val="tx1"/>
            </w14:solidFill>
          </w14:textFill>
        </w:rPr>
        <w:t>或以</w:t>
      </w:r>
      <w:r>
        <w:rPr>
          <w:rFonts w:hint="eastAsia" w:ascii="仿宋_GB2312" w:hAnsi="仿宋_GB2312" w:eastAsia="仿宋_GB2312" w:cs="仿宋_GB2312"/>
          <w:color w:val="000000" w:themeColor="text1"/>
          <w:sz w:val="28"/>
          <w:szCs w:val="28"/>
          <w14:textFill>
            <w14:solidFill>
              <w14:schemeClr w14:val="tx1"/>
            </w14:solidFill>
          </w14:textFill>
        </w:rPr>
        <w:t>净水公司门户网站公告的形式发布。</w:t>
      </w:r>
    </w:p>
    <w:p>
      <w:pPr>
        <w:pStyle w:val="15"/>
        <w:adjustRightInd w:val="0"/>
        <w:snapToGrid w:val="0"/>
        <w:spacing w:line="300" w:lineRule="auto"/>
        <w:ind w:left="420" w:hanging="42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7.5 书面形式包括但不限于以纸质、电子邮件、门户网站信息公告等形式。</w:t>
      </w:r>
    </w:p>
    <w:p>
      <w:pPr>
        <w:pStyle w:val="15"/>
        <w:adjustRightInd w:val="0"/>
        <w:snapToGrid w:val="0"/>
        <w:spacing w:line="300" w:lineRule="auto"/>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三、询价响应文件的编制和数量</w:t>
      </w:r>
    </w:p>
    <w:p>
      <w:pPr>
        <w:pStyle w:val="15"/>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8．询价响应费用</w:t>
      </w:r>
    </w:p>
    <w:p>
      <w:pPr>
        <w:pStyle w:val="15"/>
        <w:adjustRightInd w:val="0"/>
        <w:snapToGrid w:val="0"/>
        <w:spacing w:line="300" w:lineRule="auto"/>
        <w:ind w:left="420" w:hanging="42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8.1 报价单位应承担所有与准备和参加询价响应有关的费用。不论询价的结果如何，询价人均无义务和责任承担这些费用。</w:t>
      </w:r>
    </w:p>
    <w:p>
      <w:pPr>
        <w:pStyle w:val="15"/>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9．报价的语言及计量</w:t>
      </w:r>
    </w:p>
    <w:p>
      <w:pPr>
        <w:pStyle w:val="15"/>
        <w:adjustRightInd w:val="0"/>
        <w:snapToGrid w:val="0"/>
        <w:spacing w:line="300" w:lineRule="auto"/>
        <w:ind w:left="360" w:hanging="36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9.1报价单位提交的询价响应文件以及报价单位与询价人就有关询价的所有来往函电均应使用中文。报价单位提交的支持文件或印刷的资料可以用另一种语言，但相应内容应附有中文翻译本，在解释询价响应文件的修改内容时以中文翻译本为准。对中文翻译有异议的，以权威机构的译本为准。</w:t>
      </w:r>
    </w:p>
    <w:p>
      <w:pPr>
        <w:pStyle w:val="15"/>
        <w:adjustRightInd w:val="0"/>
        <w:snapToGrid w:val="0"/>
        <w:spacing w:line="300" w:lineRule="auto"/>
        <w:ind w:left="360" w:hanging="36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9.2除非询价文件中另有规定，报价单位在询价响应文件中及其与询价人的所有往来文件中的计量单位均应采用中华人民共和国法定计量单位。</w:t>
      </w:r>
    </w:p>
    <w:p>
      <w:pPr>
        <w:pStyle w:val="15"/>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10．询价响应文件的构成</w:t>
      </w:r>
    </w:p>
    <w:p>
      <w:pPr>
        <w:pStyle w:val="15"/>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10.1报价单位编制的询价响应文件应包括但不少于本询价文件第四章《询价响应文件格式》的所有内容。</w:t>
      </w:r>
    </w:p>
    <w:p>
      <w:pPr>
        <w:pStyle w:val="15"/>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11. 询价响应文件编制</w:t>
      </w:r>
    </w:p>
    <w:p>
      <w:pPr>
        <w:spacing w:line="300" w:lineRule="auto"/>
        <w:ind w:left="630" w:hanging="630" w:hangingChars="225"/>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11.1报价单位应按响应文件格式编制询价响应文件。</w:t>
      </w:r>
    </w:p>
    <w:p>
      <w:pPr>
        <w:pStyle w:val="15"/>
        <w:adjustRightInd w:val="0"/>
        <w:snapToGrid w:val="0"/>
        <w:spacing w:line="300" w:lineRule="auto"/>
        <w:ind w:left="420" w:hanging="42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11.2报价单位必须对询价响应文件所提供的全部资料的真实性承担法律责任，并无条件接受（询价人）等对其中任何资料进行核实的要求。报价单位必须对询价响应文件所提供的全部资料的真实性承担法律责任。</w:t>
      </w:r>
    </w:p>
    <w:p>
      <w:pPr>
        <w:pStyle w:val="15"/>
        <w:adjustRightInd w:val="0"/>
        <w:snapToGrid w:val="0"/>
        <w:spacing w:line="300" w:lineRule="auto"/>
        <w:ind w:left="420" w:hanging="42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11.3如果因为报价单位询价响应文件填报的内容不详，或没有提供询价文件中所要求的全部资料及数据，由此造成的后果，其责任由报价单位承担。</w:t>
      </w:r>
    </w:p>
    <w:p>
      <w:pPr>
        <w:pStyle w:val="15"/>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12. 报价</w:t>
      </w:r>
    </w:p>
    <w:p>
      <w:pPr>
        <w:autoSpaceDE w:val="0"/>
        <w:autoSpaceDN w:val="0"/>
        <w:adjustRightInd w:val="0"/>
        <w:snapToGrid w:val="0"/>
        <w:spacing w:line="300" w:lineRule="auto"/>
        <w:ind w:left="560" w:right="-148" w:hanging="560" w:hanging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12.1如询价文件无特殊规定，报价以人民币填报。</w:t>
      </w:r>
    </w:p>
    <w:p>
      <w:pPr>
        <w:autoSpaceDE w:val="0"/>
        <w:autoSpaceDN w:val="0"/>
        <w:adjustRightInd w:val="0"/>
        <w:snapToGrid w:val="0"/>
        <w:spacing w:line="300" w:lineRule="auto"/>
        <w:ind w:left="560" w:right="-148" w:hanging="560" w:hanging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12.2报价应为包括设计图纸和工程量清单项目所发生的人工费、材料费、机械费、管理费、利润、项目措施费、规费、税金、配合费、预留金以及施工合同包含的所有风险、责任等各项应有费用，采用清单分项报价表进行报价。</w:t>
      </w:r>
    </w:p>
    <w:p>
      <w:pPr>
        <w:pStyle w:val="15"/>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12.3任何有选择性报价的报价，将被视为无效报价。</w:t>
      </w:r>
    </w:p>
    <w:p>
      <w:pPr>
        <w:pStyle w:val="15"/>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12.4 报价人不得存在以下情形之一：</w:t>
      </w:r>
    </w:p>
    <w:p>
      <w:pPr>
        <w:pStyle w:val="15"/>
        <w:adjustRightInd w:val="0"/>
        <w:snapToGrid w:val="0"/>
        <w:spacing w:line="300" w:lineRule="auto"/>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（1）与询价人存在利害关系且可能影响询价公正性；</w:t>
      </w:r>
    </w:p>
    <w:p>
      <w:pPr>
        <w:pStyle w:val="15"/>
        <w:adjustRightInd w:val="0"/>
        <w:snapToGrid w:val="0"/>
        <w:spacing w:line="300" w:lineRule="auto"/>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（2）法定代表人或单位负责人为同一个人或者存在控股、管理关系的不同单位,同时参加同一项目或同一子项目；</w:t>
      </w:r>
    </w:p>
    <w:p>
      <w:pPr>
        <w:pStyle w:val="15"/>
        <w:adjustRightInd w:val="0"/>
        <w:snapToGrid w:val="0"/>
        <w:spacing w:line="300" w:lineRule="auto"/>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（3）为本询价项目提供过设计、编制技术规范和其他文件的咨询服务；</w:t>
      </w:r>
    </w:p>
    <w:p>
      <w:pPr>
        <w:pStyle w:val="15"/>
        <w:adjustRightInd w:val="0"/>
        <w:snapToGrid w:val="0"/>
        <w:spacing w:line="300" w:lineRule="auto"/>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（4）被依法暂停或者取消投标资格；</w:t>
      </w:r>
    </w:p>
    <w:p>
      <w:pPr>
        <w:pStyle w:val="15"/>
        <w:adjustRightInd w:val="0"/>
        <w:snapToGrid w:val="0"/>
        <w:spacing w:line="300" w:lineRule="auto"/>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（5）被责令停产停业、暂扣或者吊销许可证、暂扣或者吊销执照；</w:t>
      </w:r>
    </w:p>
    <w:p>
      <w:pPr>
        <w:pStyle w:val="15"/>
        <w:adjustRightInd w:val="0"/>
        <w:snapToGrid w:val="0"/>
        <w:spacing w:line="300" w:lineRule="auto"/>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（6）进入清算程序，或被宣告破产，或其他丧失履约能力的情形；</w:t>
      </w:r>
    </w:p>
    <w:p>
      <w:pPr>
        <w:pStyle w:val="15"/>
        <w:adjustRightInd w:val="0"/>
        <w:snapToGrid w:val="0"/>
        <w:spacing w:line="300" w:lineRule="auto"/>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（7）</w:t>
      </w:r>
      <w:r>
        <w:rPr>
          <w:rFonts w:ascii="仿宋" w:hAnsi="仿宋" w:eastAsia="仿宋" w:cs="仿宋_GB2312"/>
          <w:color w:val="000000" w:themeColor="text1"/>
          <w:sz w:val="28"/>
          <w:szCs w:val="28"/>
          <w14:textFill>
            <w14:solidFill>
              <w14:schemeClr w14:val="tx1"/>
            </w14:solidFill>
          </w14:textFill>
        </w:rPr>
        <w:t>在参加本项目前3年内在</w:t>
      </w:r>
      <w:r>
        <w:rPr>
          <w:rFonts w:hint="eastAsia" w:ascii="仿宋" w:hAnsi="仿宋" w:eastAsia="仿宋" w:cs="仿宋_GB2312"/>
          <w:color w:val="000000" w:themeColor="text1"/>
          <w:sz w:val="28"/>
          <w:szCs w:val="28"/>
          <w14:textFill>
            <w14:solidFill>
              <w14:schemeClr w14:val="tx1"/>
            </w14:solidFill>
          </w14:textFill>
        </w:rPr>
        <w:t>存在</w:t>
      </w:r>
      <w:r>
        <w:rPr>
          <w:rFonts w:ascii="仿宋" w:hAnsi="仿宋" w:eastAsia="仿宋" w:cs="仿宋_GB2312"/>
          <w:color w:val="000000" w:themeColor="text1"/>
          <w:sz w:val="28"/>
          <w:szCs w:val="28"/>
          <w14:textFill>
            <w14:solidFill>
              <w14:schemeClr w14:val="tx1"/>
            </w14:solidFill>
          </w14:textFill>
        </w:rPr>
        <w:t>重大违法记录</w:t>
      </w:r>
      <w:r>
        <w:rPr>
          <w:rFonts w:hint="eastAsia" w:ascii="仿宋" w:hAnsi="仿宋" w:eastAsia="仿宋" w:cs="仿宋_GB2312"/>
          <w:color w:val="000000" w:themeColor="text1"/>
          <w:sz w:val="28"/>
          <w:szCs w:val="28"/>
          <w14:textFill>
            <w14:solidFill>
              <w14:schemeClr w14:val="tx1"/>
            </w14:solidFill>
          </w14:textFill>
        </w:rPr>
        <w:t>；</w:t>
      </w:r>
    </w:p>
    <w:p>
      <w:pPr>
        <w:pStyle w:val="15"/>
        <w:adjustRightInd w:val="0"/>
        <w:snapToGrid w:val="0"/>
        <w:spacing w:line="300" w:lineRule="auto"/>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（8）被“全国企业信用信息公示系统”（网址：http://www.gsxt.gov.cn/）列入经营异常名录和严重违法企业名单；</w:t>
      </w:r>
    </w:p>
    <w:p>
      <w:pPr>
        <w:pStyle w:val="15"/>
        <w:adjustRightInd w:val="0"/>
        <w:snapToGrid w:val="0"/>
        <w:spacing w:line="300" w:lineRule="auto"/>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（9）</w:t>
      </w:r>
      <w:r>
        <w:rPr>
          <w:rFonts w:ascii="仿宋" w:hAnsi="仿宋" w:eastAsia="仿宋" w:cs="仿宋_GB2312"/>
          <w:color w:val="000000" w:themeColor="text1"/>
          <w:sz w:val="28"/>
          <w:szCs w:val="28"/>
          <w14:textFill>
            <w14:solidFill>
              <w14:schemeClr w14:val="tx1"/>
            </w14:solidFill>
          </w14:textFill>
        </w:rPr>
        <w:t>被《信用中国》网站（www.creditchina.gov.cn）公示存在不良信用记录；</w:t>
      </w:r>
    </w:p>
    <w:p>
      <w:pPr>
        <w:pStyle w:val="15"/>
        <w:adjustRightInd w:val="0"/>
        <w:snapToGrid w:val="0"/>
        <w:spacing w:line="300" w:lineRule="auto"/>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（10）本项目截止时间前的半年中，在询价人组织的招标、询价活动中有被查实提供虚假材料的。</w:t>
      </w:r>
    </w:p>
    <w:p>
      <w:pPr>
        <w:pStyle w:val="15"/>
        <w:adjustRightInd w:val="0"/>
        <w:snapToGrid w:val="0"/>
        <w:spacing w:line="300" w:lineRule="auto"/>
        <w:ind w:left="562" w:leftChars="1" w:hanging="560" w:hanging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13. 不接受联合体报价。</w:t>
      </w:r>
    </w:p>
    <w:p>
      <w:pPr>
        <w:pStyle w:val="15"/>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14. 报价单位资格证明文件</w:t>
      </w:r>
    </w:p>
    <w:p>
      <w:pPr>
        <w:pStyle w:val="15"/>
        <w:adjustRightInd w:val="0"/>
        <w:snapToGrid w:val="0"/>
        <w:spacing w:line="300" w:lineRule="auto"/>
        <w:ind w:left="420" w:hanging="42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14.1报价单位应按询价文件的要求，提交证明其有资格参加询价和成交后有履行合同能力的文件，并作为其询价响应文件的组成部分，内容详见询价文件第四章《询价响应文件格式》中的“资格证明文件”。</w:t>
      </w:r>
    </w:p>
    <w:p>
      <w:pPr>
        <w:pStyle w:val="15"/>
        <w:adjustRightInd w:val="0"/>
        <w:snapToGrid w:val="0"/>
        <w:spacing w:line="300" w:lineRule="auto"/>
        <w:ind w:left="420" w:hanging="42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14.2资格证明文件必须真实有效，复印件必须加盖单位印章。</w:t>
      </w:r>
    </w:p>
    <w:p>
      <w:pPr>
        <w:pStyle w:val="15"/>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15. 报价有效期</w:t>
      </w:r>
    </w:p>
    <w:p>
      <w:pPr>
        <w:adjustRightInd w:val="0"/>
        <w:snapToGrid w:val="0"/>
        <w:spacing w:line="300" w:lineRule="auto"/>
        <w:ind w:left="420" w:hanging="42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15.1询价响应文件应在询价之日起</w:t>
      </w:r>
      <w:r>
        <w:rPr>
          <w:rFonts w:hint="eastAsia" w:ascii="仿宋_GB2312" w:hAnsi="仿宋_GB2312" w:eastAsia="仿宋_GB2312" w:cs="仿宋_GB2312"/>
          <w:color w:val="000000" w:themeColor="text1"/>
          <w:sz w:val="28"/>
          <w:szCs w:val="28"/>
          <w:u w:val="single"/>
          <w14:textFill>
            <w14:solidFill>
              <w14:schemeClr w14:val="tx1"/>
            </w14:solidFill>
          </w14:textFill>
        </w:rPr>
        <w:t>90</w:t>
      </w:r>
      <w:r>
        <w:rPr>
          <w:rFonts w:hint="eastAsia" w:ascii="仿宋_GB2312" w:hAnsi="仿宋_GB2312" w:eastAsia="仿宋_GB2312" w:cs="仿宋_GB2312"/>
          <w:color w:val="000000" w:themeColor="text1"/>
          <w:sz w:val="28"/>
          <w:szCs w:val="28"/>
          <w14:textFill>
            <w14:solidFill>
              <w14:schemeClr w14:val="tx1"/>
            </w14:solidFill>
          </w14:textFill>
        </w:rPr>
        <w:t>天内保持有效。报价有效期比规定时间短的将被作为非实质性响应询价文件而予以拒绝。</w:t>
      </w:r>
    </w:p>
    <w:p>
      <w:pPr>
        <w:adjustRightInd w:val="0"/>
        <w:snapToGrid w:val="0"/>
        <w:spacing w:line="300" w:lineRule="auto"/>
        <w:ind w:left="420" w:hanging="42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15.2特殊情况下，询价人可于报价有效期期满之前，要求报价单位同意延长报价有效期，要求与答复均应为书面形式。</w:t>
      </w:r>
    </w:p>
    <w:p>
      <w:pPr>
        <w:autoSpaceDE w:val="0"/>
        <w:autoSpaceDN w:val="0"/>
        <w:adjustRightInd w:val="0"/>
        <w:snapToGrid w:val="0"/>
        <w:spacing w:line="300" w:lineRule="auto"/>
        <w:ind w:left="560" w:right="32" w:hanging="560" w:hanging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16. 询价响应文件的数量和签署</w:t>
      </w:r>
    </w:p>
    <w:p>
      <w:pPr>
        <w:autoSpaceDE w:val="0"/>
        <w:autoSpaceDN w:val="0"/>
        <w:adjustRightInd w:val="0"/>
        <w:snapToGrid w:val="0"/>
        <w:spacing w:line="300" w:lineRule="auto"/>
        <w:ind w:left="630" w:right="32"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16.1 报价单位应编制询价响应文件一式</w:t>
      </w:r>
      <w:r>
        <w:rPr>
          <w:rFonts w:hint="eastAsia" w:ascii="仿宋_GB2312" w:hAnsi="仿宋_GB2312" w:eastAsia="仿宋_GB2312" w:cs="仿宋_GB2312"/>
          <w:color w:val="000000" w:themeColor="text1"/>
          <w:kern w:val="0"/>
          <w:sz w:val="28"/>
          <w:szCs w:val="28"/>
          <w:u w:val="single"/>
          <w14:textFill>
            <w14:solidFill>
              <w14:schemeClr w14:val="tx1"/>
            </w14:solidFill>
          </w14:textFill>
        </w:rPr>
        <w:t>2</w:t>
      </w:r>
      <w:r>
        <w:rPr>
          <w:rFonts w:hint="eastAsia" w:ascii="仿宋_GB2312" w:hAnsi="仿宋_GB2312" w:eastAsia="仿宋_GB2312" w:cs="仿宋_GB2312"/>
          <w:color w:val="000000" w:themeColor="text1"/>
          <w:kern w:val="0"/>
          <w:sz w:val="28"/>
          <w:szCs w:val="28"/>
          <w14:textFill>
            <w14:solidFill>
              <w14:schemeClr w14:val="tx1"/>
            </w14:solidFill>
          </w14:textFill>
        </w:rPr>
        <w:t>份，其中正本一份和副本</w:t>
      </w:r>
      <w:r>
        <w:rPr>
          <w:rFonts w:hint="eastAsia" w:ascii="仿宋_GB2312" w:hAnsi="仿宋_GB2312" w:eastAsia="仿宋_GB2312" w:cs="仿宋_GB2312"/>
          <w:color w:val="000000" w:themeColor="text1"/>
          <w:kern w:val="0"/>
          <w:sz w:val="28"/>
          <w:szCs w:val="28"/>
          <w:u w:val="single"/>
          <w14:textFill>
            <w14:solidFill>
              <w14:schemeClr w14:val="tx1"/>
            </w14:solidFill>
          </w14:textFill>
        </w:rPr>
        <w:t>各一</w:t>
      </w:r>
      <w:r>
        <w:rPr>
          <w:rFonts w:hint="eastAsia" w:ascii="仿宋_GB2312" w:hAnsi="仿宋_GB2312" w:eastAsia="仿宋_GB2312" w:cs="仿宋_GB2312"/>
          <w:color w:val="000000" w:themeColor="text1"/>
          <w:kern w:val="0"/>
          <w:sz w:val="28"/>
          <w:szCs w:val="28"/>
          <w14:textFill>
            <w14:solidFill>
              <w14:schemeClr w14:val="tx1"/>
            </w14:solidFill>
          </w14:textFill>
        </w:rPr>
        <w:t>份，询价响应文件的副本可采用正本的复印件。每套询价响应文件须清楚地标明“正本”、“副本”。若副本与正本不符，以正本为准。</w:t>
      </w:r>
    </w:p>
    <w:p>
      <w:pPr>
        <w:autoSpaceDE w:val="0"/>
        <w:autoSpaceDN w:val="0"/>
        <w:adjustRightInd w:val="0"/>
        <w:snapToGrid w:val="0"/>
        <w:spacing w:line="300" w:lineRule="auto"/>
        <w:ind w:left="630" w:right="32"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16.2 询价响应文件的正本需打印或用不褪色墨水书写，并由法定代表人或经其正式授权的代表签字或加盖私章。授权代表须出具书面授权证明，其《法定代表人授权书》应附在询价响应文件中。</w:t>
      </w:r>
    </w:p>
    <w:p>
      <w:pPr>
        <w:pStyle w:val="15"/>
        <w:adjustRightInd w:val="0"/>
        <w:snapToGrid w:val="0"/>
        <w:spacing w:line="300" w:lineRule="auto"/>
        <w:ind w:left="630"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16.3 询价响应文件中的任何重要的插字、涂改和增删，必须由法定代表人或经其正式授权的代表在旁边签字或盖私章才有效。</w:t>
      </w:r>
    </w:p>
    <w:p>
      <w:pPr>
        <w:pStyle w:val="15"/>
        <w:adjustRightInd w:val="0"/>
        <w:snapToGrid w:val="0"/>
        <w:spacing w:line="300" w:lineRule="auto"/>
        <w:ind w:left="630"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16.4电报、电话、传真形式的询价响应文件概不接受。</w:t>
      </w:r>
    </w:p>
    <w:p>
      <w:pPr>
        <w:autoSpaceDE w:val="0"/>
        <w:autoSpaceDN w:val="0"/>
        <w:adjustRightInd w:val="0"/>
        <w:snapToGrid w:val="0"/>
        <w:spacing w:line="300" w:lineRule="auto"/>
        <w:ind w:left="562" w:right="32" w:hanging="562" w:hangingChars="200"/>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四、询价响应文件的递交</w:t>
      </w:r>
    </w:p>
    <w:p>
      <w:pPr>
        <w:autoSpaceDE w:val="0"/>
        <w:autoSpaceDN w:val="0"/>
        <w:adjustRightInd w:val="0"/>
        <w:snapToGrid w:val="0"/>
        <w:spacing w:line="300" w:lineRule="auto"/>
        <w:ind w:left="560" w:right="32" w:hanging="560" w:hanging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17. 询价响应文件的密封和标记</w:t>
      </w:r>
    </w:p>
    <w:p>
      <w:pPr>
        <w:pStyle w:val="15"/>
        <w:adjustRightInd w:val="0"/>
        <w:snapToGrid w:val="0"/>
        <w:spacing w:line="300" w:lineRule="auto"/>
        <w:ind w:left="630"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17.1报价单位应将询价响应文件正本和副本用单独的信封密封，注明“正本”或“副本”字样。</w:t>
      </w:r>
    </w:p>
    <w:p>
      <w:pPr>
        <w:pStyle w:val="15"/>
        <w:adjustRightInd w:val="0"/>
        <w:snapToGrid w:val="0"/>
        <w:spacing w:line="300" w:lineRule="auto"/>
        <w:ind w:left="630"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17.2每一密封信封均应：</w:t>
      </w:r>
    </w:p>
    <w:p>
      <w:pPr>
        <w:pStyle w:val="15"/>
        <w:adjustRightInd w:val="0"/>
        <w:snapToGrid w:val="0"/>
        <w:spacing w:line="300" w:lineRule="auto"/>
        <w:ind w:left="1439" w:leftChars="343" w:hanging="719" w:hangingChars="257"/>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（1）标明项目编号、项目名称，并注明“正本”或“副本”字样；</w:t>
      </w:r>
    </w:p>
    <w:p>
      <w:pPr>
        <w:pStyle w:val="15"/>
        <w:adjustRightInd w:val="0"/>
        <w:snapToGrid w:val="0"/>
        <w:spacing w:line="300" w:lineRule="auto"/>
        <w:ind w:left="1439" w:leftChars="343" w:hanging="719" w:hangingChars="257"/>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（2）注明“于（递交询价响应文件截止时间）之前不准启封”的字样。</w:t>
      </w:r>
    </w:p>
    <w:p>
      <w:pPr>
        <w:pStyle w:val="15"/>
        <w:adjustRightInd w:val="0"/>
        <w:snapToGrid w:val="0"/>
        <w:spacing w:line="300" w:lineRule="auto"/>
        <w:ind w:left="630"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17.3如果信封未按本须知第17.1条和第17.2条要求密封的，询价人对误投或过早启封概不负责。</w:t>
      </w:r>
    </w:p>
    <w:p>
      <w:pPr>
        <w:pStyle w:val="15"/>
        <w:adjustRightInd w:val="0"/>
        <w:snapToGrid w:val="0"/>
        <w:spacing w:line="300" w:lineRule="auto"/>
        <w:ind w:left="630"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17.4询价响应文件未密封的或在递交截止时间后递交的，询价人将拒绝接收。</w:t>
      </w:r>
    </w:p>
    <w:p>
      <w:pPr>
        <w:tabs>
          <w:tab w:val="left" w:pos="8280"/>
        </w:tabs>
        <w:autoSpaceDE w:val="0"/>
        <w:autoSpaceDN w:val="0"/>
        <w:adjustRightInd w:val="0"/>
        <w:snapToGrid w:val="0"/>
        <w:spacing w:line="300" w:lineRule="auto"/>
        <w:ind w:left="560" w:right="32" w:hanging="560" w:hanging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18. 询价响应文件递交截止时间</w:t>
      </w:r>
    </w:p>
    <w:p>
      <w:pPr>
        <w:pStyle w:val="15"/>
        <w:adjustRightInd w:val="0"/>
        <w:snapToGrid w:val="0"/>
        <w:spacing w:line="264" w:lineRule="auto"/>
        <w:ind w:left="630"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18.1询价人在《报价邀请函》中规定的地点和递交询价响应文件截止时间之前接收询价响应文件，超过截止时点后的询价响应文件将被拒绝。</w:t>
      </w:r>
    </w:p>
    <w:p>
      <w:pPr>
        <w:pStyle w:val="15"/>
        <w:adjustRightInd w:val="0"/>
        <w:snapToGrid w:val="0"/>
        <w:spacing w:line="264" w:lineRule="auto"/>
        <w:ind w:left="630"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18.2询价人可以通过修改询价文件自行决定酌情延长询价响应文件递交截止时间。在此情况下，询价人和报价单位受询价响应文件递交截止时间制约的所有权利和义务均应延长至新的截止期。</w:t>
      </w:r>
    </w:p>
    <w:p>
      <w:pPr>
        <w:pStyle w:val="15"/>
        <w:adjustRightInd w:val="0"/>
        <w:snapToGrid w:val="0"/>
        <w:spacing w:line="264" w:lineRule="auto"/>
        <w:ind w:right="32"/>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19. 询价响应文件的修改和撤回</w:t>
      </w:r>
    </w:p>
    <w:p>
      <w:pPr>
        <w:pStyle w:val="15"/>
        <w:adjustRightInd w:val="0"/>
        <w:snapToGrid w:val="0"/>
        <w:spacing w:line="264" w:lineRule="auto"/>
        <w:ind w:left="630"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19.1报价单位在递交询价响应文件截止时间前，可以对所递交的询价响应文件进行补充、修改或者撤回，并书面通知询价人。补充、修改的内容应当按询价文件要求签署、盖章，并作为询价响应文件的组成部分。</w:t>
      </w:r>
    </w:p>
    <w:p>
      <w:pPr>
        <w:autoSpaceDE w:val="0"/>
        <w:autoSpaceDN w:val="0"/>
        <w:adjustRightInd w:val="0"/>
        <w:snapToGrid w:val="0"/>
        <w:spacing w:before="3" w:line="264" w:lineRule="auto"/>
        <w:ind w:left="700" w:right="32" w:hanging="700" w:hangingChars="25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19.2 报价单位在递交询价响应文件后，可以撤回其报价，但报价单位必须在规定的询价响应文件递交截止时间前以书面形式告知</w:t>
      </w:r>
      <w:r>
        <w:rPr>
          <w:rFonts w:hint="eastAsia" w:ascii="仿宋_GB2312" w:hAnsi="仿宋_GB2312" w:eastAsia="仿宋_GB2312" w:cs="仿宋_GB2312"/>
          <w:color w:val="000000" w:themeColor="text1"/>
          <w:sz w:val="28"/>
          <w:szCs w:val="28"/>
          <w:u w:val="single"/>
          <w14:textFill>
            <w14:solidFill>
              <w14:schemeClr w14:val="tx1"/>
            </w14:solidFill>
          </w14:textFill>
        </w:rPr>
        <w:t>（询价人）</w:t>
      </w:r>
      <w:r>
        <w:rPr>
          <w:rFonts w:hint="eastAsia" w:ascii="仿宋_GB2312" w:hAnsi="仿宋_GB2312" w:eastAsia="仿宋_GB2312" w:cs="仿宋_GB2312"/>
          <w:color w:val="000000" w:themeColor="text1"/>
          <w:kern w:val="0"/>
          <w:sz w:val="28"/>
          <w:szCs w:val="28"/>
          <w14:textFill>
            <w14:solidFill>
              <w14:schemeClr w14:val="tx1"/>
            </w14:solidFill>
          </w14:textFill>
        </w:rPr>
        <w:t>。从询价响应文件递交截止时间至报价单位承诺的报价有效期内，报价单位不得撤回其报价。</w:t>
      </w:r>
    </w:p>
    <w:p>
      <w:pPr>
        <w:pStyle w:val="15"/>
        <w:adjustRightInd w:val="0"/>
        <w:snapToGrid w:val="0"/>
        <w:spacing w:line="264" w:lineRule="auto"/>
        <w:ind w:left="420" w:right="32" w:hanging="42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19.3 报价单位所提交的询价响应文件在询价结束后，无论成交与否都不退还。</w:t>
      </w:r>
    </w:p>
    <w:p>
      <w:pPr>
        <w:pStyle w:val="15"/>
        <w:adjustRightInd w:val="0"/>
        <w:snapToGrid w:val="0"/>
        <w:spacing w:line="264" w:lineRule="auto"/>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五、评审</w:t>
      </w:r>
    </w:p>
    <w:p>
      <w:pPr>
        <w:pStyle w:val="15"/>
        <w:adjustRightInd w:val="0"/>
        <w:snapToGrid w:val="0"/>
        <w:spacing w:line="264"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20. 询价小组</w:t>
      </w:r>
    </w:p>
    <w:p>
      <w:pPr>
        <w:autoSpaceDE w:val="0"/>
        <w:autoSpaceDN w:val="0"/>
        <w:adjustRightInd w:val="0"/>
        <w:snapToGrid w:val="0"/>
        <w:spacing w:line="264" w:lineRule="auto"/>
        <w:ind w:left="630" w:right="32"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20.1 </w:t>
      </w:r>
      <w:r>
        <w:rPr>
          <w:rFonts w:hint="eastAsia" w:ascii="仿宋_GB2312" w:hAnsi="仿宋_GB2312" w:eastAsia="仿宋_GB2312" w:cs="仿宋_GB2312"/>
          <w:color w:val="000000" w:themeColor="text1"/>
          <w:kern w:val="0"/>
          <w:sz w:val="28"/>
          <w:szCs w:val="28"/>
          <w14:textFill>
            <w14:solidFill>
              <w14:schemeClr w14:val="tx1"/>
            </w14:solidFill>
          </w14:textFill>
        </w:rPr>
        <w:t>评审由</w:t>
      </w:r>
      <w:r>
        <w:rPr>
          <w:rFonts w:hint="eastAsia" w:ascii="仿宋_GB2312" w:hAnsi="仿宋_GB2312" w:eastAsia="仿宋_GB2312" w:cs="仿宋_GB2312"/>
          <w:color w:val="000000" w:themeColor="text1"/>
          <w:sz w:val="28"/>
          <w:szCs w:val="28"/>
          <w:u w:val="single"/>
          <w14:textFill>
            <w14:solidFill>
              <w14:schemeClr w14:val="tx1"/>
            </w14:solidFill>
          </w14:textFill>
        </w:rPr>
        <w:t>询价人</w:t>
      </w:r>
      <w:r>
        <w:rPr>
          <w:rFonts w:hint="eastAsia" w:ascii="仿宋_GB2312" w:hAnsi="仿宋_GB2312" w:eastAsia="仿宋_GB2312" w:cs="仿宋_GB2312"/>
          <w:color w:val="000000" w:themeColor="text1"/>
          <w:kern w:val="0"/>
          <w:sz w:val="28"/>
          <w:szCs w:val="28"/>
          <w14:textFill>
            <w14:solidFill>
              <w14:schemeClr w14:val="tx1"/>
            </w14:solidFill>
          </w14:textFill>
        </w:rPr>
        <w:t>组建的询价小组负责。</w:t>
      </w:r>
    </w:p>
    <w:p>
      <w:pPr>
        <w:tabs>
          <w:tab w:val="left" w:pos="360"/>
        </w:tabs>
        <w:autoSpaceDE w:val="0"/>
        <w:autoSpaceDN w:val="0"/>
        <w:adjustRightInd w:val="0"/>
        <w:snapToGrid w:val="0"/>
        <w:spacing w:line="264" w:lineRule="auto"/>
        <w:ind w:left="630" w:right="32"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20.2询价小组在评审过程中出现意见不一致时，遵循少数服从多数原则。</w:t>
      </w:r>
    </w:p>
    <w:p>
      <w:pPr>
        <w:autoSpaceDE w:val="0"/>
        <w:autoSpaceDN w:val="0"/>
        <w:adjustRightInd w:val="0"/>
        <w:snapToGrid w:val="0"/>
        <w:spacing w:line="264" w:lineRule="auto"/>
        <w:ind w:left="630" w:right="32"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20.3询价小组依法根据询价文件的规定对询价响应文件进行评审,并据此推荐成交候选人。</w:t>
      </w:r>
    </w:p>
    <w:p>
      <w:pPr>
        <w:pStyle w:val="31"/>
        <w:rPr>
          <w:rFonts w:ascii="仿宋_GB2312" w:hAnsi="仿宋_GB2312" w:cs="仿宋_GB2312"/>
          <w:color w:val="000000" w:themeColor="text1"/>
          <w:sz w:val="28"/>
          <w:szCs w:val="28"/>
          <w14:textFill>
            <w14:solidFill>
              <w14:schemeClr w14:val="tx1"/>
            </w14:solidFill>
          </w14:textFill>
        </w:rPr>
      </w:pPr>
      <w:r>
        <w:rPr>
          <w:rFonts w:hint="eastAsia" w:ascii="仿宋_GB2312" w:hAnsi="仿宋_GB2312" w:cs="仿宋_GB2312"/>
          <w:color w:val="000000" w:themeColor="text1"/>
          <w:sz w:val="28"/>
          <w:szCs w:val="28"/>
          <w14:textFill>
            <w14:solidFill>
              <w14:schemeClr w14:val="tx1"/>
            </w14:solidFill>
          </w14:textFill>
        </w:rPr>
        <w:t>20.4拆封询价响应文件时，出现下列情形之一的，不参与评审：</w:t>
      </w:r>
    </w:p>
    <w:p>
      <w:pPr>
        <w:pStyle w:val="31"/>
        <w:rPr>
          <w:rFonts w:ascii="仿宋_GB2312" w:hAnsi="仿宋_GB2312" w:cs="仿宋_GB2312"/>
          <w:color w:val="000000" w:themeColor="text1"/>
          <w:sz w:val="28"/>
          <w:szCs w:val="28"/>
          <w14:textFill>
            <w14:solidFill>
              <w14:schemeClr w14:val="tx1"/>
            </w14:solidFill>
          </w14:textFill>
        </w:rPr>
      </w:pPr>
      <w:r>
        <w:rPr>
          <w:rFonts w:hint="eastAsia" w:ascii="仿宋_GB2312" w:hAnsi="仿宋_GB2312" w:cs="仿宋_GB2312"/>
          <w:color w:val="000000" w:themeColor="text1"/>
          <w:sz w:val="28"/>
          <w:szCs w:val="28"/>
          <w14:textFill>
            <w14:solidFill>
              <w14:schemeClr w14:val="tx1"/>
            </w14:solidFill>
          </w14:textFill>
        </w:rPr>
        <w:t>（1）响应文件没密封完整的，或封面未注明报价单位名称、项目名称、日期等项目信息的；</w:t>
      </w:r>
    </w:p>
    <w:p>
      <w:pPr>
        <w:pStyle w:val="31"/>
        <w:rPr>
          <w:rFonts w:ascii="仿宋_GB2312" w:hAnsi="仿宋_GB2312" w:cs="仿宋_GB2312"/>
          <w:color w:val="000000" w:themeColor="text1"/>
          <w:sz w:val="28"/>
          <w:szCs w:val="28"/>
          <w14:textFill>
            <w14:solidFill>
              <w14:schemeClr w14:val="tx1"/>
            </w14:solidFill>
          </w14:textFill>
        </w:rPr>
      </w:pPr>
      <w:r>
        <w:rPr>
          <w:rFonts w:hint="eastAsia" w:ascii="仿宋_GB2312" w:hAnsi="仿宋_GB2312" w:cs="仿宋_GB2312"/>
          <w:color w:val="000000" w:themeColor="text1"/>
          <w:sz w:val="28"/>
          <w:szCs w:val="28"/>
          <w14:textFill>
            <w14:solidFill>
              <w14:schemeClr w14:val="tx1"/>
            </w14:solidFill>
          </w14:textFill>
        </w:rPr>
        <w:t>（2）响应文件中的法定代表人或授权代理人与报价响应文件登记表的信息不一致的。</w:t>
      </w:r>
    </w:p>
    <w:p>
      <w:pPr>
        <w:pStyle w:val="31"/>
        <w:rPr>
          <w:rFonts w:ascii="仿宋_GB2312" w:hAnsi="仿宋_GB2312" w:cs="仿宋_GB2312"/>
          <w:color w:val="000000" w:themeColor="text1"/>
          <w:sz w:val="28"/>
          <w:szCs w:val="28"/>
          <w14:textFill>
            <w14:solidFill>
              <w14:schemeClr w14:val="tx1"/>
            </w14:solidFill>
          </w14:textFill>
        </w:rPr>
      </w:pPr>
      <w:r>
        <w:rPr>
          <w:rFonts w:hint="eastAsia" w:ascii="仿宋_GB2312" w:hAnsi="仿宋_GB2312" w:cs="仿宋_GB2312"/>
          <w:color w:val="000000" w:themeColor="text1"/>
          <w:sz w:val="28"/>
          <w:szCs w:val="28"/>
          <w14:textFill>
            <w14:solidFill>
              <w14:schemeClr w14:val="tx1"/>
            </w14:solidFill>
          </w14:textFill>
        </w:rPr>
        <w:t>（3）不同报价单位响应文件中存在两处以上异常一致的情形。</w:t>
      </w:r>
    </w:p>
    <w:p>
      <w:pPr>
        <w:autoSpaceDE w:val="0"/>
        <w:autoSpaceDN w:val="0"/>
        <w:adjustRightInd w:val="0"/>
        <w:snapToGrid w:val="0"/>
        <w:spacing w:line="264" w:lineRule="auto"/>
        <w:ind w:left="630" w:right="32"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21.资格性、符合性评审</w:t>
      </w:r>
    </w:p>
    <w:p>
      <w:pPr>
        <w:autoSpaceDE w:val="0"/>
        <w:autoSpaceDN w:val="0"/>
        <w:adjustRightInd w:val="0"/>
        <w:snapToGrid w:val="0"/>
        <w:spacing w:line="264" w:lineRule="auto"/>
        <w:ind w:left="630" w:right="32"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21.1参加询价的报价单位经自行报名产生。由询价小组对参加询价的报价单位进行资格性、符合性评审。</w:t>
      </w:r>
    </w:p>
    <w:p>
      <w:pPr>
        <w:autoSpaceDE w:val="0"/>
        <w:autoSpaceDN w:val="0"/>
        <w:adjustRightInd w:val="0"/>
        <w:snapToGrid w:val="0"/>
        <w:spacing w:line="264" w:lineRule="auto"/>
        <w:ind w:left="630" w:right="32"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21.2在询价过程中对询价文件未能实质响应的报价单位不足三家时，询价小组可以从其他符合相应资格条件的报价单位名单中补充；补充后仍不足三家或者没有可供补充的合格报价单位的，询价人可以从已选出的候选报价单位中确定承包人。</w:t>
      </w:r>
    </w:p>
    <w:p>
      <w:pPr>
        <w:autoSpaceDE w:val="0"/>
        <w:autoSpaceDN w:val="0"/>
        <w:adjustRightInd w:val="0"/>
        <w:snapToGrid w:val="0"/>
        <w:spacing w:line="264" w:lineRule="auto"/>
        <w:ind w:left="630" w:right="32"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21.3 在询价过程中，响应报价单位提交的澄清文件由响应报价单位法人代表或授权代表签署后生效，响应报价单位应受其约束。</w:t>
      </w:r>
    </w:p>
    <w:p>
      <w:pPr>
        <w:autoSpaceDE w:val="0"/>
        <w:autoSpaceDN w:val="0"/>
        <w:adjustRightInd w:val="0"/>
        <w:snapToGrid w:val="0"/>
        <w:spacing w:line="300" w:lineRule="auto"/>
        <w:ind w:left="630" w:right="32" w:hanging="630" w:hangingChars="225"/>
        <w:rPr>
          <w:rFonts w:ascii="仿宋_GB2312" w:hAnsi="仿宋_GB2312" w:eastAsia="仿宋_GB2312" w:cs="仿宋_GB2312"/>
          <w:b/>
          <w:bCs/>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21.4  询价小组进行综合评议。对提供工程质量、服务均能满足询价文件规定最低要求的报价单位归列为推荐成交的候选对象，询价人依照候选报价单位的报价顺序，以有效报价最低者确定为第一备选单位，以有效报价次低者为第二备选单位。若有效报价相同，则以注册资金高的作为备选单位，若注册资金相同则以上一年资产盈利高的作为备选单位。</w:t>
      </w:r>
    </w:p>
    <w:p>
      <w:pPr>
        <w:autoSpaceDE w:val="0"/>
        <w:autoSpaceDN w:val="0"/>
        <w:adjustRightInd w:val="0"/>
        <w:snapToGrid w:val="0"/>
        <w:spacing w:line="264" w:lineRule="auto"/>
        <w:ind w:left="630" w:right="32"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22.报价的评审</w:t>
      </w:r>
    </w:p>
    <w:p>
      <w:pPr>
        <w:autoSpaceDE w:val="0"/>
        <w:autoSpaceDN w:val="0"/>
        <w:adjustRightInd w:val="0"/>
        <w:snapToGrid w:val="0"/>
        <w:ind w:left="630" w:right="32"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22.1询价小组将详细分析、核对每一份报价表，看其是否有计算上或累加上的算术误差，并加以修正。修正误差的原则如下：</w:t>
      </w:r>
    </w:p>
    <w:p>
      <w:pPr>
        <w:numPr>
          <w:ilvl w:val="1"/>
          <w:numId w:val="3"/>
        </w:numPr>
        <w:tabs>
          <w:tab w:val="left" w:pos="180"/>
          <w:tab w:val="left" w:pos="360"/>
          <w:tab w:val="left" w:pos="1260"/>
          <w:tab w:val="clear" w:pos="840"/>
        </w:tabs>
        <w:spacing w:before="120"/>
        <w:ind w:left="721" w:right="-61" w:rightChars="-29" w:firstLine="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大写金额与小写金额不一致的，以大写金额为准；</w:t>
      </w:r>
    </w:p>
    <w:p>
      <w:pPr>
        <w:numPr>
          <w:ilvl w:val="1"/>
          <w:numId w:val="3"/>
        </w:numPr>
        <w:tabs>
          <w:tab w:val="left" w:pos="180"/>
          <w:tab w:val="left" w:pos="360"/>
          <w:tab w:val="left" w:pos="1260"/>
          <w:tab w:val="clear" w:pos="840"/>
        </w:tabs>
        <w:spacing w:before="120"/>
        <w:ind w:left="721" w:right="-61" w:rightChars="-29" w:firstLine="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总价金额与按单价汇总金额不一致的，以单价为准，修正总价（单价小数点明显错位的除外）；</w:t>
      </w:r>
    </w:p>
    <w:p>
      <w:pPr>
        <w:autoSpaceDE w:val="0"/>
        <w:autoSpaceDN w:val="0"/>
        <w:adjustRightInd w:val="0"/>
        <w:snapToGrid w:val="0"/>
        <w:spacing w:line="264" w:lineRule="auto"/>
        <w:ind w:left="630" w:right="32"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22.2询价小组按上述修正误差的原则调整的价格对其报价人具有约束力。如果报价人不接受修正后的价格，其报价将被拒绝。</w:t>
      </w:r>
    </w:p>
    <w:p>
      <w:pPr>
        <w:autoSpaceDE w:val="0"/>
        <w:autoSpaceDN w:val="0"/>
        <w:adjustRightInd w:val="0"/>
        <w:snapToGrid w:val="0"/>
        <w:spacing w:line="264" w:lineRule="auto"/>
        <w:ind w:left="630" w:right="32"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22.3超过最高限价的报价将被拒绝。</w:t>
      </w:r>
    </w:p>
    <w:p>
      <w:pPr>
        <w:spacing w:line="360" w:lineRule="auto"/>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六、确定承包人</w:t>
      </w:r>
    </w:p>
    <w:p>
      <w:pPr>
        <w:autoSpaceDE w:val="0"/>
        <w:autoSpaceDN w:val="0"/>
        <w:adjustRightInd w:val="0"/>
        <w:snapToGrid w:val="0"/>
        <w:spacing w:line="300" w:lineRule="auto"/>
        <w:ind w:left="630" w:right="32"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23.确定承包人原则</w:t>
      </w:r>
    </w:p>
    <w:p>
      <w:pPr>
        <w:autoSpaceDE w:val="0"/>
        <w:autoSpaceDN w:val="0"/>
        <w:adjustRightInd w:val="0"/>
        <w:snapToGrid w:val="0"/>
        <w:spacing w:line="300" w:lineRule="auto"/>
        <w:ind w:left="630" w:right="32"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23.1根据符合询价人需求、质量和服务且报价最低的原则确定承包人。</w:t>
      </w:r>
    </w:p>
    <w:p>
      <w:pPr>
        <w:autoSpaceDE w:val="0"/>
        <w:autoSpaceDN w:val="0"/>
        <w:adjustRightInd w:val="0"/>
        <w:snapToGrid w:val="0"/>
        <w:spacing w:line="300" w:lineRule="auto"/>
        <w:ind w:left="630" w:right="32"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23.2承包人确定后，询价人</w:t>
      </w:r>
      <w:r>
        <w:rPr>
          <w:rFonts w:hint="eastAsia" w:ascii="仿宋_GB2312" w:hAnsi="仿宋_GB2312" w:eastAsia="仿宋_GB2312" w:cs="仿宋_GB2312"/>
          <w:color w:val="000000" w:themeColor="text1"/>
          <w:kern w:val="0"/>
          <w:sz w:val="28"/>
          <w:szCs w:val="28"/>
          <w14:textFill>
            <w14:solidFill>
              <w14:schemeClr w14:val="tx1"/>
            </w14:solidFill>
          </w14:textFill>
        </w:rPr>
        <w:t>向承包人发出《发包通知书》，</w:t>
      </w:r>
      <w:r>
        <w:rPr>
          <w:rFonts w:hint="eastAsia" w:ascii="仿宋_GB2312" w:hAnsi="仿宋_GB2312" w:eastAsia="仿宋_GB2312" w:cs="仿宋_GB2312"/>
          <w:color w:val="000000" w:themeColor="text1"/>
          <w:sz w:val="28"/>
          <w:szCs w:val="28"/>
          <w14:textFill>
            <w14:solidFill>
              <w14:schemeClr w14:val="tx1"/>
            </w14:solidFill>
          </w14:textFill>
        </w:rPr>
        <w:t>对承包人和询价人具有同等法律效力</w:t>
      </w:r>
      <w:r>
        <w:rPr>
          <w:rFonts w:hint="eastAsia" w:ascii="仿宋_GB2312" w:hAnsi="仿宋_GB2312" w:eastAsia="仿宋_GB2312" w:cs="仿宋_GB2312"/>
          <w:color w:val="000000" w:themeColor="text1"/>
          <w:kern w:val="0"/>
          <w:sz w:val="28"/>
          <w:szCs w:val="28"/>
          <w14:textFill>
            <w14:solidFill>
              <w14:schemeClr w14:val="tx1"/>
            </w14:solidFill>
          </w14:textFill>
        </w:rPr>
        <w:t>。</w:t>
      </w:r>
    </w:p>
    <w:p>
      <w:pPr>
        <w:pStyle w:val="15"/>
        <w:adjustRightInd w:val="0"/>
        <w:snapToGrid w:val="0"/>
        <w:spacing w:line="300" w:lineRule="auto"/>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七、 合同的订立和履行</w:t>
      </w:r>
    </w:p>
    <w:p>
      <w:pPr>
        <w:autoSpaceDE w:val="0"/>
        <w:autoSpaceDN w:val="0"/>
        <w:adjustRightInd w:val="0"/>
        <w:snapToGrid w:val="0"/>
        <w:spacing w:line="300" w:lineRule="auto"/>
        <w:ind w:right="32"/>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24. 合同的订立</w:t>
      </w:r>
    </w:p>
    <w:p>
      <w:pPr>
        <w:autoSpaceDE w:val="0"/>
        <w:autoSpaceDN w:val="0"/>
        <w:adjustRightInd w:val="0"/>
        <w:snapToGrid w:val="0"/>
        <w:spacing w:line="300" w:lineRule="auto"/>
        <w:ind w:left="700" w:right="32" w:hanging="700" w:hangingChars="25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24.1 询价人与成交、承包人自《发包通知书》发出之日起三十日内，按询价文件要求和承包人询价响应文件承诺签订承包合同，但</w:t>
      </w:r>
      <w:r>
        <w:rPr>
          <w:rFonts w:hint="eastAsia" w:ascii="仿宋_GB2312" w:hAnsi="仿宋_GB2312" w:eastAsia="仿宋_GB2312" w:cs="仿宋_GB2312"/>
          <w:color w:val="000000" w:themeColor="text1"/>
          <w:sz w:val="28"/>
          <w:szCs w:val="28"/>
          <w14:textFill>
            <w14:solidFill>
              <w14:schemeClr w14:val="tx1"/>
            </w14:solidFill>
          </w14:textFill>
        </w:rPr>
        <w:t>不得超出询价文件和承包人询价响应文件的范围、也不得再行订立背离合同实质性内容的其他协议。</w:t>
      </w:r>
      <w:r>
        <w:rPr>
          <w:rFonts w:hint="eastAsia" w:ascii="仿宋" w:hAnsi="仿宋" w:eastAsia="仿宋" w:cs="仿宋_GB2312"/>
          <w:color w:val="000000" w:themeColor="text1"/>
          <w:sz w:val="28"/>
          <w:szCs w:val="28"/>
          <w14:textFill>
            <w14:solidFill>
              <w14:schemeClr w14:val="tx1"/>
            </w14:solidFill>
          </w14:textFill>
        </w:rPr>
        <w:t>因承包人原因导致未按规定时限签订合同的，发包人有权视为其自动放弃该项目。</w:t>
      </w:r>
    </w:p>
    <w:p>
      <w:pPr>
        <w:adjustRightInd w:val="0"/>
        <w:snapToGrid w:val="0"/>
        <w:spacing w:line="300" w:lineRule="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25. 合同的履行</w:t>
      </w:r>
    </w:p>
    <w:p>
      <w:pPr>
        <w:autoSpaceDE w:val="0"/>
        <w:autoSpaceDN w:val="0"/>
        <w:adjustRightInd w:val="0"/>
        <w:snapToGrid w:val="0"/>
        <w:spacing w:line="300" w:lineRule="auto"/>
        <w:ind w:left="700" w:right="32" w:hanging="700" w:hangingChars="25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25.1承包合同订立后，合同各方不得擅自变更、中止或者终止合同。承包合同需要变更的，询价人应将有关合同变更内容，以书面形式报公司招标办备案；因特殊情况需要中止或终止合同的，询价人应将中止或终止合同的理由以及相应措施，以书面形式报公司招标办。</w:t>
      </w:r>
    </w:p>
    <w:p>
      <w:pPr>
        <w:autoSpaceDE w:val="0"/>
        <w:autoSpaceDN w:val="0"/>
        <w:adjustRightInd w:val="0"/>
        <w:snapToGrid w:val="0"/>
        <w:spacing w:line="300" w:lineRule="auto"/>
        <w:ind w:left="700" w:right="32" w:hanging="700" w:hangingChars="25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25.2 承包人因不可抗力或者自身原因不能履行承包合同的，询价人</w:t>
      </w:r>
      <w:r>
        <w:rPr>
          <w:rFonts w:hint="eastAsia" w:ascii="仿宋_GB2312" w:hAnsi="仿宋_GB2312" w:eastAsia="仿宋_GB2312" w:cs="仿宋_GB2312"/>
          <w:color w:val="000000" w:themeColor="text1"/>
          <w:sz w:val="28"/>
          <w:szCs w:val="28"/>
          <w14:textFill>
            <w14:solidFill>
              <w14:schemeClr w14:val="tx1"/>
            </w14:solidFill>
          </w14:textFill>
        </w:rPr>
        <w:t>可以与排位在承包人之后第一位的成交候选报价单位签订承包</w:t>
      </w:r>
      <w:r>
        <w:rPr>
          <w:rFonts w:hint="eastAsia" w:ascii="仿宋_GB2312" w:hAnsi="仿宋_GB2312" w:eastAsia="仿宋_GB2312" w:cs="仿宋_GB2312"/>
          <w:color w:val="000000" w:themeColor="text1"/>
          <w:kern w:val="0"/>
          <w:sz w:val="28"/>
          <w:szCs w:val="28"/>
          <w14:textFill>
            <w14:solidFill>
              <w14:schemeClr w14:val="tx1"/>
            </w14:solidFill>
          </w14:textFill>
        </w:rPr>
        <w:t>合同，以此类推。</w:t>
      </w:r>
    </w:p>
    <w:p>
      <w:pPr>
        <w:autoSpaceDE w:val="0"/>
        <w:autoSpaceDN w:val="0"/>
        <w:adjustRightInd w:val="0"/>
        <w:snapToGrid w:val="0"/>
        <w:spacing w:line="300" w:lineRule="auto"/>
        <w:ind w:left="420" w:right="32" w:hanging="420"/>
        <w:rPr>
          <w:rFonts w:ascii="仿宋_GB2312" w:hAnsi="仿宋_GB2312" w:eastAsia="仿宋_GB2312" w:cs="仿宋_GB2312"/>
          <w:b/>
          <w:color w:val="000000" w:themeColor="text1"/>
          <w:kern w:val="0"/>
          <w:sz w:val="28"/>
          <w:szCs w:val="28"/>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八、质疑</w:t>
      </w:r>
    </w:p>
    <w:p>
      <w:pPr>
        <w:autoSpaceDE w:val="0"/>
        <w:autoSpaceDN w:val="0"/>
        <w:adjustRightInd w:val="0"/>
        <w:snapToGrid w:val="0"/>
        <w:spacing w:line="300" w:lineRule="auto"/>
        <w:ind w:left="420" w:right="32" w:hanging="420"/>
        <w:rPr>
          <w:rFonts w:ascii="仿宋" w:hAnsi="仿宋" w:eastAsia="仿宋" w:cs="仿宋"/>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26. 如果报价人认为询价文件或询价过程或询价结果使其权益受到损害的，可向询价人提出书面质疑。询价人应在规定时间内给与答复。</w:t>
      </w:r>
    </w:p>
    <w:p>
      <w:pPr>
        <w:autoSpaceDE w:val="0"/>
        <w:autoSpaceDN w:val="0"/>
        <w:adjustRightInd w:val="0"/>
        <w:snapToGrid w:val="0"/>
        <w:spacing w:line="300" w:lineRule="auto"/>
        <w:ind w:left="420" w:right="32" w:hanging="420"/>
        <w:rPr>
          <w:rFonts w:ascii="仿宋" w:hAnsi="仿宋" w:eastAsia="仿宋" w:cs="仿宋_GB2312"/>
          <w:color w:val="000000" w:themeColor="text1"/>
          <w:sz w:val="28"/>
          <w:szCs w:val="28"/>
          <w14:textFill>
            <w14:solidFill>
              <w14:schemeClr w14:val="tx1"/>
            </w14:solidFill>
          </w14:textFill>
        </w:rPr>
      </w:pPr>
    </w:p>
    <w:p>
      <w:pPr>
        <w:rPr>
          <w:color w:val="000000" w:themeColor="text1"/>
          <w14:textFill>
            <w14:solidFill>
              <w14:schemeClr w14:val="tx1"/>
            </w14:solidFill>
          </w14:textFill>
        </w:rPr>
      </w:pPr>
      <w:bookmarkStart w:id="25" w:name="_Toc371433002"/>
      <w:bookmarkStart w:id="26" w:name="_Toc144974548"/>
      <w:bookmarkStart w:id="27" w:name="_Toc152045581"/>
      <w:bookmarkStart w:id="28" w:name="_Toc179632599"/>
      <w:bookmarkStart w:id="29" w:name="_Toc152042358"/>
      <w:bookmarkStart w:id="30" w:name="_Toc247085739"/>
    </w:p>
    <w:p>
      <w:pPr>
        <w:pStyle w:val="31"/>
        <w:rPr>
          <w:color w:val="000000" w:themeColor="text1"/>
          <w14:textFill>
            <w14:solidFill>
              <w14:schemeClr w14:val="tx1"/>
            </w14:solidFill>
          </w14:textFill>
        </w:rPr>
      </w:pPr>
    </w:p>
    <w:p>
      <w:pPr>
        <w:pStyle w:val="31"/>
        <w:rPr>
          <w:color w:val="000000" w:themeColor="text1"/>
          <w14:textFill>
            <w14:solidFill>
              <w14:schemeClr w14:val="tx1"/>
            </w14:solidFill>
          </w14:textFill>
        </w:rPr>
      </w:pPr>
    </w:p>
    <w:p>
      <w:pPr>
        <w:pStyle w:val="31"/>
        <w:rPr>
          <w:color w:val="000000" w:themeColor="text1"/>
          <w14:textFill>
            <w14:solidFill>
              <w14:schemeClr w14:val="tx1"/>
            </w14:solidFill>
          </w14:textFill>
        </w:rPr>
      </w:pPr>
    </w:p>
    <w:p>
      <w:pPr>
        <w:pStyle w:val="31"/>
        <w:rPr>
          <w:color w:val="000000" w:themeColor="text1"/>
          <w14:textFill>
            <w14:solidFill>
              <w14:schemeClr w14:val="tx1"/>
            </w14:solidFill>
          </w14:textFill>
        </w:rPr>
      </w:pPr>
    </w:p>
    <w:p>
      <w:pPr>
        <w:pStyle w:val="5"/>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附件一：报价记录表</w:t>
      </w:r>
    </w:p>
    <w:p>
      <w:pPr>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u w:val="single"/>
          <w:lang w:val="en-US" w:eastAsia="zh-CN"/>
          <w14:textFill>
            <w14:solidFill>
              <w14:schemeClr w14:val="tx1"/>
            </w14:solidFill>
          </w14:textFill>
        </w:rPr>
        <w:t>广州市净水有限公司</w:t>
      </w:r>
      <w:r>
        <w:rPr>
          <w:rFonts w:hint="eastAsia" w:ascii="仿宋_GB2312" w:hAnsi="仿宋_GB2312" w:eastAsia="仿宋_GB2312" w:cs="仿宋_GB2312"/>
          <w:b w:val="0"/>
          <w:bCs w:val="0"/>
          <w:color w:val="000000" w:themeColor="text1"/>
          <w:sz w:val="28"/>
          <w:szCs w:val="28"/>
          <w:u w:val="single"/>
          <w:lang w:eastAsia="zh-CN"/>
          <w14:textFill>
            <w14:solidFill>
              <w14:schemeClr w14:val="tx1"/>
            </w14:solidFill>
          </w14:textFill>
        </w:rPr>
        <w:t>沥滘三期无线网络建设项目</w:t>
      </w:r>
      <w:r>
        <w:rPr>
          <w:rFonts w:hint="eastAsia" w:ascii="仿宋_GB2312" w:hAnsi="仿宋_GB2312" w:eastAsia="仿宋_GB2312" w:cs="仿宋_GB2312"/>
          <w:color w:val="000000" w:themeColor="text1"/>
          <w:sz w:val="28"/>
          <w:szCs w:val="28"/>
          <w14:textFill>
            <w14:solidFill>
              <w14:schemeClr w14:val="tx1"/>
            </w14:solidFill>
          </w14:textFill>
        </w:rPr>
        <w:t>报价记录表</w:t>
      </w:r>
    </w:p>
    <w:p>
      <w:pPr>
        <w:spacing w:line="500" w:lineRule="exac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报价文件开启时间：</w:t>
      </w:r>
      <w:r>
        <w:rPr>
          <w:rFonts w:hint="eastAsia" w:ascii="仿宋_GB2312" w:hAnsi="仿宋_GB2312" w:eastAsia="仿宋_GB2312" w:cs="仿宋_GB2312"/>
          <w:color w:val="000000" w:themeColor="text1"/>
          <w:szCs w:val="2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年</w:t>
      </w:r>
      <w:r>
        <w:rPr>
          <w:rFonts w:hint="eastAsia" w:ascii="仿宋_GB2312" w:hAnsi="仿宋_GB2312" w:eastAsia="仿宋_GB2312" w:cs="仿宋_GB2312"/>
          <w:color w:val="000000" w:themeColor="text1"/>
          <w:szCs w:val="2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月</w:t>
      </w:r>
      <w:r>
        <w:rPr>
          <w:rFonts w:hint="eastAsia" w:ascii="仿宋_GB2312" w:hAnsi="仿宋_GB2312" w:eastAsia="仿宋_GB2312" w:cs="仿宋_GB2312"/>
          <w:color w:val="000000" w:themeColor="text1"/>
          <w:szCs w:val="2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日</w:t>
      </w:r>
      <w:r>
        <w:rPr>
          <w:rFonts w:hint="eastAsia" w:ascii="仿宋_GB2312" w:hAnsi="仿宋_GB2312" w:eastAsia="仿宋_GB2312" w:cs="仿宋_GB2312"/>
          <w:color w:val="000000" w:themeColor="text1"/>
          <w:szCs w:val="2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时</w:t>
      </w:r>
      <w:r>
        <w:rPr>
          <w:rFonts w:hint="eastAsia" w:ascii="仿宋_GB2312" w:hAnsi="仿宋_GB2312" w:eastAsia="仿宋_GB2312" w:cs="仿宋_GB2312"/>
          <w:color w:val="000000" w:themeColor="text1"/>
          <w:szCs w:val="2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Cs w:val="21"/>
          <w14:textFill>
            <w14:solidFill>
              <w14:schemeClr w14:val="tx1"/>
            </w14:solidFill>
          </w14:textFill>
        </w:rPr>
        <w:t>分</w:t>
      </w:r>
    </w:p>
    <w:tbl>
      <w:tblPr>
        <w:tblStyle w:val="25"/>
        <w:tblW w:w="0" w:type="auto"/>
        <w:jc w:val="center"/>
        <w:tblLayout w:type="fixed"/>
        <w:tblCellMar>
          <w:top w:w="0" w:type="dxa"/>
          <w:left w:w="108" w:type="dxa"/>
          <w:bottom w:w="0" w:type="dxa"/>
          <w:right w:w="108" w:type="dxa"/>
        </w:tblCellMar>
      </w:tblPr>
      <w:tblGrid>
        <w:gridCol w:w="690"/>
        <w:gridCol w:w="3422"/>
        <w:gridCol w:w="1268"/>
        <w:gridCol w:w="1582"/>
        <w:gridCol w:w="1918"/>
      </w:tblGrid>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34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报价单位</w:t>
            </w:r>
          </w:p>
        </w:tc>
        <w:tc>
          <w:tcPr>
            <w:tcW w:w="1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密封情况</w:t>
            </w:r>
          </w:p>
        </w:tc>
        <w:tc>
          <w:tcPr>
            <w:tcW w:w="15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报价（元）</w:t>
            </w:r>
          </w:p>
        </w:tc>
        <w:tc>
          <w:tcPr>
            <w:tcW w:w="19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签名</w:t>
            </w: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871"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r>
    </w:tbl>
    <w:p>
      <w:pPr>
        <w:spacing w:line="440" w:lineRule="exact"/>
        <w:rPr>
          <w:rFonts w:ascii="仿宋_GB2312" w:hAnsi="仿宋_GB2312" w:eastAsia="仿宋_GB2312" w:cs="仿宋_GB2312"/>
          <w:color w:val="000000" w:themeColor="text1"/>
          <w14:textFill>
            <w14:solidFill>
              <w14:schemeClr w14:val="tx1"/>
            </w14:solidFill>
          </w14:textFill>
        </w:rPr>
      </w:pPr>
    </w:p>
    <w:p>
      <w:pPr>
        <w:spacing w:line="440" w:lineRule="exact"/>
        <w:rPr>
          <w:rFonts w:ascii="仿宋_GB2312" w:hAnsi="仿宋_GB2312" w:eastAsia="仿宋_GB2312" w:cs="仿宋_GB2312"/>
          <w:color w:val="000000" w:themeColor="text1"/>
          <w:u w:val="single"/>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经办人：</w:t>
      </w:r>
      <w:r>
        <w:rPr>
          <w:rFonts w:hint="eastAsia" w:ascii="仿宋_GB2312" w:hAnsi="仿宋_GB2312" w:eastAsia="仿宋_GB2312" w:cs="仿宋_GB2312"/>
          <w:color w:val="000000" w:themeColor="text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 xml:space="preserve"> 记录人：</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br w:type="page"/>
      </w:r>
      <w:r>
        <w:rPr>
          <w:rFonts w:hint="eastAsia" w:ascii="仿宋_GB2312" w:hAnsi="仿宋_GB2312" w:eastAsia="仿宋_GB2312" w:cs="仿宋_GB2312"/>
          <w:b/>
          <w:bCs/>
          <w:color w:val="000000" w:themeColor="text1"/>
          <w:sz w:val="32"/>
          <w:szCs w:val="32"/>
          <w14:textFill>
            <w14:solidFill>
              <w14:schemeClr w14:val="tx1"/>
            </w14:solidFill>
          </w14:textFill>
        </w:rPr>
        <w:t>附件二</w:t>
      </w:r>
    </w:p>
    <w:p>
      <w:pPr>
        <w:spacing w:line="360" w:lineRule="auto"/>
        <w:jc w:val="center"/>
        <w:rPr>
          <w:rFonts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广州市净水有限公司询价评审记录表</w:t>
      </w:r>
    </w:p>
    <w:p>
      <w:pPr>
        <w:spacing w:line="360" w:lineRule="auto"/>
        <w:ind w:left="1200" w:hanging="1200" w:hangingChars="500"/>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项目名称：</w:t>
      </w:r>
      <w:r>
        <w:rPr>
          <w:rFonts w:hint="eastAsia" w:ascii="宋体" w:hAnsi="宋体"/>
          <w:color w:val="000000" w:themeColor="text1"/>
          <w:sz w:val="24"/>
          <w:lang w:val="en-US" w:eastAsia="zh-CN"/>
          <w14:textFill>
            <w14:solidFill>
              <w14:schemeClr w14:val="tx1"/>
            </w14:solidFill>
          </w14:textFill>
        </w:rPr>
        <w:t>广州市净水有限公司</w:t>
      </w:r>
      <w:r>
        <w:rPr>
          <w:rFonts w:hint="eastAsia" w:ascii="宋体" w:hAnsi="宋体"/>
          <w:color w:val="000000" w:themeColor="text1"/>
          <w:sz w:val="24"/>
          <w:lang w:eastAsia="zh-CN"/>
          <w14:textFill>
            <w14:solidFill>
              <w14:schemeClr w14:val="tx1"/>
            </w14:solidFill>
          </w14:textFill>
        </w:rPr>
        <w:t>沥滘三期无线网络建设项目</w:t>
      </w:r>
    </w:p>
    <w:tbl>
      <w:tblPr>
        <w:tblStyle w:val="25"/>
        <w:tblW w:w="10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4137"/>
        <w:gridCol w:w="1078"/>
        <w:gridCol w:w="999"/>
        <w:gridCol w:w="993"/>
        <w:gridCol w:w="992"/>
        <w:gridCol w:w="992"/>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blHeader/>
          <w:jc w:val="center"/>
        </w:trPr>
        <w:tc>
          <w:tcPr>
            <w:tcW w:w="601" w:type="dxa"/>
            <w:vMerge w:val="restart"/>
            <w:tcBorders>
              <w:top w:val="double" w:color="auto" w:sz="4" w:space="0"/>
              <w:left w:val="double" w:color="auto" w:sz="4" w:space="0"/>
              <w:right w:val="single" w:color="auto" w:sz="4" w:space="0"/>
            </w:tcBorders>
            <w:noWrap/>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序号</w:t>
            </w:r>
          </w:p>
        </w:tc>
        <w:tc>
          <w:tcPr>
            <w:tcW w:w="4137" w:type="dxa"/>
            <w:vMerge w:val="restart"/>
            <w:tcBorders>
              <w:top w:val="double" w:color="auto" w:sz="4" w:space="0"/>
              <w:left w:val="single" w:color="auto" w:sz="4" w:space="0"/>
              <w:right w:val="single" w:color="auto" w:sz="4" w:space="0"/>
            </w:tcBorders>
            <w:noWrap/>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项目资料</w:t>
            </w:r>
          </w:p>
        </w:tc>
        <w:tc>
          <w:tcPr>
            <w:tcW w:w="1078" w:type="dxa"/>
            <w:vMerge w:val="restart"/>
            <w:tcBorders>
              <w:top w:val="double" w:color="auto" w:sz="4" w:space="0"/>
              <w:left w:val="single" w:color="auto" w:sz="4" w:space="0"/>
              <w:right w:val="single" w:color="auto" w:sz="4" w:space="0"/>
            </w:tcBorders>
            <w:noWrap/>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提交资料要求</w:t>
            </w:r>
          </w:p>
        </w:tc>
        <w:tc>
          <w:tcPr>
            <w:tcW w:w="3976" w:type="dxa"/>
            <w:gridSpan w:val="4"/>
            <w:tcBorders>
              <w:top w:val="double" w:color="auto" w:sz="4" w:space="0"/>
              <w:left w:val="single" w:color="auto" w:sz="4" w:space="0"/>
              <w:right w:val="single" w:color="auto" w:sz="4" w:space="0"/>
            </w:tcBorders>
            <w:noWrap/>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审核情况</w:t>
            </w:r>
          </w:p>
        </w:tc>
        <w:tc>
          <w:tcPr>
            <w:tcW w:w="803" w:type="dxa"/>
            <w:tcBorders>
              <w:top w:val="double" w:color="auto" w:sz="4" w:space="0"/>
              <w:left w:val="single" w:color="auto" w:sz="4" w:space="0"/>
              <w:bottom w:val="single" w:color="auto" w:sz="4" w:space="0"/>
              <w:right w:val="double" w:color="auto" w:sz="4" w:space="0"/>
            </w:tcBorders>
            <w:noWrap/>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601" w:type="dxa"/>
            <w:vMerge w:val="continue"/>
            <w:tcBorders>
              <w:left w:val="double" w:color="auto" w:sz="4" w:space="0"/>
              <w:bottom w:val="single" w:color="auto" w:sz="4" w:space="0"/>
              <w:right w:val="single" w:color="auto" w:sz="4" w:space="0"/>
            </w:tcBorders>
            <w:noWrap/>
            <w:vAlign w:val="center"/>
          </w:tcPr>
          <w:p>
            <w:pPr>
              <w:jc w:val="center"/>
              <w:rPr>
                <w:rFonts w:ascii="仿宋" w:hAnsi="仿宋" w:eastAsia="仿宋"/>
                <w:color w:val="000000" w:themeColor="text1"/>
                <w:sz w:val="24"/>
                <w14:textFill>
                  <w14:solidFill>
                    <w14:schemeClr w14:val="tx1"/>
                  </w14:solidFill>
                </w14:textFill>
              </w:rPr>
            </w:pPr>
          </w:p>
        </w:tc>
        <w:tc>
          <w:tcPr>
            <w:tcW w:w="4137" w:type="dxa"/>
            <w:vMerge w:val="continue"/>
            <w:tcBorders>
              <w:left w:val="single" w:color="auto" w:sz="4" w:space="0"/>
              <w:bottom w:val="single" w:color="auto" w:sz="4" w:space="0"/>
              <w:right w:val="single" w:color="auto" w:sz="4" w:space="0"/>
            </w:tcBorders>
            <w:noWrap/>
            <w:vAlign w:val="center"/>
          </w:tcPr>
          <w:p>
            <w:pPr>
              <w:rPr>
                <w:rFonts w:ascii="仿宋" w:hAnsi="仿宋" w:eastAsia="仿宋"/>
                <w:color w:val="000000" w:themeColor="text1"/>
                <w:sz w:val="24"/>
                <w14:textFill>
                  <w14:solidFill>
                    <w14:schemeClr w14:val="tx1"/>
                  </w14:solidFill>
                </w14:textFill>
              </w:rPr>
            </w:pPr>
          </w:p>
        </w:tc>
        <w:tc>
          <w:tcPr>
            <w:tcW w:w="1078" w:type="dxa"/>
            <w:vMerge w:val="continue"/>
            <w:tcBorders>
              <w:left w:val="single" w:color="auto" w:sz="4" w:space="0"/>
              <w:bottom w:val="single" w:color="auto" w:sz="4" w:space="0"/>
              <w:right w:val="single" w:color="auto" w:sz="4" w:space="0"/>
            </w:tcBorders>
            <w:noWrap/>
            <w:vAlign w:val="center"/>
          </w:tcPr>
          <w:p>
            <w:pPr>
              <w:rPr>
                <w:rFonts w:ascii="仿宋" w:hAnsi="仿宋" w:eastAsia="仿宋"/>
                <w:color w:val="000000" w:themeColor="text1"/>
                <w:sz w:val="24"/>
                <w14:textFill>
                  <w14:solidFill>
                    <w14:schemeClr w14:val="tx1"/>
                  </w14:solidFill>
                </w14:textFill>
              </w:rPr>
            </w:pPr>
          </w:p>
        </w:tc>
        <w:tc>
          <w:tcPr>
            <w:tcW w:w="999"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themeColor="text1"/>
                <w:sz w:val="18"/>
                <w:szCs w:val="18"/>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 w:val="18"/>
                <w:szCs w:val="18"/>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 w:val="18"/>
                <w:szCs w:val="18"/>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 w:val="18"/>
                <w:szCs w:val="18"/>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noWrap/>
            <w:vAlign w:val="center"/>
          </w:tcPr>
          <w:p>
            <w:pP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p>
        </w:tc>
        <w:tc>
          <w:tcPr>
            <w:tcW w:w="4137"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符合报名条件资格要求</w:t>
            </w:r>
          </w:p>
        </w:tc>
        <w:tc>
          <w:tcPr>
            <w:tcW w:w="1078"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原件</w:t>
            </w:r>
          </w:p>
        </w:tc>
        <w:tc>
          <w:tcPr>
            <w:tcW w:w="999"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themeColor="text1"/>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noWrap/>
            <w:vAlign w:val="center"/>
          </w:tcPr>
          <w:p>
            <w:pP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w:t>
            </w:r>
          </w:p>
        </w:tc>
        <w:tc>
          <w:tcPr>
            <w:tcW w:w="4137"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s="Times New Roman"/>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企业法定代表人资格证明书</w:t>
            </w:r>
          </w:p>
        </w:tc>
        <w:tc>
          <w:tcPr>
            <w:tcW w:w="1078"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原件</w:t>
            </w:r>
          </w:p>
        </w:tc>
        <w:tc>
          <w:tcPr>
            <w:tcW w:w="999"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themeColor="text1"/>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noWrap/>
            <w:vAlign w:val="center"/>
          </w:tcPr>
          <w:p>
            <w:pP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w:t>
            </w:r>
          </w:p>
        </w:tc>
        <w:tc>
          <w:tcPr>
            <w:tcW w:w="4137"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s="Times New Roman"/>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法定代表人授权委托书</w:t>
            </w:r>
          </w:p>
        </w:tc>
        <w:tc>
          <w:tcPr>
            <w:tcW w:w="1078"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原件</w:t>
            </w:r>
          </w:p>
        </w:tc>
        <w:tc>
          <w:tcPr>
            <w:tcW w:w="999"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themeColor="text1"/>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noWrap/>
            <w:vAlign w:val="center"/>
          </w:tcPr>
          <w:p>
            <w:pP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w:t>
            </w:r>
          </w:p>
        </w:tc>
        <w:tc>
          <w:tcPr>
            <w:tcW w:w="4137"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关于资格的声明函</w:t>
            </w:r>
          </w:p>
        </w:tc>
        <w:tc>
          <w:tcPr>
            <w:tcW w:w="1078"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复印件</w:t>
            </w:r>
          </w:p>
        </w:tc>
        <w:tc>
          <w:tcPr>
            <w:tcW w:w="999"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themeColor="text1"/>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noWrap/>
            <w:vAlign w:val="center"/>
          </w:tcPr>
          <w:p>
            <w:pP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w:t>
            </w:r>
          </w:p>
        </w:tc>
        <w:tc>
          <w:tcPr>
            <w:tcW w:w="4137"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s="Times New Roman"/>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拟委派的项目负责人情况表</w:t>
            </w:r>
          </w:p>
        </w:tc>
        <w:tc>
          <w:tcPr>
            <w:tcW w:w="1078"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复印件</w:t>
            </w:r>
          </w:p>
        </w:tc>
        <w:tc>
          <w:tcPr>
            <w:tcW w:w="999"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themeColor="text1"/>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noWrap/>
            <w:vAlign w:val="center"/>
          </w:tcPr>
          <w:p>
            <w:pP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w:t>
            </w:r>
          </w:p>
        </w:tc>
        <w:tc>
          <w:tcPr>
            <w:tcW w:w="4137"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s="Times New Roman"/>
                <w:color w:val="000000" w:themeColor="text1"/>
                <w:kern w:val="2"/>
                <w:sz w:val="24"/>
                <w:szCs w:val="24"/>
                <w:lang w:val="en-US" w:eastAsia="zh-CN" w:bidi="ar-SA"/>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报价意向承诺及声明函</w:t>
            </w:r>
          </w:p>
        </w:tc>
        <w:tc>
          <w:tcPr>
            <w:tcW w:w="1078"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原件</w:t>
            </w:r>
          </w:p>
        </w:tc>
        <w:tc>
          <w:tcPr>
            <w:tcW w:w="999"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themeColor="text1"/>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noWrap/>
            <w:vAlign w:val="center"/>
          </w:tcPr>
          <w:p>
            <w:pP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7</w:t>
            </w:r>
          </w:p>
        </w:tc>
        <w:tc>
          <w:tcPr>
            <w:tcW w:w="4137"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响应承诺书</w:t>
            </w:r>
          </w:p>
        </w:tc>
        <w:tc>
          <w:tcPr>
            <w:tcW w:w="1078"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原件</w:t>
            </w:r>
          </w:p>
        </w:tc>
        <w:tc>
          <w:tcPr>
            <w:tcW w:w="999"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themeColor="text1"/>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noWrap/>
            <w:vAlign w:val="center"/>
          </w:tcPr>
          <w:p>
            <w:pP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5816" w:type="dxa"/>
            <w:gridSpan w:val="3"/>
            <w:tcBorders>
              <w:top w:val="single" w:color="auto" w:sz="4" w:space="0"/>
              <w:left w:val="double" w:color="auto" w:sz="4" w:space="0"/>
              <w:bottom w:val="single" w:color="auto" w:sz="4" w:space="0"/>
              <w:right w:val="single" w:color="auto" w:sz="4" w:space="0"/>
            </w:tcBorders>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结论</w:t>
            </w:r>
          </w:p>
        </w:tc>
        <w:tc>
          <w:tcPr>
            <w:tcW w:w="999"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themeColor="text1"/>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noWrap/>
            <w:vAlign w:val="center"/>
          </w:tcPr>
          <w:p>
            <w:pP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5816" w:type="dxa"/>
            <w:gridSpan w:val="3"/>
            <w:tcBorders>
              <w:top w:val="single" w:color="auto" w:sz="4" w:space="0"/>
              <w:left w:val="double" w:color="auto" w:sz="4" w:space="0"/>
              <w:bottom w:val="single" w:color="auto" w:sz="4" w:space="0"/>
              <w:right w:val="single" w:color="auto" w:sz="4" w:space="0"/>
            </w:tcBorders>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评审人签名</w:t>
            </w:r>
          </w:p>
        </w:tc>
        <w:tc>
          <w:tcPr>
            <w:tcW w:w="4779" w:type="dxa"/>
            <w:gridSpan w:val="5"/>
            <w:tcBorders>
              <w:top w:val="single" w:color="auto" w:sz="4" w:space="0"/>
              <w:left w:val="single" w:color="auto" w:sz="4" w:space="0"/>
              <w:bottom w:val="single" w:color="auto" w:sz="4" w:space="0"/>
              <w:right w:val="double" w:color="auto" w:sz="4" w:space="0"/>
            </w:tcBorders>
            <w:noWrap/>
          </w:tcPr>
          <w:p>
            <w:pPr>
              <w:rPr>
                <w:rFonts w:ascii="仿宋" w:hAnsi="仿宋" w:eastAsia="仿宋"/>
                <w:color w:val="000000" w:themeColor="text1"/>
                <w:szCs w:val="21"/>
                <w14:textFill>
                  <w14:solidFill>
                    <w14:schemeClr w14:val="tx1"/>
                  </w14:solidFill>
                </w14:textFill>
              </w:rPr>
            </w:pPr>
          </w:p>
        </w:tc>
      </w:tr>
    </w:tbl>
    <w:p>
      <w:pPr>
        <w:ind w:left="840" w:hanging="840" w:hangingChars="400"/>
        <w:rPr>
          <w:color w:val="000000" w:themeColor="text1"/>
          <w14:textFill>
            <w14:solidFill>
              <w14:schemeClr w14:val="tx1"/>
            </w14:solidFill>
          </w14:textFill>
        </w:rPr>
      </w:pPr>
    </w:p>
    <w:p>
      <w:pPr>
        <w:ind w:left="840" w:hanging="840" w:hangingChars="400"/>
        <w:rPr>
          <w:color w:val="000000" w:themeColor="text1"/>
          <w14:textFill>
            <w14:solidFill>
              <w14:schemeClr w14:val="tx1"/>
            </w14:solidFill>
          </w14:textFill>
        </w:rPr>
      </w:pPr>
      <w:r>
        <w:rPr>
          <w:rFonts w:hint="eastAsia"/>
          <w:color w:val="000000" w:themeColor="text1"/>
          <w14:textFill>
            <w14:solidFill>
              <w14:schemeClr w14:val="tx1"/>
            </w14:solidFill>
          </w14:textFill>
        </w:rPr>
        <w:t>备注：1、审核情况填写“符合”或“不符合；或者打“√”或“×”。</w:t>
      </w:r>
    </w:p>
    <w:p>
      <w:pPr>
        <w:numPr>
          <w:ilvl w:val="0"/>
          <w:numId w:val="4"/>
        </w:numPr>
        <w:ind w:firstLine="630" w:firstLineChars="300"/>
        <w:rPr>
          <w:color w:val="000000" w:themeColor="text1"/>
          <w14:textFill>
            <w14:solidFill>
              <w14:schemeClr w14:val="tx1"/>
            </w14:solidFill>
          </w14:textFill>
        </w:rPr>
      </w:pPr>
      <w:r>
        <w:rPr>
          <w:rFonts w:hint="eastAsia"/>
          <w:color w:val="000000" w:themeColor="text1"/>
          <w14:textFill>
            <w14:solidFill>
              <w14:schemeClr w14:val="tx1"/>
            </w14:solidFill>
          </w14:textFill>
        </w:rPr>
        <w:t>本表所有审核情况均为符合的，结论为报名成功。若有一项或以上审核情况为不符合的，结论为报名不成功。</w:t>
      </w:r>
    </w:p>
    <w:p>
      <w:pPr>
        <w:spacing w:line="400" w:lineRule="atLeast"/>
        <w:rPr>
          <w:rFonts w:eastAsia="仿宋_GB2312" w:cs="仿宋_GB2312" w:asciiTheme="majorHAnsi" w:hAnsiTheme="majorHAnsi"/>
          <w:sz w:val="52"/>
          <w:szCs w:val="52"/>
        </w:rPr>
      </w:pPr>
    </w:p>
    <w:p>
      <w:pPr>
        <w:pStyle w:val="31"/>
        <w:rPr>
          <w:rFonts w:cs="仿宋_GB2312" w:asciiTheme="majorHAnsi" w:hAnsiTheme="majorHAnsi"/>
          <w:sz w:val="52"/>
          <w:szCs w:val="52"/>
        </w:rPr>
      </w:pPr>
    </w:p>
    <w:p>
      <w:pPr>
        <w:pStyle w:val="31"/>
        <w:rPr>
          <w:rFonts w:cs="仿宋_GB2312" w:asciiTheme="majorHAnsi" w:hAnsiTheme="majorHAnsi"/>
          <w:sz w:val="52"/>
          <w:szCs w:val="52"/>
        </w:rPr>
      </w:pPr>
    </w:p>
    <w:bookmarkEnd w:id="25"/>
    <w:bookmarkEnd w:id="26"/>
    <w:bookmarkEnd w:id="27"/>
    <w:bookmarkEnd w:id="28"/>
    <w:bookmarkEnd w:id="29"/>
    <w:bookmarkEnd w:id="30"/>
    <w:p>
      <w:pPr>
        <w:spacing w:line="400" w:lineRule="atLeast"/>
        <w:jc w:val="center"/>
        <w:rPr>
          <w:rFonts w:ascii="宋体" w:hAnsi="宋体" w:cs="宋体"/>
          <w:b/>
          <w:bCs/>
          <w:color w:val="000000" w:themeColor="text1"/>
          <w:sz w:val="48"/>
          <w:szCs w:val="48"/>
          <w:highlight w:val="none"/>
          <w14:textFill>
            <w14:solidFill>
              <w14:schemeClr w14:val="tx1"/>
            </w14:solidFill>
          </w14:textFill>
        </w:rPr>
      </w:pPr>
    </w:p>
    <w:p>
      <w:pPr>
        <w:spacing w:line="400" w:lineRule="atLeast"/>
        <w:jc w:val="center"/>
        <w:rPr>
          <w:rFonts w:ascii="宋体" w:hAnsi="宋体" w:cs="宋体"/>
          <w:b/>
          <w:bCs/>
          <w:color w:val="000000" w:themeColor="text1"/>
          <w:sz w:val="48"/>
          <w:szCs w:val="48"/>
          <w:highlight w:val="none"/>
          <w14:textFill>
            <w14:solidFill>
              <w14:schemeClr w14:val="tx1"/>
            </w14:solidFill>
          </w14:textFill>
        </w:rPr>
      </w:pPr>
      <w:r>
        <w:rPr>
          <w:rFonts w:hint="eastAsia" w:ascii="宋体" w:hAnsi="宋体" w:cs="宋体"/>
          <w:b/>
          <w:bCs/>
          <w:color w:val="000000" w:themeColor="text1"/>
          <w:sz w:val="48"/>
          <w:szCs w:val="48"/>
          <w:highlight w:val="none"/>
          <w14:textFill>
            <w14:solidFill>
              <w14:schemeClr w14:val="tx1"/>
            </w14:solidFill>
          </w14:textFill>
        </w:rPr>
        <w:t>广州市净水有限公司</w:t>
      </w:r>
    </w:p>
    <w:p>
      <w:pPr>
        <w:spacing w:line="400" w:lineRule="atLeast"/>
        <w:jc w:val="center"/>
        <w:rPr>
          <w:rFonts w:asciiTheme="majorHAnsi" w:hAnsiTheme="majorHAnsi" w:eastAsiaTheme="majorEastAsia"/>
          <w:b/>
          <w:bCs/>
          <w:color w:val="000000" w:themeColor="text1"/>
          <w:sz w:val="48"/>
          <w:szCs w:val="48"/>
          <w:highlight w:val="none"/>
          <w14:textFill>
            <w14:solidFill>
              <w14:schemeClr w14:val="tx1"/>
            </w14:solidFill>
          </w14:textFill>
        </w:rPr>
      </w:pPr>
      <w:r>
        <w:rPr>
          <w:rFonts w:hint="eastAsia" w:ascii="宋体" w:hAnsi="宋体" w:cs="宋体"/>
          <w:b/>
          <w:bCs/>
          <w:color w:val="000000" w:themeColor="text1"/>
          <w:sz w:val="48"/>
          <w:szCs w:val="48"/>
          <w:highlight w:val="none"/>
          <w14:textFill>
            <w14:solidFill>
              <w14:schemeClr w14:val="tx1"/>
            </w14:solidFill>
          </w14:textFill>
        </w:rPr>
        <w:t>信息系统建设合同</w:t>
      </w:r>
    </w:p>
    <w:p>
      <w:pPr>
        <w:spacing w:line="400" w:lineRule="atLeast"/>
        <w:jc w:val="center"/>
        <w:rPr>
          <w:rFonts w:ascii="宋体" w:hAnsi="宋体"/>
          <w:b/>
          <w:color w:val="000000" w:themeColor="text1"/>
          <w:sz w:val="28"/>
          <w:highlight w:val="none"/>
          <w14:textFill>
            <w14:solidFill>
              <w14:schemeClr w14:val="tx1"/>
            </w14:solidFill>
          </w14:textFill>
        </w:rPr>
      </w:pPr>
    </w:p>
    <w:p>
      <w:pPr>
        <w:spacing w:line="400" w:lineRule="atLeast"/>
        <w:jc w:val="center"/>
        <w:rPr>
          <w:rFonts w:ascii="宋体" w:hAnsi="宋体"/>
          <w:b/>
          <w:color w:val="000000" w:themeColor="text1"/>
          <w:sz w:val="28"/>
          <w:highlight w:val="none"/>
          <w14:textFill>
            <w14:solidFill>
              <w14:schemeClr w14:val="tx1"/>
            </w14:solidFill>
          </w14:textFill>
        </w:rPr>
      </w:pPr>
    </w:p>
    <w:p>
      <w:pPr>
        <w:spacing w:line="400" w:lineRule="atLeast"/>
        <w:jc w:val="center"/>
        <w:rPr>
          <w:rFonts w:ascii="宋体" w:hAnsi="宋体"/>
          <w:b/>
          <w:color w:val="000000" w:themeColor="text1"/>
          <w:sz w:val="28"/>
          <w:highlight w:val="none"/>
          <w14:textFill>
            <w14:solidFill>
              <w14:schemeClr w14:val="tx1"/>
            </w14:solidFill>
          </w14:textFill>
        </w:rPr>
      </w:pPr>
    </w:p>
    <w:p>
      <w:pPr>
        <w:spacing w:line="0" w:lineRule="atLeast"/>
        <w:rPr>
          <w:rFonts w:ascii="宋体" w:hAnsi="宋体"/>
          <w:b/>
          <w:color w:val="000000" w:themeColor="text1"/>
          <w:sz w:val="30"/>
          <w:highlight w:val="none"/>
          <w14:textFill>
            <w14:solidFill>
              <w14:schemeClr w14:val="tx1"/>
            </w14:solidFill>
          </w14:textFill>
        </w:rPr>
      </w:pPr>
    </w:p>
    <w:p>
      <w:pPr>
        <w:spacing w:line="0" w:lineRule="atLeast"/>
        <w:rPr>
          <w:rFonts w:ascii="仿宋_GB2312" w:hAnsi="宋体" w:eastAsia="仿宋_GB2312"/>
          <w:b/>
          <w:color w:val="000000" w:themeColor="text1"/>
          <w:sz w:val="30"/>
          <w:szCs w:val="30"/>
          <w:highlight w:val="none"/>
          <w14:textFill>
            <w14:solidFill>
              <w14:schemeClr w14:val="tx1"/>
            </w14:solidFill>
          </w14:textFill>
        </w:rPr>
      </w:pPr>
    </w:p>
    <w:p>
      <w:pPr>
        <w:spacing w:line="0" w:lineRule="atLeast"/>
        <w:ind w:left="1506" w:hanging="1506" w:hangingChars="500"/>
        <w:rPr>
          <w:rFonts w:ascii="宋体" w:hAnsi="宋体" w:cs="宋体"/>
          <w:b/>
          <w:color w:val="000000" w:themeColor="text1"/>
          <w:sz w:val="30"/>
          <w:szCs w:val="30"/>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t>项目名称:</w:t>
      </w:r>
      <w:r>
        <w:rPr>
          <w:rFonts w:hint="eastAsia" w:ascii="宋体" w:hAnsi="宋体" w:cs="宋体"/>
          <w:b/>
          <w:color w:val="000000" w:themeColor="text1"/>
          <w:sz w:val="30"/>
          <w:szCs w:val="30"/>
          <w:highlight w:val="none"/>
          <w:lang w:val="en-US" w:eastAsia="zh-CN"/>
          <w14:textFill>
            <w14:solidFill>
              <w14:schemeClr w14:val="tx1"/>
            </w14:solidFill>
          </w14:textFill>
        </w:rPr>
        <w:t>广州市净水有限公司</w:t>
      </w:r>
      <w:r>
        <w:rPr>
          <w:rFonts w:hint="eastAsia" w:ascii="宋体" w:hAnsi="宋体" w:cs="宋体"/>
          <w:b/>
          <w:color w:val="000000" w:themeColor="text1"/>
          <w:sz w:val="30"/>
          <w:szCs w:val="30"/>
          <w:highlight w:val="none"/>
          <w14:textFill>
            <w14:solidFill>
              <w14:schemeClr w14:val="tx1"/>
            </w14:solidFill>
          </w14:textFill>
        </w:rPr>
        <w:t xml:space="preserve">沥滘三期无线网络建设项目 </w:t>
      </w:r>
    </w:p>
    <w:p>
      <w:pPr>
        <w:spacing w:line="400" w:lineRule="atLeast"/>
        <w:rPr>
          <w:rFonts w:ascii="宋体" w:hAnsi="宋体" w:cs="宋体"/>
          <w:b/>
          <w:color w:val="000000" w:themeColor="text1"/>
          <w:sz w:val="30"/>
          <w:szCs w:val="30"/>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t>项目编号：</w:t>
      </w:r>
    </w:p>
    <w:p>
      <w:pPr>
        <w:spacing w:line="400" w:lineRule="atLeast"/>
        <w:rPr>
          <w:rFonts w:ascii="宋体" w:hAnsi="宋体" w:cs="宋体"/>
          <w:b/>
          <w:color w:val="000000" w:themeColor="text1"/>
          <w:sz w:val="30"/>
          <w:szCs w:val="30"/>
          <w:highlight w:val="none"/>
          <w14:textFill>
            <w14:solidFill>
              <w14:schemeClr w14:val="tx1"/>
            </w14:solidFill>
          </w14:textFill>
        </w:rPr>
      </w:pPr>
    </w:p>
    <w:p>
      <w:pPr>
        <w:spacing w:line="480" w:lineRule="auto"/>
        <w:rPr>
          <w:rFonts w:ascii="宋体" w:hAnsi="宋体" w:cs="宋体"/>
          <w:b/>
          <w:bCs/>
          <w:color w:val="000000" w:themeColor="text1"/>
          <w:sz w:val="30"/>
          <w:szCs w:val="30"/>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t>合同编号：</w:t>
      </w:r>
      <w:r>
        <w:rPr>
          <w:rFonts w:hint="eastAsia" w:ascii="宋体" w:hAnsi="宋体" w:cs="宋体"/>
          <w:b/>
          <w:bCs/>
          <w:color w:val="000000" w:themeColor="text1"/>
          <w:sz w:val="30"/>
          <w:szCs w:val="30"/>
          <w:highlight w:val="none"/>
          <w14:textFill>
            <w14:solidFill>
              <w14:schemeClr w14:val="tx1"/>
            </w14:solidFill>
          </w14:textFill>
        </w:rPr>
        <w:t>穗净水合[     ]    号</w:t>
      </w:r>
    </w:p>
    <w:p>
      <w:pPr>
        <w:spacing w:line="400" w:lineRule="atLeast"/>
        <w:ind w:firstLine="602" w:firstLineChars="200"/>
        <w:rPr>
          <w:rFonts w:ascii="宋体" w:hAnsi="宋体" w:cs="宋体"/>
          <w:b/>
          <w:color w:val="000000" w:themeColor="text1"/>
          <w:sz w:val="30"/>
          <w:szCs w:val="30"/>
          <w:highlight w:val="none"/>
          <w14:textFill>
            <w14:solidFill>
              <w14:schemeClr w14:val="tx1"/>
            </w14:solidFill>
          </w14:textFill>
        </w:rPr>
      </w:pPr>
    </w:p>
    <w:p>
      <w:pPr>
        <w:spacing w:line="400" w:lineRule="atLeast"/>
        <w:rPr>
          <w:rFonts w:ascii="宋体" w:hAnsi="宋体" w:cs="宋体"/>
          <w:b/>
          <w:color w:val="000000" w:themeColor="text1"/>
          <w:sz w:val="30"/>
          <w:szCs w:val="30"/>
          <w:highlight w:val="none"/>
          <w14:textFill>
            <w14:solidFill>
              <w14:schemeClr w14:val="tx1"/>
            </w14:solidFill>
          </w14:textFill>
        </w:rPr>
      </w:pPr>
    </w:p>
    <w:p>
      <w:pPr>
        <w:spacing w:line="400" w:lineRule="atLeast"/>
        <w:rPr>
          <w:rFonts w:ascii="宋体" w:hAnsi="宋体" w:cs="宋体"/>
          <w:b/>
          <w:color w:val="000000" w:themeColor="text1"/>
          <w:sz w:val="30"/>
          <w:szCs w:val="30"/>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t>甲方： 广州市净水有限公司</w:t>
      </w:r>
    </w:p>
    <w:p>
      <w:pPr>
        <w:spacing w:line="400" w:lineRule="atLeast"/>
        <w:rPr>
          <w:rFonts w:ascii="宋体" w:hAnsi="宋体" w:cs="宋体"/>
          <w:b/>
          <w:color w:val="000000" w:themeColor="text1"/>
          <w:sz w:val="30"/>
          <w:szCs w:val="30"/>
          <w:highlight w:val="none"/>
          <w14:textFill>
            <w14:solidFill>
              <w14:schemeClr w14:val="tx1"/>
            </w14:solidFill>
          </w14:textFill>
        </w:rPr>
      </w:pPr>
    </w:p>
    <w:p>
      <w:pPr>
        <w:spacing w:line="400" w:lineRule="atLeast"/>
        <w:rPr>
          <w:rFonts w:ascii="宋体" w:hAnsi="宋体" w:cs="宋体"/>
          <w:b/>
          <w:color w:val="000000" w:themeColor="text1"/>
          <w:sz w:val="30"/>
          <w:szCs w:val="30"/>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t xml:space="preserve">乙方： </w:t>
      </w:r>
    </w:p>
    <w:p>
      <w:pPr>
        <w:rPr>
          <w:rFonts w:ascii="仿宋_GB2312" w:eastAsia="仿宋_GB2312"/>
          <w:bCs/>
          <w:color w:val="000000" w:themeColor="text1"/>
          <w:sz w:val="28"/>
          <w:szCs w:val="28"/>
          <w:highlight w:val="none"/>
          <w14:textFill>
            <w14:solidFill>
              <w14:schemeClr w14:val="tx1"/>
            </w14:solidFill>
          </w14:textFill>
        </w:rPr>
      </w:pPr>
    </w:p>
    <w:p>
      <w:pPr>
        <w:rPr>
          <w:rFonts w:ascii="仿宋_GB2312" w:eastAsia="仿宋_GB2312"/>
          <w:bCs/>
          <w:color w:val="000000" w:themeColor="text1"/>
          <w:sz w:val="28"/>
          <w:szCs w:val="28"/>
          <w:highlight w:val="none"/>
          <w14:textFill>
            <w14:solidFill>
              <w14:schemeClr w14:val="tx1"/>
            </w14:solidFill>
          </w14:textFill>
        </w:rPr>
      </w:pPr>
    </w:p>
    <w:p>
      <w:pPr>
        <w:rPr>
          <w:rFonts w:ascii="仿宋_GB2312" w:eastAsia="仿宋_GB2312"/>
          <w:bCs/>
          <w:color w:val="000000" w:themeColor="text1"/>
          <w:sz w:val="28"/>
          <w:szCs w:val="28"/>
          <w:highlight w:val="none"/>
          <w14:textFill>
            <w14:solidFill>
              <w14:schemeClr w14:val="tx1"/>
            </w14:solidFill>
          </w14:textFill>
        </w:rPr>
      </w:pPr>
    </w:p>
    <w:p>
      <w:pPr>
        <w:rPr>
          <w:rFonts w:ascii="仿宋_GB2312" w:eastAsia="仿宋_GB2312"/>
          <w:bCs/>
          <w:color w:val="000000" w:themeColor="text1"/>
          <w:sz w:val="28"/>
          <w:szCs w:val="28"/>
          <w:highlight w:val="none"/>
          <w14:textFill>
            <w14:solidFill>
              <w14:schemeClr w14:val="tx1"/>
            </w14:solidFill>
          </w14:textFill>
        </w:rPr>
      </w:pPr>
    </w:p>
    <w:p>
      <w:pPr>
        <w:pStyle w:val="31"/>
        <w:rPr>
          <w:rFonts w:ascii="仿宋_GB2312" w:eastAsia="仿宋_GB2312"/>
          <w:bCs/>
          <w:color w:val="000000" w:themeColor="text1"/>
          <w:sz w:val="28"/>
          <w:szCs w:val="28"/>
          <w:highlight w:val="none"/>
          <w14:textFill>
            <w14:solidFill>
              <w14:schemeClr w14:val="tx1"/>
            </w14:solidFill>
          </w14:textFill>
        </w:rPr>
      </w:pPr>
    </w:p>
    <w:p>
      <w:pPr>
        <w:pStyle w:val="45"/>
        <w:spacing w:line="500" w:lineRule="exact"/>
        <w:jc w:val="both"/>
        <w:rPr>
          <w:rFonts w:ascii="宋体" w:hAnsi="宋体" w:eastAsia="宋体" w:cs="宋体"/>
          <w:b/>
          <w:bCs/>
          <w:color w:val="000000" w:themeColor="text1"/>
          <w:sz w:val="24"/>
          <w:szCs w:val="24"/>
          <w:highlight w:val="none"/>
          <w:lang w:val="zh-CN" w:eastAsia="zh-CN"/>
          <w14:textFill>
            <w14:solidFill>
              <w14:schemeClr w14:val="tx1"/>
            </w14:solidFill>
          </w14:textFill>
        </w:rPr>
      </w:pPr>
    </w:p>
    <w:p>
      <w:pPr>
        <w:spacing w:before="93" w:beforeLines="30" w:line="480" w:lineRule="exact"/>
        <w:ind w:firstLine="720" w:firstLineChars="3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u w:val="single"/>
          <w14:textFill>
            <w14:solidFill>
              <w14:schemeClr w14:val="tx1"/>
            </w14:solidFill>
          </w14:textFill>
        </w:rPr>
        <w:t>广州市净水有限公司</w:t>
      </w:r>
      <w:r>
        <w:rPr>
          <w:rFonts w:hint="eastAsia" w:ascii="宋体" w:hAnsi="宋体" w:cs="宋体"/>
          <w:color w:val="000000" w:themeColor="text1"/>
          <w:sz w:val="24"/>
          <w:szCs w:val="24"/>
          <w:highlight w:val="none"/>
          <w14:textFill>
            <w14:solidFill>
              <w14:schemeClr w14:val="tx1"/>
            </w14:solidFill>
          </w14:textFill>
        </w:rPr>
        <w:t>（以下简称“甲方”）与</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（以下简称“乙方”）依照</w:t>
      </w:r>
      <w:r>
        <w:rPr>
          <w:rFonts w:hint="eastAsia" w:ascii="宋体" w:hAnsi="宋体" w:cs="宋体"/>
          <w:color w:val="000000" w:themeColor="text1"/>
          <w:sz w:val="24"/>
          <w:szCs w:val="24"/>
          <w:highlight w:val="none"/>
          <w:shd w:val="clear" w:color="auto" w:fill="FFFFFF"/>
          <w14:textFill>
            <w14:solidFill>
              <w14:schemeClr w14:val="tx1"/>
            </w14:solidFill>
          </w14:textFill>
        </w:rPr>
        <w:t>《中华人民共和国网络安全法》及相关</w:t>
      </w:r>
      <w:r>
        <w:rPr>
          <w:rFonts w:hint="eastAsia" w:ascii="宋体" w:hAnsi="宋体" w:cs="宋体"/>
          <w:color w:val="000000" w:themeColor="text1"/>
          <w:sz w:val="24"/>
          <w:szCs w:val="24"/>
          <w:highlight w:val="none"/>
          <w14:textFill>
            <w14:solidFill>
              <w14:schemeClr w14:val="tx1"/>
            </w14:solidFill>
          </w14:textFill>
        </w:rPr>
        <w:t>法律法规，就</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sz w:val="24"/>
          <w:u w:val="single"/>
          <w:lang w:eastAsia="zh-CN"/>
        </w:rPr>
        <w:t>沥滘三期无线网络建设</w:t>
      </w:r>
      <w:r>
        <w:rPr>
          <w:rFonts w:hint="eastAsia" w:ascii="宋体" w:hAnsi="宋体" w:cs="宋体"/>
          <w:color w:val="000000" w:themeColor="text1"/>
          <w:sz w:val="24"/>
          <w:szCs w:val="24"/>
          <w:highlight w:val="none"/>
          <w14:textFill>
            <w14:solidFill>
              <w14:schemeClr w14:val="tx1"/>
            </w14:solidFill>
          </w14:textFill>
        </w:rPr>
        <w:t>项目遵循平等、自愿、公平和诚实信用的原则，经双方协商一致，特订立本合同。</w:t>
      </w:r>
    </w:p>
    <w:p>
      <w:pPr>
        <w:spacing w:before="93" w:beforeLines="30" w:line="480" w:lineRule="exact"/>
        <w:ind w:firstLine="482" w:firstLineChars="200"/>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一、组成合同的文件及优先顺序</w:t>
      </w:r>
    </w:p>
    <w:p>
      <w:pPr>
        <w:spacing w:line="480" w:lineRule="exact"/>
        <w:ind w:firstLine="482"/>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 xml:space="preserve"> 下列文件（如有）均为本合同的组成部分，可视为能相互说明和补充的，如果合同文件存在歧义或相矛盾的地方，则根据以下次序判断：</w:t>
      </w:r>
    </w:p>
    <w:p>
      <w:pPr>
        <w:spacing w:line="480" w:lineRule="exact"/>
        <w:ind w:firstLine="482"/>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 xml:space="preserve">⑴ </w:t>
      </w:r>
      <w:r>
        <w:rPr>
          <w:rFonts w:hint="eastAsia" w:ascii="宋体" w:hAnsi="宋体" w:cs="宋体"/>
          <w:color w:val="000000" w:themeColor="text1"/>
          <w:sz w:val="24"/>
          <w:szCs w:val="24"/>
          <w:highlight w:val="none"/>
          <w14:textFill>
            <w14:solidFill>
              <w14:schemeClr w14:val="tx1"/>
            </w14:solidFill>
          </w14:textFill>
        </w:rPr>
        <w:t>在本合同实施过程双方签署的补充与修正文件</w:t>
      </w:r>
      <w:r>
        <w:rPr>
          <w:rFonts w:hint="eastAsia" w:ascii="宋体" w:hAnsi="宋体" w:cs="宋体"/>
          <w:bCs/>
          <w:color w:val="000000" w:themeColor="text1"/>
          <w:sz w:val="24"/>
          <w:szCs w:val="24"/>
          <w:highlight w:val="none"/>
          <w14:textFill>
            <w14:solidFill>
              <w14:schemeClr w14:val="tx1"/>
            </w14:solidFill>
          </w14:textFill>
        </w:rPr>
        <w:t>；</w:t>
      </w:r>
    </w:p>
    <w:p>
      <w:pPr>
        <w:spacing w:line="480" w:lineRule="exact"/>
        <w:ind w:firstLine="482"/>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⑵ 本合同书；</w:t>
      </w:r>
    </w:p>
    <w:p>
      <w:pPr>
        <w:spacing w:line="480" w:lineRule="exact"/>
        <w:ind w:firstLine="482"/>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 xml:space="preserve">⑶ </w:t>
      </w: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发包通知书；</w:t>
      </w:r>
    </w:p>
    <w:p>
      <w:pPr>
        <w:spacing w:line="480" w:lineRule="exact"/>
        <w:ind w:firstLine="482"/>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⑷ 询价文件；</w:t>
      </w:r>
    </w:p>
    <w:p>
      <w:pPr>
        <w:spacing w:line="480" w:lineRule="exact"/>
        <w:ind w:firstLine="482"/>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⑸ 响应文件；</w:t>
      </w:r>
    </w:p>
    <w:p>
      <w:pPr>
        <w:spacing w:line="480" w:lineRule="exact"/>
        <w:ind w:firstLine="482"/>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⑹ 标准、规范及有关技术性文件；</w:t>
      </w:r>
    </w:p>
    <w:p>
      <w:pPr>
        <w:spacing w:line="480" w:lineRule="exact"/>
        <w:ind w:firstLine="480" w:firstLineChars="2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⑺ 技术需求书</w:t>
      </w:r>
    </w:p>
    <w:p>
      <w:pPr>
        <w:spacing w:line="480" w:lineRule="exact"/>
        <w:ind w:firstLine="360" w:firstLineChars="15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（8） 本合同其他附件；</w:t>
      </w:r>
    </w:p>
    <w:p>
      <w:pPr>
        <w:spacing w:line="480" w:lineRule="exact"/>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w:t>
      </w:r>
      <w:r>
        <w:rPr>
          <w:rFonts w:hint="eastAsia" w:ascii="宋体" w:hAnsi="宋体" w:cs="宋体"/>
          <w:b/>
          <w:color w:val="000000" w:themeColor="text1"/>
          <w:sz w:val="24"/>
          <w:szCs w:val="24"/>
          <w:highlight w:val="none"/>
          <w14:textFill>
            <w14:solidFill>
              <w14:schemeClr w14:val="tx1"/>
            </w14:solidFill>
          </w14:textFill>
        </w:rPr>
        <w:t>二、服务内容及建设目标：</w:t>
      </w:r>
    </w:p>
    <w:p>
      <w:pPr>
        <w:spacing w:line="48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2.1服务内容：</w:t>
      </w:r>
      <w:r>
        <w:rPr>
          <w:rFonts w:hint="eastAsia" w:ascii="宋体" w:hAnsi="宋体" w:cs="宋体"/>
          <w:color w:val="000000" w:themeColor="text1"/>
          <w:sz w:val="24"/>
          <w:szCs w:val="24"/>
          <w:highlight w:val="none"/>
          <w:u w:val="single"/>
          <w:lang w:val="en-US" w:eastAsia="zh-CN"/>
          <w14:textFill>
            <w14:solidFill>
              <w14:schemeClr w14:val="tx1"/>
            </w14:solidFill>
          </w14:textFill>
        </w:rPr>
        <w:t>广州市净水有限公司</w:t>
      </w:r>
      <w:r>
        <w:rPr>
          <w:rFonts w:hint="eastAsia" w:ascii="宋体" w:hAnsi="宋体" w:cs="宋体"/>
          <w:sz w:val="24"/>
          <w:u w:val="single"/>
          <w:lang w:eastAsia="zh-CN"/>
        </w:rPr>
        <w:t>沥滘三期无线网络建设项目</w:t>
      </w:r>
      <w:r>
        <w:rPr>
          <w:rFonts w:hint="eastAsia" w:ascii="宋体" w:hAnsi="宋体" w:cs="宋体"/>
          <w:color w:val="000000" w:themeColor="text1"/>
          <w:sz w:val="24"/>
          <w:szCs w:val="24"/>
          <w:highlight w:val="none"/>
          <w:u w:val="single"/>
          <w14:textFill>
            <w14:solidFill>
              <w14:schemeClr w14:val="tx1"/>
            </w14:solidFill>
          </w14:textFill>
        </w:rPr>
        <w:t xml:space="preserve"> </w:t>
      </w:r>
    </w:p>
    <w:p>
      <w:pPr>
        <w:spacing w:line="480" w:lineRule="exact"/>
        <w:ind w:firstLine="480"/>
        <w:rPr>
          <w:rFonts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2.2建设目标：</w:t>
      </w:r>
      <w:bookmarkStart w:id="56" w:name="_GoBack"/>
      <w:bookmarkEnd w:id="56"/>
      <w:r>
        <w:rPr>
          <w:rFonts w:hint="eastAsia" w:ascii="宋体" w:hAnsi="宋体" w:cs="宋体"/>
          <w:color w:val="000000" w:themeColor="text1"/>
          <w:sz w:val="24"/>
          <w:szCs w:val="24"/>
          <w:highlight w:val="none"/>
          <w:u w:val="single"/>
          <w14:textFill>
            <w14:solidFill>
              <w14:schemeClr w14:val="tx1"/>
            </w14:solidFill>
          </w14:textFill>
        </w:rPr>
        <w:t>1.现场勘查,出具系统方案及布点图。2.综合布线,针对所需无线覆盖区域做网线拉通处理。主干光缆敷设：由综合楼网络机房沿电缆沟敷设一条48芯光缆至三期细格栅自控电房。分支光缆敷设：由三期细格栅自控电房分别敷设光缆至各片区终端机柜。3.无线设备安装,针对定好的无线点位,安装AP无线设备及片区终端网络机柜。4.网络进行联调测试，实现沥滘分公司地下空间的WIFI全面覆盖。</w:t>
      </w:r>
    </w:p>
    <w:p>
      <w:pPr>
        <w:spacing w:line="480" w:lineRule="exact"/>
        <w:ind w:firstLine="482"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三、建设周期及承包方式：</w:t>
      </w:r>
    </w:p>
    <w:p>
      <w:pPr>
        <w:spacing w:line="480" w:lineRule="exac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3.1建设周期：</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90天</w:t>
      </w:r>
      <w:r>
        <w:rPr>
          <w:rFonts w:hint="eastAsia" w:ascii="宋体" w:hAnsi="宋体" w:cs="宋体"/>
          <w:color w:val="000000" w:themeColor="text1"/>
          <w:sz w:val="24"/>
          <w:szCs w:val="24"/>
          <w:highlight w:val="none"/>
          <w:u w:val="single"/>
          <w14:textFill>
            <w14:solidFill>
              <w14:schemeClr w14:val="tx1"/>
            </w14:solidFill>
          </w14:textFill>
        </w:rPr>
        <w:t>。</w:t>
      </w:r>
    </w:p>
    <w:p>
      <w:pPr>
        <w:spacing w:line="480" w:lineRule="exact"/>
        <w:ind w:firstLine="480" w:firstLineChars="200"/>
        <w:outlineLvl w:val="0"/>
        <w:rPr>
          <w:rFonts w:hint="eastAsia" w:ascii="宋体" w:hAnsi="宋体" w:cs="宋体"/>
          <w:color w:val="000000" w:themeColor="text1"/>
          <w:sz w:val="24"/>
          <w:szCs w:val="24"/>
          <w:highlight w:val="none"/>
          <w:u w:val="single"/>
          <w14:textFill>
            <w14:solidFill>
              <w14:schemeClr w14:val="tx1"/>
            </w14:solidFill>
          </w14:textFill>
        </w:rPr>
      </w:pPr>
      <w:r>
        <w:rPr>
          <w:rFonts w:ascii="宋体" w:hAnsi="宋体" w:cs="宋体"/>
          <w:color w:val="000000" w:themeColor="text1"/>
          <w:sz w:val="24"/>
          <w:szCs w:val="24"/>
          <w:highlight w:val="none"/>
          <w:u w:val="single"/>
          <w14:textFill>
            <w14:solidFill>
              <w14:schemeClr w14:val="tx1"/>
            </w14:solidFill>
          </w14:textFill>
        </w:rPr>
        <w:t>3.2</w:t>
      </w:r>
      <w:r>
        <w:rPr>
          <w:rFonts w:hint="eastAsia" w:ascii="宋体" w:hAnsi="宋体" w:cs="宋体"/>
          <w:color w:val="000000" w:themeColor="text1"/>
          <w:sz w:val="24"/>
          <w:szCs w:val="24"/>
          <w:highlight w:val="none"/>
          <w:u w:val="single"/>
          <w14:textFill>
            <w14:solidFill>
              <w14:schemeClr w14:val="tx1"/>
            </w14:solidFill>
          </w14:textFill>
        </w:rPr>
        <w:t>进度要求：202</w:t>
      </w:r>
      <w:r>
        <w:rPr>
          <w:rFonts w:hint="eastAsia" w:ascii="宋体" w:hAnsi="宋体" w:cs="宋体"/>
          <w:color w:val="000000" w:themeColor="text1"/>
          <w:sz w:val="24"/>
          <w:szCs w:val="24"/>
          <w:highlight w:val="none"/>
          <w:u w:val="single"/>
          <w:lang w:val="en-US" w:eastAsia="zh-CN"/>
          <w14:textFill>
            <w14:solidFill>
              <w14:schemeClr w14:val="tx1"/>
            </w14:solidFill>
          </w14:textFill>
        </w:rPr>
        <w:t>1</w:t>
      </w:r>
      <w:r>
        <w:rPr>
          <w:rFonts w:hint="eastAsia" w:ascii="宋体" w:hAnsi="宋体" w:cs="宋体"/>
          <w:color w:val="000000" w:themeColor="text1"/>
          <w:sz w:val="24"/>
          <w:szCs w:val="24"/>
          <w:highlight w:val="none"/>
          <w:u w:val="single"/>
          <w14:textFill>
            <w14:solidFill>
              <w14:schemeClr w14:val="tx1"/>
            </w14:solidFill>
          </w14:textFill>
        </w:rPr>
        <w:t>年</w:t>
      </w:r>
      <w:r>
        <w:rPr>
          <w:rFonts w:hint="eastAsia" w:ascii="宋体" w:hAnsi="宋体" w:cs="宋体"/>
          <w:color w:val="000000" w:themeColor="text1"/>
          <w:sz w:val="24"/>
          <w:szCs w:val="24"/>
          <w:highlight w:val="none"/>
          <w:u w:val="single"/>
          <w:lang w:val="en-US" w:eastAsia="zh-CN"/>
          <w14:textFill>
            <w14:solidFill>
              <w14:schemeClr w14:val="tx1"/>
            </w14:solidFill>
          </w14:textFill>
        </w:rPr>
        <w:t>四</w:t>
      </w:r>
      <w:r>
        <w:rPr>
          <w:rFonts w:hint="eastAsia" w:ascii="宋体" w:hAnsi="宋体" w:cs="宋体"/>
          <w:color w:val="000000" w:themeColor="text1"/>
          <w:sz w:val="24"/>
          <w:szCs w:val="24"/>
          <w:highlight w:val="none"/>
          <w:u w:val="single"/>
          <w14:textFill>
            <w14:solidFill>
              <w14:schemeClr w14:val="tx1"/>
            </w14:solidFill>
          </w14:textFill>
        </w:rPr>
        <w:t>季度完成项目实施；202</w:t>
      </w:r>
      <w:r>
        <w:rPr>
          <w:rFonts w:hint="eastAsia" w:ascii="宋体" w:hAnsi="宋体" w:cs="宋体"/>
          <w:color w:val="000000" w:themeColor="text1"/>
          <w:sz w:val="24"/>
          <w:szCs w:val="24"/>
          <w:highlight w:val="none"/>
          <w:u w:val="single"/>
          <w:lang w:val="en-US" w:eastAsia="zh-CN"/>
          <w14:textFill>
            <w14:solidFill>
              <w14:schemeClr w14:val="tx1"/>
            </w14:solidFill>
          </w14:textFill>
        </w:rPr>
        <w:t>2</w:t>
      </w:r>
      <w:r>
        <w:rPr>
          <w:rFonts w:hint="eastAsia" w:ascii="宋体" w:hAnsi="宋体" w:cs="宋体"/>
          <w:color w:val="000000" w:themeColor="text1"/>
          <w:sz w:val="24"/>
          <w:szCs w:val="24"/>
          <w:highlight w:val="none"/>
          <w:u w:val="single"/>
          <w14:textFill>
            <w14:solidFill>
              <w14:schemeClr w14:val="tx1"/>
            </w14:solidFill>
          </w14:textFill>
        </w:rPr>
        <w:t>年</w:t>
      </w:r>
      <w:r>
        <w:rPr>
          <w:rFonts w:hint="eastAsia" w:ascii="宋体" w:hAnsi="宋体" w:cs="宋体"/>
          <w:color w:val="000000" w:themeColor="text1"/>
          <w:sz w:val="24"/>
          <w:szCs w:val="24"/>
          <w:highlight w:val="none"/>
          <w:u w:val="single"/>
          <w:lang w:val="en-US" w:eastAsia="zh-CN"/>
          <w14:textFill>
            <w14:solidFill>
              <w14:schemeClr w14:val="tx1"/>
            </w14:solidFill>
          </w14:textFill>
        </w:rPr>
        <w:t>三</w:t>
      </w:r>
      <w:r>
        <w:rPr>
          <w:rFonts w:hint="eastAsia" w:ascii="宋体" w:hAnsi="宋体" w:cs="宋体"/>
          <w:color w:val="000000" w:themeColor="text1"/>
          <w:sz w:val="24"/>
          <w:szCs w:val="24"/>
          <w:highlight w:val="none"/>
          <w:u w:val="single"/>
          <w14:textFill>
            <w14:solidFill>
              <w14:schemeClr w14:val="tx1"/>
            </w14:solidFill>
          </w14:textFill>
        </w:rPr>
        <w:t>季度验收和送审结算。</w:t>
      </w:r>
    </w:p>
    <w:p>
      <w:pPr>
        <w:spacing w:line="480" w:lineRule="exact"/>
        <w:ind w:firstLine="480" w:firstLineChars="200"/>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3.3承包方式按以下</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u w:val="single"/>
          <w:lang w:val="en-US" w:eastAsia="zh-CN"/>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t>执行。</w:t>
      </w:r>
    </w:p>
    <w:p>
      <w:pPr>
        <w:spacing w:line="480" w:lineRule="exact"/>
        <w:ind w:firstLine="480" w:firstLineChars="200"/>
        <w:outlineLvl w:val="0"/>
        <w:rPr>
          <w:rFonts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（1）按实际工作量结算，合同价包括且不限于：</w:t>
      </w:r>
      <w:r>
        <w:rPr>
          <w:rFonts w:hint="eastAsia" w:ascii="宋体" w:hAnsi="宋体" w:cs="宋体"/>
          <w:color w:val="000000" w:themeColor="text1"/>
          <w:sz w:val="24"/>
          <w:szCs w:val="24"/>
          <w:highlight w:val="none"/>
          <w:u w:val="single"/>
          <w14:textFill>
            <w14:solidFill>
              <w14:schemeClr w14:val="tx1"/>
            </w14:solidFill>
          </w14:textFill>
        </w:rPr>
        <w:t>系统建设、软件开发、安装实施、维修维护、培训、税费、售后服务、运维服务、人工费及因项目产生的一切可预见及不可预见的相关费用。</w:t>
      </w:r>
    </w:p>
    <w:p>
      <w:pPr>
        <w:spacing w:line="480" w:lineRule="exact"/>
        <w:ind w:firstLine="480" w:firstLineChars="200"/>
        <w:outlineLvl w:val="0"/>
        <w:rPr>
          <w:rFonts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（2）本合同为总价包干形式，合同价包括但不限于：</w:t>
      </w:r>
      <w:r>
        <w:rPr>
          <w:rFonts w:hint="eastAsia" w:ascii="宋体" w:hAnsi="宋体" w:cs="宋体"/>
          <w:color w:val="000000" w:themeColor="text1"/>
          <w:sz w:val="24"/>
          <w:szCs w:val="24"/>
          <w:highlight w:val="none"/>
          <w:u w:val="single"/>
          <w14:textFill>
            <w14:solidFill>
              <w14:schemeClr w14:val="tx1"/>
            </w14:solidFill>
          </w14:textFill>
        </w:rPr>
        <w:t>系统建设、软件开发、安装实施、维修维护、培训、税费、售后服务、运维服务、人工费及因项目产生的一切可预见及不可预见的相关费用。</w:t>
      </w:r>
    </w:p>
    <w:p>
      <w:pPr>
        <w:spacing w:line="480" w:lineRule="exact"/>
        <w:ind w:firstLine="480" w:firstLineChars="200"/>
        <w:rPr>
          <w:rFonts w:ascii="宋体" w:hAnsi="宋体" w:cs="宋体"/>
          <w:color w:val="000000" w:themeColor="text1"/>
          <w:sz w:val="24"/>
          <w:szCs w:val="24"/>
          <w:highlight w:val="none"/>
          <w14:textFill>
            <w14:solidFill>
              <w14:schemeClr w14:val="tx1"/>
            </w14:solidFill>
          </w14:textFill>
        </w:rPr>
      </w:pPr>
    </w:p>
    <w:p>
      <w:pPr>
        <w:spacing w:line="480" w:lineRule="exact"/>
        <w:ind w:firstLine="482" w:firstLineChars="200"/>
        <w:outlineLvl w:val="0"/>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四、合同价款</w:t>
      </w:r>
    </w:p>
    <w:p>
      <w:pPr>
        <w:spacing w:line="480" w:lineRule="exact"/>
        <w:ind w:firstLine="480" w:firstLineChars="200"/>
        <w:rPr>
          <w:rFonts w:ascii="宋体" w:hAnsi="宋体" w:cs="宋体"/>
          <w:bCs/>
          <w:color w:val="000000" w:themeColor="text1"/>
          <w:sz w:val="24"/>
          <w:szCs w:val="24"/>
          <w:highlight w:val="none"/>
          <w:bdr w:val="single" w:color="auto" w:sz="4" w:space="0"/>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4.1合同价款按以下</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lang w:eastAsia="zh-CN"/>
          <w14:textFill>
            <w14:solidFill>
              <w14:schemeClr w14:val="tx1"/>
            </w14:solidFill>
          </w14:textFill>
        </w:rPr>
        <w:t>（</w:t>
      </w:r>
      <w:r>
        <w:rPr>
          <w:rFonts w:hint="eastAsia" w:ascii="宋体" w:hAnsi="宋体" w:cs="宋体"/>
          <w:color w:val="000000" w:themeColor="text1"/>
          <w:sz w:val="24"/>
          <w:szCs w:val="24"/>
          <w:highlight w:val="none"/>
          <w:u w:val="single"/>
          <w:lang w:val="en-US" w:eastAsia="zh-CN"/>
          <w14:textFill>
            <w14:solidFill>
              <w14:schemeClr w14:val="tx1"/>
            </w14:solidFill>
          </w14:textFill>
        </w:rPr>
        <w:t>2）</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执行。</w:t>
      </w:r>
    </w:p>
    <w:p>
      <w:pPr>
        <w:spacing w:line="48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14:textFill>
            <w14:solidFill>
              <w14:schemeClr w14:val="tx1"/>
            </w14:solidFill>
          </w14:textFill>
        </w:rPr>
        <w:t>合同暂定总价为：</w:t>
      </w:r>
      <w:r>
        <w:rPr>
          <w:rFonts w:hint="eastAsia" w:ascii="宋体" w:hAnsi="宋体" w:cs="宋体"/>
          <w:b/>
          <w:color w:val="000000" w:themeColor="text1"/>
          <w:sz w:val="24"/>
          <w:szCs w:val="24"/>
          <w:highlight w:val="none"/>
          <w:u w:val="single"/>
          <w14:textFill>
            <w14:solidFill>
              <w14:schemeClr w14:val="tx1"/>
            </w14:solidFill>
          </w14:textFill>
        </w:rPr>
        <w:t xml:space="preserve">人民币 </w:t>
      </w:r>
      <w:r>
        <w:rPr>
          <w:rFonts w:hint="eastAsia" w:ascii="宋体" w:hAnsi="宋体" w:cs="宋体"/>
          <w:color w:val="000000" w:themeColor="text1"/>
          <w:szCs w:val="21"/>
          <w:highlight w:val="none"/>
          <w:u w:val="single"/>
          <w14:textFill>
            <w14:solidFill>
              <w14:schemeClr w14:val="tx1"/>
            </w14:solidFill>
          </w14:textFill>
        </w:rPr>
        <w:t>/</w:t>
      </w:r>
      <w:r>
        <w:rPr>
          <w:rFonts w:hint="eastAsia" w:ascii="宋体" w:hAnsi="宋体" w:cs="宋体"/>
          <w:b/>
          <w:color w:val="000000" w:themeColor="text1"/>
          <w:sz w:val="24"/>
          <w:szCs w:val="24"/>
          <w:highlight w:val="none"/>
          <w:u w:val="single"/>
          <w14:textFill>
            <w14:solidFill>
              <w14:schemeClr w14:val="tx1"/>
            </w14:solidFill>
          </w14:textFill>
        </w:rPr>
        <w:t>元</w:t>
      </w:r>
      <w:r>
        <w:rPr>
          <w:rFonts w:hint="eastAsia" w:ascii="宋体" w:hAnsi="宋体" w:cs="宋体"/>
          <w:color w:val="000000" w:themeColor="text1"/>
          <w:sz w:val="24"/>
          <w:szCs w:val="24"/>
          <w:highlight w:val="none"/>
          <w14:textFill>
            <w14:solidFill>
              <w14:schemeClr w14:val="tx1"/>
            </w14:solidFill>
          </w14:textFill>
        </w:rPr>
        <w:t>（大写:</w:t>
      </w:r>
      <w:r>
        <w:rPr>
          <w:rFonts w:hint="eastAsia" w:ascii="宋体" w:hAnsi="宋体" w:cs="宋体"/>
          <w:b/>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Cs w:val="21"/>
          <w:highlight w:val="none"/>
          <w:u w:val="single"/>
          <w14:textFill>
            <w14:solidFill>
              <w14:schemeClr w14:val="tx1"/>
            </w14:solidFill>
          </w14:textFill>
        </w:rPr>
        <w:t>/</w:t>
      </w:r>
      <w:r>
        <w:rPr>
          <w:rFonts w:hint="eastAsia" w:ascii="宋体" w:hAnsi="宋体" w:cs="宋体"/>
          <w:b/>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），按实结算。经甲方或甲方委托有资质第三方机构审核后，审核价作为合同结算价。若合同结算价超合同暂定总价，双方另行签订补充协议。</w:t>
      </w:r>
    </w:p>
    <w:p>
      <w:pPr>
        <w:spacing w:line="48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t>合同以总价包干形式，合同暂定总价为：</w:t>
      </w:r>
      <w:r>
        <w:rPr>
          <w:rFonts w:hint="eastAsia" w:ascii="宋体" w:hAnsi="宋体" w:cs="宋体"/>
          <w:b/>
          <w:color w:val="000000" w:themeColor="text1"/>
          <w:sz w:val="24"/>
          <w:szCs w:val="24"/>
          <w:highlight w:val="none"/>
          <w:u w:val="single"/>
          <w14:textFill>
            <w14:solidFill>
              <w14:schemeClr w14:val="tx1"/>
            </w14:solidFill>
          </w14:textFill>
        </w:rPr>
        <w:t>人民币</w:t>
      </w:r>
      <w:r>
        <w:rPr>
          <w:rFonts w:hint="eastAsia" w:ascii="宋体" w:hAnsi="宋体" w:cs="宋体"/>
          <w:b/>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b/>
          <w:color w:val="000000" w:themeColor="text1"/>
          <w:sz w:val="24"/>
          <w:szCs w:val="24"/>
          <w:highlight w:val="none"/>
          <w:u w:val="single"/>
          <w14:textFill>
            <w14:solidFill>
              <w14:schemeClr w14:val="tx1"/>
            </w14:solidFill>
          </w14:textFill>
        </w:rPr>
        <w:t>元</w:t>
      </w:r>
      <w:r>
        <w:rPr>
          <w:rFonts w:hint="eastAsia" w:ascii="宋体" w:hAnsi="宋体" w:cs="宋体"/>
          <w:color w:val="000000" w:themeColor="text1"/>
          <w:sz w:val="24"/>
          <w:szCs w:val="24"/>
          <w:highlight w:val="none"/>
          <w14:textFill>
            <w14:solidFill>
              <w14:schemeClr w14:val="tx1"/>
            </w14:solidFill>
          </w14:textFill>
        </w:rPr>
        <w:t>（大写:</w:t>
      </w:r>
      <w:r>
        <w:rPr>
          <w:rFonts w:hint="eastAsia" w:ascii="宋体" w:hAnsi="宋体" w:cs="宋体"/>
          <w:b/>
          <w:color w:val="000000" w:themeColor="text1"/>
          <w:sz w:val="24"/>
          <w:szCs w:val="24"/>
          <w:highlight w:val="none"/>
          <w:u w:val="single"/>
          <w14:textFill>
            <w14:solidFill>
              <w14:schemeClr w14:val="tx1"/>
            </w14:solidFill>
          </w14:textFill>
        </w:rPr>
        <w:t xml:space="preserve"> </w:t>
      </w:r>
      <w:r>
        <w:rPr>
          <w:rFonts w:hint="eastAsia" w:ascii="宋体" w:hAnsi="宋体" w:cs="宋体"/>
          <w:b/>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w:t>
      </w:r>
    </w:p>
    <w:p>
      <w:pPr>
        <w:spacing w:line="48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经甲方或甲方委托有资质第三方机构审核后，若结算审核价比合同暂定总价低，则以结算审核价作为合同结算价，否则以合同暂定总价为合同结算价。</w:t>
      </w:r>
    </w:p>
    <w:p>
      <w:pPr>
        <w:spacing w:line="480" w:lineRule="exact"/>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此费用在项目实施期间费用均不得调整。</w:t>
      </w:r>
    </w:p>
    <w:p>
      <w:pPr>
        <w:tabs>
          <w:tab w:val="left" w:pos="851"/>
        </w:tabs>
        <w:adjustRightInd w:val="0"/>
        <w:snapToGrid w:val="0"/>
        <w:spacing w:line="480" w:lineRule="exact"/>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lang w:val="zh-CN"/>
          <w14:textFill>
            <w14:solidFill>
              <w14:schemeClr w14:val="tx1"/>
            </w14:solidFill>
          </w14:textFill>
        </w:rPr>
        <w:t>4.2</w:t>
      </w:r>
      <w:r>
        <w:rPr>
          <w:rFonts w:hint="eastAsia" w:ascii="宋体" w:hAnsi="宋体" w:cs="宋体"/>
          <w:color w:val="000000" w:themeColor="text1"/>
          <w:kern w:val="0"/>
          <w:sz w:val="24"/>
          <w:szCs w:val="24"/>
          <w:highlight w:val="none"/>
          <w14:textFill>
            <w14:solidFill>
              <w14:schemeClr w14:val="tx1"/>
            </w14:solidFill>
          </w14:textFill>
        </w:rPr>
        <w:t>本合同约定的价格已含税价价格</w:t>
      </w:r>
      <w:r>
        <w:rPr>
          <w:rFonts w:hint="eastAsia" w:ascii="宋体" w:hAnsi="宋体" w:cs="宋体"/>
          <w:color w:val="000000" w:themeColor="text1"/>
          <w:sz w:val="24"/>
          <w:szCs w:val="24"/>
          <w:highlight w:val="none"/>
          <w14:textFill>
            <w14:solidFill>
              <w14:schemeClr w14:val="tx1"/>
            </w14:solidFill>
          </w14:textFill>
        </w:rPr>
        <w:t>（税率</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u w:val="singl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），合同履行期间国家税率调整或乙方开票的实际税率与前述税率不一致的，不含税价不变，价税合计按实际税率相应调整，以开具发票时间为准。</w:t>
      </w:r>
    </w:p>
    <w:p>
      <w:pPr>
        <w:pStyle w:val="31"/>
        <w:spacing w:line="480" w:lineRule="exact"/>
        <w:ind w:firstLine="480" w:firstLineChars="200"/>
        <w:rPr>
          <w:rFonts w:hint="eastAsia" w:hAnsi="宋体" w:eastAsia="宋体" w:cs="宋体"/>
          <w:color w:val="000000" w:themeColor="text1"/>
          <w:sz w:val="24"/>
          <w:szCs w:val="24"/>
          <w:highlight w:val="none"/>
          <w:lang w:val="en-US" w:eastAsia="zh-CN"/>
          <w14:textFill>
            <w14:solidFill>
              <w14:schemeClr w14:val="tx1"/>
            </w14:solidFill>
          </w14:textFill>
        </w:rPr>
      </w:pPr>
      <w:r>
        <w:rPr>
          <w:rFonts w:hint="eastAsia" w:hAnsi="宋体" w:eastAsia="宋体" w:cs="宋体"/>
          <w:color w:val="000000" w:themeColor="text1"/>
          <w:sz w:val="24"/>
          <w:szCs w:val="24"/>
          <w:highlight w:val="none"/>
          <w:lang w:val="en-US" w:eastAsia="zh-CN"/>
          <w14:textFill>
            <w14:solidFill>
              <w14:schemeClr w14:val="tx1"/>
            </w14:solidFill>
          </w14:textFill>
        </w:rPr>
        <w:t>4.3因非甲方原因引起工程量报价清单中工程量发生增减，且单个子目工程量变化幅度在5%以内（含）时，按工程量报价清单中列明的子目单价结算。否则，按新增单价执行。</w:t>
      </w:r>
    </w:p>
    <w:p>
      <w:pPr>
        <w:pStyle w:val="31"/>
        <w:spacing w:line="480" w:lineRule="exact"/>
        <w:ind w:firstLine="480" w:firstLineChars="200"/>
        <w:rPr>
          <w:rFonts w:hint="eastAsia" w:hAnsi="宋体" w:eastAsia="宋体" w:cs="宋体"/>
          <w:color w:val="000000" w:themeColor="text1"/>
          <w:sz w:val="24"/>
          <w:szCs w:val="24"/>
          <w:highlight w:val="none"/>
          <w:lang w:val="en-US" w:eastAsia="zh-CN"/>
          <w14:textFill>
            <w14:solidFill>
              <w14:schemeClr w14:val="tx1"/>
            </w14:solidFill>
          </w14:textFill>
        </w:rPr>
      </w:pPr>
      <w:r>
        <w:rPr>
          <w:rFonts w:hint="eastAsia" w:hAnsi="宋体" w:eastAsia="宋体" w:cs="宋体"/>
          <w:color w:val="000000" w:themeColor="text1"/>
          <w:sz w:val="24"/>
          <w:szCs w:val="24"/>
          <w:highlight w:val="none"/>
          <w:lang w:val="en-US" w:eastAsia="zh-CN"/>
          <w14:textFill>
            <w14:solidFill>
              <w14:schemeClr w14:val="tx1"/>
            </w14:solidFill>
          </w14:textFill>
        </w:rPr>
        <w:t>4.4合同中没有适用于变更工程项目的单价的，按新增单价执行。</w:t>
      </w:r>
    </w:p>
    <w:p>
      <w:pPr>
        <w:pStyle w:val="31"/>
        <w:spacing w:line="480" w:lineRule="exact"/>
        <w:ind w:firstLine="480" w:firstLineChars="200"/>
        <w:rPr>
          <w:rFonts w:hint="eastAsia" w:hAnsi="宋体" w:eastAsia="宋体" w:cs="宋体"/>
          <w:color w:val="000000" w:themeColor="text1"/>
          <w:sz w:val="24"/>
          <w:szCs w:val="24"/>
          <w:highlight w:val="none"/>
          <w:lang w:val="en-US" w:eastAsia="zh-CN"/>
          <w14:textFill>
            <w14:solidFill>
              <w14:schemeClr w14:val="tx1"/>
            </w14:solidFill>
          </w14:textFill>
        </w:rPr>
      </w:pPr>
      <w:r>
        <w:rPr>
          <w:rFonts w:hint="eastAsia" w:hAnsi="宋体" w:eastAsia="宋体" w:cs="宋体"/>
          <w:color w:val="000000" w:themeColor="text1"/>
          <w:sz w:val="24"/>
          <w:szCs w:val="24"/>
          <w:highlight w:val="none"/>
          <w:lang w:val="en-US" w:eastAsia="zh-CN"/>
          <w14:textFill>
            <w14:solidFill>
              <w14:schemeClr w14:val="tx1"/>
            </w14:solidFill>
          </w14:textFill>
        </w:rPr>
        <w:t>新增单价计价原则：</w:t>
      </w:r>
    </w:p>
    <w:p>
      <w:pPr>
        <w:pStyle w:val="31"/>
        <w:spacing w:line="480" w:lineRule="exact"/>
        <w:ind w:firstLine="480" w:firstLineChars="200"/>
        <w:rPr>
          <w:rFonts w:hint="eastAsia" w:hAnsi="宋体" w:eastAsia="宋体" w:cs="宋体"/>
          <w:color w:val="000000" w:themeColor="text1"/>
          <w:sz w:val="24"/>
          <w:szCs w:val="24"/>
          <w:highlight w:val="none"/>
          <w:lang w:val="en-US" w:eastAsia="zh-CN"/>
          <w14:textFill>
            <w14:solidFill>
              <w14:schemeClr w14:val="tx1"/>
            </w14:solidFill>
          </w14:textFill>
        </w:rPr>
      </w:pPr>
      <w:r>
        <w:rPr>
          <w:rFonts w:hint="eastAsia" w:hAnsi="宋体" w:eastAsia="宋体" w:cs="宋体"/>
          <w:color w:val="000000" w:themeColor="text1"/>
          <w:sz w:val="24"/>
          <w:szCs w:val="24"/>
          <w:highlight w:val="none"/>
          <w:lang w:val="en-US" w:eastAsia="zh-CN"/>
          <w14:textFill>
            <w14:solidFill>
              <w14:schemeClr w14:val="tx1"/>
            </w14:solidFill>
          </w14:textFill>
        </w:rPr>
        <w:t>1.执行《建设工程工程量清单计价规范》（GB50500-2013）及相应的各清单专业的国标工程量计算规范，套用《广东省建设工程计价依据（2018）》、《广东省房屋建筑和市政修缮工程综合定额（2012）》或其他由建设、造价主管部门发布的工程承包合同签订时广州地区适用的定额进行组价。</w:t>
      </w:r>
    </w:p>
    <w:p>
      <w:pPr>
        <w:pStyle w:val="31"/>
        <w:spacing w:line="480" w:lineRule="exact"/>
        <w:ind w:firstLine="480" w:firstLineChars="200"/>
        <w:rPr>
          <w:rFonts w:hint="eastAsia" w:hAnsi="宋体" w:eastAsia="宋体" w:cs="宋体"/>
          <w:color w:val="000000" w:themeColor="text1"/>
          <w:sz w:val="24"/>
          <w:szCs w:val="24"/>
          <w:highlight w:val="none"/>
          <w:lang w:val="en-US" w:eastAsia="zh-CN"/>
          <w14:textFill>
            <w14:solidFill>
              <w14:schemeClr w14:val="tx1"/>
            </w14:solidFill>
          </w14:textFill>
        </w:rPr>
      </w:pPr>
      <w:r>
        <w:rPr>
          <w:rFonts w:hint="eastAsia" w:hAnsi="宋体" w:eastAsia="宋体" w:cs="宋体"/>
          <w:color w:val="000000" w:themeColor="text1"/>
          <w:sz w:val="24"/>
          <w:szCs w:val="24"/>
          <w:highlight w:val="none"/>
          <w:lang w:val="en-US" w:eastAsia="zh-CN"/>
          <w14:textFill>
            <w14:solidFill>
              <w14:schemeClr w14:val="tx1"/>
            </w14:solidFill>
          </w14:textFill>
        </w:rPr>
        <w:t>2.项目计价材料、设备价格的控制：按以下顺序作为降序优先级依次采用工程开工报告中开工日期当月的下列价格：</w:t>
      </w:r>
    </w:p>
    <w:p>
      <w:pPr>
        <w:pStyle w:val="31"/>
        <w:spacing w:line="480" w:lineRule="exact"/>
        <w:ind w:firstLine="480" w:firstLineChars="200"/>
        <w:rPr>
          <w:rFonts w:hint="eastAsia" w:hAnsi="宋体" w:eastAsia="宋体" w:cs="宋体"/>
          <w:color w:val="000000" w:themeColor="text1"/>
          <w:sz w:val="24"/>
          <w:szCs w:val="24"/>
          <w:highlight w:val="none"/>
          <w:lang w:val="en-US" w:eastAsia="zh-CN"/>
          <w14:textFill>
            <w14:solidFill>
              <w14:schemeClr w14:val="tx1"/>
            </w14:solidFill>
          </w14:textFill>
        </w:rPr>
      </w:pPr>
      <w:r>
        <w:rPr>
          <w:rFonts w:hint="eastAsia" w:hAnsi="宋体" w:eastAsia="宋体" w:cs="宋体"/>
          <w:color w:val="000000" w:themeColor="text1"/>
          <w:sz w:val="24"/>
          <w:szCs w:val="24"/>
          <w:highlight w:val="none"/>
          <w:lang w:val="en-US" w:eastAsia="zh-CN"/>
          <w14:textFill>
            <w14:solidFill>
              <w14:schemeClr w14:val="tx1"/>
            </w14:solidFill>
          </w14:textFill>
        </w:rPr>
        <w:t>（1）《广州地区建设工程常用材料税前综合价格》（下称综合价格）。</w:t>
      </w:r>
    </w:p>
    <w:p>
      <w:pPr>
        <w:pStyle w:val="31"/>
        <w:spacing w:line="480" w:lineRule="exact"/>
        <w:ind w:firstLine="480" w:firstLineChars="200"/>
        <w:rPr>
          <w:rFonts w:hint="eastAsia" w:hAnsi="宋体" w:eastAsia="宋体" w:cs="宋体"/>
          <w:color w:val="000000" w:themeColor="text1"/>
          <w:sz w:val="24"/>
          <w:szCs w:val="24"/>
          <w:highlight w:val="none"/>
          <w:lang w:val="en-US" w:eastAsia="zh-CN"/>
          <w14:textFill>
            <w14:solidFill>
              <w14:schemeClr w14:val="tx1"/>
            </w14:solidFill>
          </w14:textFill>
        </w:rPr>
      </w:pPr>
      <w:r>
        <w:rPr>
          <w:rFonts w:hint="eastAsia" w:hAnsi="宋体" w:eastAsia="宋体" w:cs="宋体"/>
          <w:color w:val="000000" w:themeColor="text1"/>
          <w:sz w:val="24"/>
          <w:szCs w:val="24"/>
          <w:highlight w:val="none"/>
          <w:lang w:val="en-US" w:eastAsia="zh-CN"/>
          <w14:textFill>
            <w14:solidFill>
              <w14:schemeClr w14:val="tx1"/>
            </w14:solidFill>
          </w14:textFill>
        </w:rPr>
        <w:t>（2）《广州地区建设工程材料（设备）厂商价格信息》（下称厂商价格）下浮10-20%。</w:t>
      </w:r>
    </w:p>
    <w:p>
      <w:pPr>
        <w:pStyle w:val="31"/>
        <w:spacing w:line="480" w:lineRule="exact"/>
        <w:ind w:firstLine="480" w:firstLineChars="200"/>
        <w:rPr>
          <w:rFonts w:hint="eastAsia" w:hAnsi="宋体" w:eastAsia="宋体" w:cs="宋体"/>
          <w:color w:val="000000" w:themeColor="text1"/>
          <w:sz w:val="24"/>
          <w:szCs w:val="24"/>
          <w:highlight w:val="none"/>
          <w:lang w:val="en-US" w:eastAsia="zh-CN"/>
          <w14:textFill>
            <w14:solidFill>
              <w14:schemeClr w14:val="tx1"/>
            </w14:solidFill>
          </w14:textFill>
        </w:rPr>
      </w:pPr>
      <w:r>
        <w:rPr>
          <w:rFonts w:hint="eastAsia" w:hAnsi="宋体" w:eastAsia="宋体" w:cs="宋体"/>
          <w:color w:val="000000" w:themeColor="text1"/>
          <w:sz w:val="24"/>
          <w:szCs w:val="24"/>
          <w:highlight w:val="none"/>
          <w:lang w:val="en-US" w:eastAsia="zh-CN"/>
          <w14:textFill>
            <w14:solidFill>
              <w14:schemeClr w14:val="tx1"/>
            </w14:solidFill>
          </w14:textFill>
        </w:rPr>
        <w:t>（3）综合价格、厂商价格中缺项的，采用由北京瑞恒达建筑咨询有限公司提供服务的“慧讯网”中查到的相应材料、设备价格的工程价。</w:t>
      </w:r>
    </w:p>
    <w:p>
      <w:pPr>
        <w:pStyle w:val="31"/>
        <w:spacing w:line="480" w:lineRule="exact"/>
        <w:ind w:firstLine="480" w:firstLineChars="200"/>
        <w:rPr>
          <w:rFonts w:hint="eastAsia" w:hAnsi="宋体" w:eastAsia="宋体" w:cs="宋体"/>
          <w:color w:val="000000" w:themeColor="text1"/>
          <w:sz w:val="24"/>
          <w:szCs w:val="24"/>
          <w:highlight w:val="none"/>
          <w:lang w:val="en-US" w:eastAsia="zh-CN"/>
          <w14:textFill>
            <w14:solidFill>
              <w14:schemeClr w14:val="tx1"/>
            </w14:solidFill>
          </w14:textFill>
        </w:rPr>
      </w:pPr>
      <w:r>
        <w:rPr>
          <w:rFonts w:hint="eastAsia" w:hAnsi="宋体" w:eastAsia="宋体" w:cs="宋体"/>
          <w:color w:val="000000" w:themeColor="text1"/>
          <w:sz w:val="24"/>
          <w:szCs w:val="24"/>
          <w:highlight w:val="none"/>
          <w:lang w:val="en-US" w:eastAsia="zh-CN"/>
          <w14:textFill>
            <w14:solidFill>
              <w14:schemeClr w14:val="tx1"/>
            </w14:solidFill>
          </w14:textFill>
        </w:rPr>
        <w:t>（4）通过市场询价双方协商确定。</w:t>
      </w:r>
    </w:p>
    <w:p>
      <w:pPr>
        <w:pStyle w:val="31"/>
        <w:spacing w:line="480" w:lineRule="exact"/>
        <w:ind w:firstLine="480" w:firstLineChars="200"/>
        <w:rPr>
          <w:rFonts w:hint="eastAsia" w:hAnsi="宋体" w:eastAsia="宋体"/>
          <w:color w:val="000000" w:themeColor="text1"/>
          <w:highlight w:val="none"/>
          <w:lang w:val="en-US" w:eastAsia="zh-CN"/>
          <w14:textFill>
            <w14:solidFill>
              <w14:schemeClr w14:val="tx1"/>
            </w14:solidFill>
          </w14:textFill>
        </w:rPr>
      </w:pPr>
      <w:r>
        <w:rPr>
          <w:rFonts w:hint="eastAsia" w:hAnsi="宋体" w:eastAsia="宋体" w:cs="宋体"/>
          <w:color w:val="000000" w:themeColor="text1"/>
          <w:sz w:val="24"/>
          <w:szCs w:val="24"/>
          <w:highlight w:val="none"/>
          <w:lang w:val="en-US" w:eastAsia="zh-CN"/>
          <w14:textFill>
            <w14:solidFill>
              <w14:schemeClr w14:val="tx1"/>
            </w14:solidFill>
          </w14:textFill>
        </w:rPr>
        <w:t xml:space="preserve">  3.按1、2组价后下浮5%计取。</w:t>
      </w:r>
    </w:p>
    <w:p>
      <w:pPr>
        <w:spacing w:line="480" w:lineRule="exact"/>
        <w:ind w:firstLine="490" w:firstLineChars="200"/>
        <w:rPr>
          <w:rFonts w:ascii="宋体" w:hAnsi="宋体" w:cs="宋体"/>
          <w:b/>
          <w:color w:val="000000" w:themeColor="text1"/>
          <w:spacing w:val="2"/>
          <w:kern w:val="36"/>
          <w:position w:val="2"/>
          <w:sz w:val="24"/>
          <w:szCs w:val="24"/>
          <w:highlight w:val="none"/>
          <w14:textFill>
            <w14:solidFill>
              <w14:schemeClr w14:val="tx1"/>
            </w14:solidFill>
          </w14:textFill>
        </w:rPr>
      </w:pPr>
      <w:r>
        <w:rPr>
          <w:rFonts w:hint="eastAsia" w:ascii="宋体" w:hAnsi="宋体" w:cs="宋体"/>
          <w:b/>
          <w:color w:val="000000" w:themeColor="text1"/>
          <w:spacing w:val="2"/>
          <w:kern w:val="36"/>
          <w:position w:val="2"/>
          <w:sz w:val="24"/>
          <w:szCs w:val="24"/>
          <w:highlight w:val="none"/>
          <w14:textFill>
            <w14:solidFill>
              <w14:schemeClr w14:val="tx1"/>
            </w14:solidFill>
          </w14:textFill>
        </w:rPr>
        <w:t>五、支付方式及履约担保：</w:t>
      </w:r>
    </w:p>
    <w:p>
      <w:pPr>
        <w:spacing w:line="480" w:lineRule="exact"/>
        <w:ind w:firstLine="488"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bCs/>
          <w:color w:val="000000" w:themeColor="text1"/>
          <w:spacing w:val="2"/>
          <w:kern w:val="36"/>
          <w:position w:val="2"/>
          <w:sz w:val="24"/>
          <w:szCs w:val="24"/>
          <w:highlight w:val="none"/>
          <w14:textFill>
            <w14:solidFill>
              <w14:schemeClr w14:val="tx1"/>
            </w14:solidFill>
          </w14:textFill>
        </w:rPr>
        <w:t>5.1</w:t>
      </w:r>
      <w:r>
        <w:rPr>
          <w:rFonts w:hint="eastAsia" w:ascii="宋体" w:hAnsi="宋体" w:cs="宋体"/>
          <w:bCs/>
          <w:color w:val="000000" w:themeColor="text1"/>
          <w:sz w:val="24"/>
          <w:szCs w:val="24"/>
          <w:highlight w:val="none"/>
          <w14:textFill>
            <w14:solidFill>
              <w14:schemeClr w14:val="tx1"/>
            </w14:solidFill>
          </w14:textFill>
        </w:rPr>
        <w:t>预付款的支付：</w:t>
      </w:r>
      <w:r>
        <w:rPr>
          <w:rFonts w:hint="eastAsia" w:ascii="宋体" w:hAnsi="宋体" w:cs="宋体"/>
          <w:bCs/>
          <w:color w:val="000000" w:themeColor="text1"/>
          <w:sz w:val="24"/>
          <w:szCs w:val="24"/>
          <w:highlight w:val="none"/>
          <w14:textFill>
            <w14:solidFill>
              <w14:schemeClr w14:val="tx1"/>
            </w14:solidFill>
          </w14:textFill>
        </w:rPr>
        <w:sym w:font="Wingdings" w:char="00FE"/>
      </w:r>
      <w:r>
        <w:rPr>
          <w:rFonts w:hint="eastAsia" w:ascii="宋体" w:hAnsi="宋体" w:cs="宋体"/>
          <w:bCs/>
          <w:color w:val="000000" w:themeColor="text1"/>
          <w:sz w:val="24"/>
          <w:szCs w:val="24"/>
          <w:highlight w:val="none"/>
          <w14:textFill>
            <w14:solidFill>
              <w14:schemeClr w14:val="tx1"/>
            </w14:solidFill>
          </w14:textFill>
        </w:rPr>
        <w:t xml:space="preserve">无；     </w:t>
      </w:r>
      <w:r>
        <w:rPr>
          <w:rFonts w:hint="eastAsia" w:ascii="宋体" w:hAnsi="宋体" w:cs="宋体"/>
          <w:bCs/>
          <w:color w:val="000000" w:themeColor="text1"/>
          <w:sz w:val="24"/>
          <w:szCs w:val="24"/>
          <w:highlight w:val="none"/>
          <w14:textFill>
            <w14:solidFill>
              <w14:schemeClr w14:val="tx1"/>
            </w14:solidFill>
          </w14:textFill>
        </w:rPr>
        <w:sym w:font="Wingdings" w:char="F0A8"/>
      </w:r>
      <w:r>
        <w:rPr>
          <w:rFonts w:hint="eastAsia" w:ascii="宋体" w:hAnsi="宋体" w:cs="宋体"/>
          <w:bCs/>
          <w:color w:val="000000" w:themeColor="text1"/>
          <w:sz w:val="24"/>
          <w:szCs w:val="24"/>
          <w:highlight w:val="none"/>
          <w14:textFill>
            <w14:solidFill>
              <w14:schemeClr w14:val="tx1"/>
            </w14:solidFill>
          </w14:textFill>
        </w:rPr>
        <w:t>有，合同签订后乙方开具等额的增值税专用发票及提交履约担保（如有）后</w:t>
      </w:r>
      <w:r>
        <w:rPr>
          <w:rFonts w:hint="eastAsia" w:ascii="宋体" w:hAnsi="宋体" w:cs="宋体"/>
          <w:bCs/>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Cs w:val="21"/>
          <w:highlight w:val="none"/>
          <w:u w:val="single"/>
          <w:lang w:val="en-US" w:eastAsia="zh-CN"/>
          <w14:textFill>
            <w14:solidFill>
              <w14:schemeClr w14:val="tx1"/>
            </w14:solidFill>
          </w14:textFill>
        </w:rPr>
        <w:t>10</w:t>
      </w:r>
      <w:r>
        <w:rPr>
          <w:rFonts w:hint="eastAsia" w:ascii="宋体" w:hAnsi="宋体" w:cs="宋体"/>
          <w:bCs/>
          <w:color w:val="000000" w:themeColor="text1"/>
          <w:sz w:val="24"/>
          <w:szCs w:val="24"/>
          <w:highlight w:val="none"/>
          <w:u w:val="single"/>
          <w14:textFill>
            <w14:solidFill>
              <w14:schemeClr w14:val="tx1"/>
            </w14:solidFill>
          </w14:textFill>
        </w:rPr>
        <w:t xml:space="preserve"> </w:t>
      </w:r>
      <w:r>
        <w:rPr>
          <w:rFonts w:hint="eastAsia" w:ascii="宋体" w:hAnsi="宋体" w:cs="宋体"/>
          <w:bCs/>
          <w:color w:val="000000" w:themeColor="text1"/>
          <w:sz w:val="24"/>
          <w:szCs w:val="24"/>
          <w:highlight w:val="none"/>
          <w14:textFill>
            <w14:solidFill>
              <w14:schemeClr w14:val="tx1"/>
            </w14:solidFill>
          </w14:textFill>
        </w:rPr>
        <w:t>个工作日内，甲方支付合同</w:t>
      </w:r>
      <w:r>
        <w:rPr>
          <w:rFonts w:hint="eastAsia" w:ascii="宋体" w:hAnsi="宋体" w:cs="宋体"/>
          <w:color w:val="000000" w:themeColor="text1"/>
          <w:sz w:val="24"/>
          <w:szCs w:val="24"/>
          <w:highlight w:val="none"/>
          <w14:textFill>
            <w14:solidFill>
              <w14:schemeClr w14:val="tx1"/>
            </w14:solidFill>
          </w14:textFill>
        </w:rPr>
        <w:t>暂定总价</w:t>
      </w:r>
      <w:r>
        <w:rPr>
          <w:rFonts w:hint="eastAsia" w:ascii="宋体" w:hAnsi="宋体" w:cs="宋体"/>
          <w:bCs/>
          <w:color w:val="000000" w:themeColor="text1"/>
          <w:sz w:val="24"/>
          <w:szCs w:val="24"/>
          <w:highlight w:val="none"/>
          <w14:textFill>
            <w14:solidFill>
              <w14:schemeClr w14:val="tx1"/>
            </w14:solidFill>
          </w14:textFill>
        </w:rPr>
        <w:t>的</w:t>
      </w:r>
      <w:r>
        <w:rPr>
          <w:rFonts w:hint="eastAsia" w:ascii="宋体" w:hAnsi="宋体" w:cs="宋体"/>
          <w:bCs/>
          <w:color w:val="000000" w:themeColor="text1"/>
          <w:sz w:val="24"/>
          <w:szCs w:val="24"/>
          <w:highlight w:val="none"/>
          <w:u w:val="single"/>
          <w14:textFill>
            <w14:solidFill>
              <w14:schemeClr w14:val="tx1"/>
            </w14:solidFill>
          </w14:textFill>
        </w:rPr>
        <w:t xml:space="preserve">  （不得超过30%）  </w:t>
      </w:r>
      <w:r>
        <w:rPr>
          <w:rFonts w:hint="eastAsia" w:ascii="宋体" w:hAnsi="宋体" w:cs="宋体"/>
          <w:color w:val="000000" w:themeColor="text1"/>
          <w:sz w:val="24"/>
          <w:szCs w:val="24"/>
          <w:highlight w:val="none"/>
          <w14:textFill>
            <w14:solidFill>
              <w14:schemeClr w14:val="tx1"/>
            </w14:solidFill>
          </w14:textFill>
        </w:rPr>
        <w:t>即</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Cs w:val="21"/>
          <w:highlight w:val="none"/>
          <w:u w:val="single"/>
          <w14:textFill>
            <w14:solidFill>
              <w14:schemeClr w14:val="tx1"/>
            </w14:solidFill>
          </w14:textFill>
        </w:rPr>
        <w:t>/</w:t>
      </w:r>
      <w:r>
        <w:rPr>
          <w:rFonts w:hint="eastAsia" w:ascii="宋体" w:hAnsi="宋体" w:cs="宋体"/>
          <w:color w:val="000000" w:themeColor="text1"/>
          <w:sz w:val="24"/>
          <w:szCs w:val="24"/>
          <w:highlight w:val="none"/>
          <w:u w:val="single"/>
          <w14:textFill>
            <w14:solidFill>
              <w14:schemeClr w14:val="tx1"/>
            </w14:solidFill>
          </w14:textFill>
        </w:rPr>
        <w:t xml:space="preserve"> 元，（大写：</w:t>
      </w:r>
      <w:r>
        <w:rPr>
          <w:rFonts w:hint="eastAsia" w:ascii="宋体" w:hAnsi="宋体" w:cs="宋体"/>
          <w:color w:val="000000" w:themeColor="text1"/>
          <w:szCs w:val="21"/>
          <w:highlight w:val="none"/>
          <w:u w:val="single"/>
          <w14:textFill>
            <w14:solidFill>
              <w14:schemeClr w14:val="tx1"/>
            </w14:solidFill>
          </w14:textFill>
        </w:rPr>
        <w:t>/</w:t>
      </w:r>
      <w:r>
        <w:rPr>
          <w:rFonts w:hint="eastAsia" w:ascii="宋体" w:hAnsi="宋体" w:cs="宋体"/>
          <w:color w:val="000000" w:themeColor="text1"/>
          <w:sz w:val="24"/>
          <w:szCs w:val="24"/>
          <w:highlight w:val="none"/>
          <w:u w:val="singl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 xml:space="preserve"> </w:t>
      </w:r>
    </w:p>
    <w:p>
      <w:pPr>
        <w:spacing w:line="480" w:lineRule="exact"/>
        <w:ind w:firstLine="480" w:firstLineChars="200"/>
        <w:rPr>
          <w:rFonts w:ascii="宋体" w:hAnsi="宋体" w:cs="宋体"/>
          <w:bCs/>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5.2乙方完成</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安装</w:t>
      </w:r>
      <w:r>
        <w:rPr>
          <w:rFonts w:hint="eastAsia" w:ascii="宋体" w:hAnsi="宋体" w:cs="宋体"/>
          <w:color w:val="000000" w:themeColor="text1"/>
          <w:sz w:val="24"/>
          <w:szCs w:val="24"/>
          <w:highlight w:val="none"/>
          <w:u w:val="single"/>
          <w14:textFill>
            <w14:solidFill>
              <w14:schemeClr w14:val="tx1"/>
            </w14:solidFill>
          </w14:textFill>
        </w:rPr>
        <w:t>设备</w:t>
      </w:r>
      <w:r>
        <w:rPr>
          <w:rFonts w:hint="eastAsia" w:ascii="宋体" w:hAnsi="宋体" w:cs="宋体"/>
          <w:color w:val="000000" w:themeColor="text1"/>
          <w:sz w:val="24"/>
          <w:szCs w:val="24"/>
          <w:highlight w:val="none"/>
          <w:u w:val="single"/>
          <w:lang w:val="en-US" w:eastAsia="zh-CN"/>
          <w14:textFill>
            <w14:solidFill>
              <w14:schemeClr w14:val="tx1"/>
            </w14:solidFill>
          </w14:textFill>
        </w:rPr>
        <w:t>到货</w:t>
      </w:r>
      <w:r>
        <w:rPr>
          <w:rFonts w:hint="eastAsia" w:ascii="宋体" w:hAnsi="宋体" w:cs="宋体"/>
          <w:color w:val="000000" w:themeColor="text1"/>
          <w:sz w:val="24"/>
          <w:szCs w:val="24"/>
          <w:highlight w:val="none"/>
          <w:u w:val="single"/>
          <w14:textFill>
            <w14:solidFill>
              <w14:schemeClr w14:val="tx1"/>
            </w14:solidFill>
          </w14:textFill>
        </w:rPr>
        <w:t>且经甲方验收合格，</w:t>
      </w:r>
      <w:r>
        <w:rPr>
          <w:rFonts w:hint="eastAsia" w:ascii="宋体" w:hAnsi="宋体" w:cs="宋体"/>
          <w:color w:val="000000" w:themeColor="text1"/>
          <w:sz w:val="24"/>
          <w:szCs w:val="24"/>
          <w:highlight w:val="none"/>
          <w14:textFill>
            <w14:solidFill>
              <w14:schemeClr w14:val="tx1"/>
            </w14:solidFill>
          </w14:textFill>
        </w:rPr>
        <w:t>由乙方</w:t>
      </w:r>
      <w:r>
        <w:rPr>
          <w:rFonts w:hint="eastAsia" w:ascii="宋体" w:hAnsi="宋体" w:cs="宋体"/>
          <w:color w:val="000000" w:themeColor="text1"/>
          <w:sz w:val="24"/>
          <w:szCs w:val="24"/>
          <w:highlight w:val="none"/>
          <w:u w:val="single"/>
          <w14:textFill>
            <w14:solidFill>
              <w14:schemeClr w14:val="tx1"/>
            </w14:solidFill>
          </w14:textFill>
        </w:rPr>
        <w:t xml:space="preserve">提交申请支付资料 </w:t>
      </w:r>
      <w:r>
        <w:rPr>
          <w:rFonts w:hint="eastAsia" w:ascii="宋体" w:hAnsi="宋体" w:cs="宋体"/>
          <w:color w:val="000000" w:themeColor="text1"/>
          <w:sz w:val="24"/>
          <w:szCs w:val="24"/>
          <w:highlight w:val="none"/>
          <w:u w:val="single"/>
          <w:lang w:val="en-US" w:eastAsia="zh-CN"/>
          <w14:textFill>
            <w14:solidFill>
              <w14:schemeClr w14:val="tx1"/>
            </w14:solidFill>
          </w14:textFill>
        </w:rPr>
        <w:t>20</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个工作日内，甲方支付至合同暂定总价的</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30</w:t>
      </w:r>
      <w:r>
        <w:rPr>
          <w:rFonts w:hint="eastAsia" w:ascii="宋体" w:hAnsi="宋体" w:cs="宋体"/>
          <w:color w:val="000000" w:themeColor="text1"/>
          <w:sz w:val="24"/>
          <w:szCs w:val="24"/>
          <w:highlight w:val="none"/>
          <w:u w:val="single"/>
          <w14:textFill>
            <w14:solidFill>
              <w14:schemeClr w14:val="tx1"/>
            </w14:solidFill>
          </w14:textFill>
        </w:rPr>
        <w:t xml:space="preserve">%即 </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u w:val="single"/>
          <w14:textFill>
            <w14:solidFill>
              <w14:schemeClr w14:val="tx1"/>
            </w14:solidFill>
          </w14:textFill>
        </w:rPr>
        <w:t>元，（大写：</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u w:val="single"/>
          <w14:textFill>
            <w14:solidFill>
              <w14:schemeClr w14:val="tx1"/>
            </w14:solidFill>
          </w14:textFill>
        </w:rPr>
        <w:t>）。</w:t>
      </w:r>
    </w:p>
    <w:p>
      <w:pPr>
        <w:spacing w:line="480" w:lineRule="exact"/>
        <w:ind w:firstLine="480" w:firstLineChars="200"/>
        <w:rPr>
          <w:rFonts w:hint="eastAsia" w:ascii="宋体" w:hAnsi="宋体" w:cs="宋体"/>
          <w:color w:val="000000" w:themeColor="text1"/>
          <w:sz w:val="24"/>
          <w:szCs w:val="24"/>
          <w:highlight w:val="none"/>
          <w:u w:val="single"/>
          <w:lang w:eastAsia="zh-CN"/>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 5.3乙</w:t>
      </w:r>
      <w:r>
        <w:rPr>
          <w:rFonts w:hint="eastAsia" w:ascii="宋体" w:hAnsi="宋体" w:cs="宋体"/>
          <w:color w:val="000000" w:themeColor="text1"/>
          <w:kern w:val="0"/>
          <w:sz w:val="24"/>
          <w:szCs w:val="24"/>
          <w:highlight w:val="none"/>
          <w14:textFill>
            <w14:solidFill>
              <w14:schemeClr w14:val="tx1"/>
            </w14:solidFill>
          </w14:textFill>
        </w:rPr>
        <w:t>方完成系统建设且</w:t>
      </w:r>
      <w:r>
        <w:rPr>
          <w:rFonts w:hint="eastAsia" w:ascii="宋体" w:hAnsi="宋体" w:cs="宋体"/>
          <w:color w:val="000000" w:themeColor="text1"/>
          <w:sz w:val="24"/>
          <w:szCs w:val="24"/>
          <w:highlight w:val="none"/>
          <w:u w:val="single"/>
          <w14:textFill>
            <w14:solidFill>
              <w14:schemeClr w14:val="tx1"/>
            </w14:solidFill>
          </w14:textFill>
        </w:rPr>
        <w:t>经甲方</w:t>
      </w:r>
      <w:r>
        <w:rPr>
          <w:rFonts w:hint="eastAsia" w:ascii="宋体" w:hAnsi="宋体" w:cs="宋体"/>
          <w:color w:val="000000" w:themeColor="text1"/>
          <w:kern w:val="0"/>
          <w:sz w:val="24"/>
          <w:szCs w:val="24"/>
          <w:highlight w:val="none"/>
          <w14:textFill>
            <w14:solidFill>
              <w14:schemeClr w14:val="tx1"/>
            </w14:solidFill>
          </w14:textFill>
        </w:rPr>
        <w:t xml:space="preserve">验收合格后 </w:t>
      </w:r>
      <w:r>
        <w:rPr>
          <w:rFonts w:hint="eastAsia" w:ascii="宋体" w:hAnsi="宋体" w:cs="宋体"/>
          <w:color w:val="000000" w:themeColor="text1"/>
          <w:kern w:val="0"/>
          <w:sz w:val="24"/>
          <w:szCs w:val="24"/>
          <w:highlight w:val="none"/>
          <w:u w:val="single"/>
          <w:lang w:val="en-US" w:eastAsia="zh-CN"/>
          <w14:textFill>
            <w14:solidFill>
              <w14:schemeClr w14:val="tx1"/>
            </w14:solidFill>
          </w14:textFill>
        </w:rPr>
        <w:t>15</w:t>
      </w:r>
      <w:r>
        <w:rPr>
          <w:rFonts w:hint="eastAsia" w:ascii="宋体" w:hAnsi="宋体" w:cs="宋体"/>
          <w:color w:val="000000" w:themeColor="text1"/>
          <w:kern w:val="0"/>
          <w:sz w:val="24"/>
          <w:szCs w:val="24"/>
          <w:highlight w:val="none"/>
          <w14:textFill>
            <w14:solidFill>
              <w14:schemeClr w14:val="tx1"/>
            </w14:solidFill>
          </w14:textFill>
        </w:rPr>
        <w:t>日内，乙方提交工作总结报告，</w:t>
      </w:r>
      <w:r>
        <w:rPr>
          <w:rFonts w:hint="eastAsia" w:ascii="宋体" w:hAnsi="宋体" w:cs="宋体"/>
          <w:color w:val="000000" w:themeColor="text1"/>
          <w:sz w:val="24"/>
          <w:szCs w:val="24"/>
          <w:highlight w:val="none"/>
          <w14:textFill>
            <w14:solidFill>
              <w14:schemeClr w14:val="tx1"/>
            </w14:solidFill>
          </w14:textFill>
        </w:rPr>
        <w:t>经</w:t>
      </w:r>
      <w:r>
        <w:rPr>
          <w:rFonts w:hint="eastAsia" w:ascii="宋体" w:hAnsi="宋体" w:cs="宋体"/>
          <w:color w:val="000000" w:themeColor="text1"/>
          <w:sz w:val="24"/>
          <w:szCs w:val="24"/>
          <w:highlight w:val="none"/>
          <w:u w:val="single"/>
          <w14:textFill>
            <w14:solidFill>
              <w14:schemeClr w14:val="tx1"/>
            </w14:solidFill>
          </w14:textFill>
        </w:rPr>
        <w:t>甲方或甲方委托有资质第三方机构结算审核</w:t>
      </w:r>
      <w:r>
        <w:rPr>
          <w:rFonts w:hint="eastAsia" w:ascii="宋体" w:hAnsi="宋体" w:cs="宋体"/>
          <w:color w:val="000000" w:themeColor="text1"/>
          <w:sz w:val="24"/>
          <w:szCs w:val="24"/>
          <w:highlight w:val="none"/>
          <w14:textFill>
            <w14:solidFill>
              <w14:schemeClr w14:val="tx1"/>
            </w14:solidFill>
          </w14:textFill>
        </w:rPr>
        <w:t>后，由乙方提交申请支付资料</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15</w:t>
      </w:r>
      <w:r>
        <w:rPr>
          <w:rFonts w:hint="eastAsia" w:ascii="宋体" w:hAnsi="宋体" w:cs="宋体"/>
          <w:color w:val="000000" w:themeColor="text1"/>
          <w:sz w:val="24"/>
          <w:szCs w:val="24"/>
          <w:highlight w:val="none"/>
          <w14:textFill>
            <w14:solidFill>
              <w14:schemeClr w14:val="tx1"/>
            </w14:solidFill>
          </w14:textFill>
        </w:rPr>
        <w:t>个工作日内，甲方支付至合同结算价的</w:t>
      </w:r>
      <w:r>
        <w:rPr>
          <w:rFonts w:hint="eastAsia" w:ascii="宋体" w:hAnsi="宋体" w:cs="宋体"/>
          <w:color w:val="000000" w:themeColor="text1"/>
          <w:sz w:val="24"/>
          <w:szCs w:val="24"/>
          <w:highlight w:val="none"/>
          <w:u w:val="single"/>
          <w14:textFill>
            <w14:solidFill>
              <w14:schemeClr w14:val="tx1"/>
            </w14:solidFill>
          </w14:textFill>
        </w:rPr>
        <w:t>95%</w:t>
      </w:r>
      <w:r>
        <w:rPr>
          <w:rFonts w:hint="eastAsia" w:ascii="宋体" w:hAnsi="宋体" w:cs="宋体"/>
          <w:color w:val="000000" w:themeColor="text1"/>
          <w:sz w:val="24"/>
          <w:szCs w:val="24"/>
          <w:highlight w:val="none"/>
          <w:u w:val="single"/>
          <w:lang w:eastAsia="zh-CN"/>
          <w14:textFill>
            <w14:solidFill>
              <w14:schemeClr w14:val="tx1"/>
            </w14:solidFill>
          </w14:textFill>
        </w:rPr>
        <w:t>。</w:t>
      </w:r>
    </w:p>
    <w:p>
      <w:pPr>
        <w:spacing w:line="480" w:lineRule="exact"/>
        <w:ind w:firstLine="480" w:firstLineChars="200"/>
        <w:outlineLvl w:val="1"/>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5.4 按合同约定完成</w:t>
      </w:r>
      <w:r>
        <w:rPr>
          <w:rFonts w:hint="eastAsia" w:ascii="宋体" w:hAnsi="宋体" w:cs="宋体"/>
          <w:color w:val="000000" w:themeColor="text1"/>
          <w:sz w:val="24"/>
          <w:szCs w:val="24"/>
          <w:highlight w:val="none"/>
          <w:u w:val="single"/>
          <w14:textFill>
            <w14:solidFill>
              <w14:schemeClr w14:val="tx1"/>
            </w14:solidFill>
          </w14:textFill>
        </w:rPr>
        <w:t>质量保修期</w:t>
      </w:r>
      <w:r>
        <w:rPr>
          <w:rFonts w:hint="eastAsia" w:ascii="宋体" w:hAnsi="宋体" w:cs="宋体"/>
          <w:color w:val="000000" w:themeColor="text1"/>
          <w:sz w:val="24"/>
          <w:szCs w:val="24"/>
          <w:highlight w:val="none"/>
          <w14:textFill>
            <w14:solidFill>
              <w14:schemeClr w14:val="tx1"/>
            </w14:solidFill>
          </w14:textFill>
        </w:rPr>
        <w:t>满后且乙方不存在违约情形，由乙方提交申请支付资料</w:t>
      </w:r>
      <w:r>
        <w:rPr>
          <w:rFonts w:hint="eastAsia" w:ascii="宋体" w:hAnsi="宋体" w:cs="宋体"/>
          <w:color w:val="000000" w:themeColor="text1"/>
          <w:sz w:val="24"/>
          <w:szCs w:val="24"/>
          <w:highlight w:val="none"/>
          <w:u w:val="single"/>
          <w14:textFill>
            <w14:solidFill>
              <w14:schemeClr w14:val="tx1"/>
            </w14:solidFill>
          </w14:textFill>
        </w:rPr>
        <w:t xml:space="preserve"> 15 </w:t>
      </w:r>
      <w:r>
        <w:rPr>
          <w:rFonts w:hint="eastAsia" w:ascii="宋体" w:hAnsi="宋体" w:cs="宋体"/>
          <w:color w:val="000000" w:themeColor="text1"/>
          <w:sz w:val="24"/>
          <w:szCs w:val="24"/>
          <w:highlight w:val="none"/>
          <w14:textFill>
            <w14:solidFill>
              <w14:schemeClr w14:val="tx1"/>
            </w14:solidFill>
          </w14:textFill>
        </w:rPr>
        <w:t>个工作日内，甲方支付合同结算价的5％给乙方（无息）。</w:t>
      </w:r>
    </w:p>
    <w:p>
      <w:pPr>
        <w:spacing w:line="480" w:lineRule="exact"/>
        <w:ind w:firstLine="56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5.5如乙方应向甲方支付违约金、赔偿款或者其他款项，应当在接到甲方通知后</w:t>
      </w:r>
      <w:r>
        <w:rPr>
          <w:rFonts w:hint="eastAsia" w:ascii="宋体" w:hAnsi="宋体" w:cs="宋体"/>
          <w:color w:val="000000" w:themeColor="text1"/>
          <w:sz w:val="24"/>
          <w:szCs w:val="24"/>
          <w:highlight w:val="none"/>
          <w:u w:val="single"/>
          <w14:textFill>
            <w14:solidFill>
              <w14:schemeClr w14:val="tx1"/>
            </w14:solidFill>
          </w14:textFill>
        </w:rPr>
        <w:t>30</w:t>
      </w:r>
      <w:r>
        <w:rPr>
          <w:rFonts w:hint="eastAsia" w:ascii="宋体" w:hAnsi="宋体" w:cs="宋体"/>
          <w:color w:val="000000" w:themeColor="text1"/>
          <w:sz w:val="24"/>
          <w:szCs w:val="24"/>
          <w:highlight w:val="none"/>
          <w14:textFill>
            <w14:solidFill>
              <w14:schemeClr w14:val="tx1"/>
            </w14:solidFill>
          </w14:textFill>
        </w:rPr>
        <w:t>日内付清，甲方有权直接从应付款项中抵扣。</w:t>
      </w:r>
    </w:p>
    <w:p>
      <w:pPr>
        <w:spacing w:line="48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5.6乙方收款账户：</w:t>
      </w:r>
      <w:r>
        <w:rPr>
          <w:rFonts w:hint="eastAsia" w:ascii="宋体" w:hAnsi="宋体" w:cs="宋体"/>
          <w:color w:val="000000" w:themeColor="text1"/>
          <w:sz w:val="24"/>
          <w:szCs w:val="24"/>
          <w:highlight w:val="none"/>
          <w:u w:val="single"/>
          <w14:textFill>
            <w14:solidFill>
              <w14:schemeClr w14:val="tx1"/>
            </w14:solidFill>
          </w14:textFill>
        </w:rPr>
        <w:t xml:space="preserve">     …                      </w:t>
      </w:r>
      <w:r>
        <w:rPr>
          <w:rFonts w:hint="eastAsia" w:ascii="宋体" w:hAnsi="宋体" w:cs="宋体"/>
          <w:color w:val="000000" w:themeColor="text1"/>
          <w:sz w:val="24"/>
          <w:szCs w:val="24"/>
          <w:highlight w:val="none"/>
          <w14:textFill>
            <w14:solidFill>
              <w14:schemeClr w14:val="tx1"/>
            </w14:solidFill>
          </w14:textFill>
        </w:rPr>
        <w:t>；</w:t>
      </w:r>
    </w:p>
    <w:p>
      <w:pPr>
        <w:spacing w:line="480" w:lineRule="exact"/>
        <w:ind w:firstLine="840" w:firstLineChars="35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收款账号：</w:t>
      </w:r>
      <w:r>
        <w:rPr>
          <w:rFonts w:hint="eastAsia" w:ascii="宋体" w:hAnsi="宋体" w:cs="宋体"/>
          <w:color w:val="000000" w:themeColor="text1"/>
          <w:sz w:val="24"/>
          <w:szCs w:val="24"/>
          <w:highlight w:val="none"/>
          <w:u w:val="single"/>
          <w14:textFill>
            <w14:solidFill>
              <w14:schemeClr w14:val="tx1"/>
            </w14:solidFill>
          </w14:textFill>
        </w:rPr>
        <w:t xml:space="preserve">          …                   </w:t>
      </w:r>
      <w:r>
        <w:rPr>
          <w:rFonts w:hint="eastAsia" w:ascii="宋体" w:hAnsi="宋体" w:cs="宋体"/>
          <w:color w:val="000000" w:themeColor="text1"/>
          <w:sz w:val="24"/>
          <w:szCs w:val="24"/>
          <w:highlight w:val="none"/>
          <w14:textFill>
            <w14:solidFill>
              <w14:schemeClr w14:val="tx1"/>
            </w14:solidFill>
          </w14:textFill>
        </w:rPr>
        <w:t>；</w:t>
      </w:r>
    </w:p>
    <w:p>
      <w:pPr>
        <w:spacing w:line="480" w:lineRule="exact"/>
        <w:ind w:firstLine="840" w:firstLineChars="35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开户行：</w:t>
      </w:r>
      <w:r>
        <w:rPr>
          <w:rFonts w:hint="eastAsia" w:ascii="宋体" w:hAnsi="宋体" w:cs="宋体"/>
          <w:color w:val="000000" w:themeColor="text1"/>
          <w:sz w:val="24"/>
          <w:szCs w:val="24"/>
          <w:highlight w:val="none"/>
          <w:u w:val="single"/>
          <w14:textFill>
            <w14:solidFill>
              <w14:schemeClr w14:val="tx1"/>
            </w14:solidFill>
          </w14:textFill>
        </w:rPr>
        <w:t xml:space="preserve">              …                 </w:t>
      </w:r>
      <w:r>
        <w:rPr>
          <w:rFonts w:hint="eastAsia" w:ascii="宋体" w:hAnsi="宋体" w:cs="宋体"/>
          <w:color w:val="000000" w:themeColor="text1"/>
          <w:sz w:val="24"/>
          <w:szCs w:val="24"/>
          <w:highlight w:val="none"/>
          <w14:textFill>
            <w14:solidFill>
              <w14:schemeClr w14:val="tx1"/>
            </w14:solidFill>
          </w14:textFill>
        </w:rPr>
        <w:t>；</w:t>
      </w:r>
    </w:p>
    <w:p>
      <w:pPr>
        <w:spacing w:line="480" w:lineRule="exact"/>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5.7乙方在收款前需提交等额增值税专用发票给甲方。增值税专用发票信息： </w:t>
      </w:r>
    </w:p>
    <w:p>
      <w:pPr>
        <w:spacing w:line="384"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名称：广州市净水有限公司</w:t>
      </w:r>
    </w:p>
    <w:p>
      <w:pPr>
        <w:spacing w:line="384"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税号：</w:t>
      </w:r>
      <w:r>
        <w:rPr>
          <w:rFonts w:hint="eastAsia" w:ascii="宋体" w:hAnsi="宋体" w:cs="宋体"/>
          <w:color w:val="000000" w:themeColor="text1"/>
          <w:sz w:val="24"/>
          <w:u w:val="single"/>
          <w14:textFill>
            <w14:solidFill>
              <w14:schemeClr w14:val="tx1"/>
            </w14:solidFill>
          </w14:textFill>
        </w:rPr>
        <w:t>91440101755584729Q</w:t>
      </w:r>
    </w:p>
    <w:p>
      <w:pPr>
        <w:spacing w:line="384" w:lineRule="auto"/>
        <w:ind w:firstLine="960" w:firstLineChars="4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地址：</w:t>
      </w:r>
      <w:r>
        <w:rPr>
          <w:rFonts w:hint="eastAsia" w:ascii="宋体" w:hAnsi="宋体" w:cs="宋体"/>
          <w:color w:val="000000" w:themeColor="text1"/>
          <w:sz w:val="24"/>
          <w:u w:val="single"/>
          <w14:textFill>
            <w14:solidFill>
              <w14:schemeClr w14:val="tx1"/>
            </w14:solidFill>
          </w14:textFill>
        </w:rPr>
        <w:t>广州市天河区临江大道501号</w:t>
      </w:r>
    </w:p>
    <w:p>
      <w:pPr>
        <w:spacing w:line="384" w:lineRule="auto"/>
        <w:ind w:firstLine="960" w:firstLineChars="400"/>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联系电话：020-38890283</w:t>
      </w:r>
    </w:p>
    <w:p>
      <w:pPr>
        <w:spacing w:line="480" w:lineRule="exact"/>
        <w:ind w:firstLine="480" w:firstLineChars="200"/>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5.8履约担保：</w:t>
      </w:r>
      <w:r>
        <w:rPr>
          <w:rFonts w:hint="eastAsia" w:ascii="宋体" w:hAnsi="宋体" w:cs="宋体"/>
          <w:color w:val="000000" w:themeColor="text1"/>
          <w:sz w:val="24"/>
          <w:szCs w:val="24"/>
          <w:highlight w:val="none"/>
          <w14:textFill>
            <w14:solidFill>
              <w14:schemeClr w14:val="tx1"/>
            </w14:solidFill>
          </w14:textFill>
        </w:rPr>
        <w:sym w:font="Wingdings 2" w:char="0052"/>
      </w:r>
      <w:r>
        <w:rPr>
          <w:rFonts w:hint="eastAsia" w:ascii="宋体" w:hAnsi="宋体" w:cs="宋体"/>
          <w:bCs/>
          <w:color w:val="000000" w:themeColor="text1"/>
          <w:sz w:val="24"/>
          <w:szCs w:val="24"/>
          <w:highlight w:val="none"/>
          <w14:textFill>
            <w14:solidFill>
              <w14:schemeClr w14:val="tx1"/>
            </w14:solidFill>
          </w14:textFill>
        </w:rPr>
        <w:t xml:space="preserve">无；     </w:t>
      </w:r>
      <w:r>
        <w:rPr>
          <w:rFonts w:hint="eastAsia" w:ascii="宋体" w:hAnsi="宋体" w:cs="宋体"/>
          <w:color w:val="000000" w:themeColor="text1"/>
          <w:sz w:val="24"/>
          <w:szCs w:val="24"/>
          <w:highlight w:val="none"/>
          <w14:textFill>
            <w14:solidFill>
              <w14:schemeClr w14:val="tx1"/>
            </w14:solidFill>
          </w14:textFill>
        </w:rPr>
        <w:sym w:font="Wingdings 2" w:char="00A3"/>
      </w:r>
      <w:r>
        <w:rPr>
          <w:rFonts w:hint="eastAsia" w:ascii="宋体" w:hAnsi="宋体" w:cs="宋体"/>
          <w:color w:val="000000" w:themeColor="text1"/>
          <w:sz w:val="24"/>
          <w:szCs w:val="24"/>
          <w:highlight w:val="none"/>
          <w14:textFill>
            <w14:solidFill>
              <w14:schemeClr w14:val="tx1"/>
            </w14:solidFill>
          </w14:textFill>
        </w:rPr>
        <w:t>有，</w:t>
      </w:r>
      <w:r>
        <w:rPr>
          <w:rFonts w:hint="eastAsia" w:ascii="宋体" w:hAnsi="宋体" w:cs="宋体"/>
          <w:color w:val="000000" w:themeColor="text1"/>
          <w:sz w:val="24"/>
          <w:szCs w:val="24"/>
          <w:highlight w:val="none"/>
          <w:lang w:val="en-US" w:eastAsia="zh-CN"/>
          <w14:textFill>
            <w14:solidFill>
              <w14:schemeClr w14:val="tx1"/>
            </w14:solidFill>
          </w14:textFill>
        </w:rPr>
        <w:t>乙方于</w:t>
      </w:r>
      <w:r>
        <w:rPr>
          <w:rFonts w:hint="eastAsia" w:ascii="宋体" w:hAnsi="宋体" w:cs="宋体"/>
          <w:color w:val="000000" w:themeColor="text1"/>
          <w:sz w:val="24"/>
          <w:szCs w:val="24"/>
          <w:highlight w:val="none"/>
          <w14:textFill>
            <w14:solidFill>
              <w14:schemeClr w14:val="tx1"/>
            </w14:solidFill>
          </w14:textFill>
        </w:rPr>
        <w:t>本合同签订后</w:t>
      </w:r>
      <w:r>
        <w:rPr>
          <w:rFonts w:hint="eastAsia" w:ascii="宋体" w:hAnsi="宋体" w:cs="宋体"/>
          <w:color w:val="000000" w:themeColor="text1"/>
          <w:sz w:val="24"/>
          <w:szCs w:val="24"/>
          <w:highlight w:val="none"/>
          <w:u w:val="single"/>
          <w14:textFill>
            <w14:solidFill>
              <w14:schemeClr w14:val="tx1"/>
            </w14:solidFill>
          </w14:textFill>
        </w:rPr>
        <w:t>10</w:t>
      </w:r>
      <w:r>
        <w:rPr>
          <w:rFonts w:hint="eastAsia" w:ascii="宋体" w:hAnsi="宋体" w:cs="宋体"/>
          <w:color w:val="000000" w:themeColor="text1"/>
          <w:sz w:val="24"/>
          <w:szCs w:val="24"/>
          <w:highlight w:val="none"/>
          <w14:textFill>
            <w14:solidFill>
              <w14:schemeClr w14:val="tx1"/>
            </w14:solidFill>
          </w14:textFill>
        </w:rPr>
        <w:t>日内</w:t>
      </w:r>
      <w:r>
        <w:rPr>
          <w:rFonts w:hint="eastAsia" w:ascii="宋体" w:hAnsi="宋体" w:cs="宋体"/>
          <w:color w:val="000000" w:themeColor="text1"/>
          <w:sz w:val="24"/>
          <w:szCs w:val="24"/>
          <w:highlight w:val="none"/>
          <w:u w:val="single"/>
          <w:lang w:val="en-US" w:eastAsia="zh-CN"/>
          <w14:textFill>
            <w14:solidFill>
              <w14:schemeClr w14:val="tx1"/>
            </w14:solidFill>
          </w14:textFill>
        </w:rPr>
        <w:t>按照</w:t>
      </w:r>
      <w:r>
        <w:rPr>
          <w:rFonts w:hint="eastAsia" w:ascii="宋体" w:hAnsi="宋体" w:cs="宋体"/>
          <w:color w:val="000000" w:themeColor="text1"/>
          <w:sz w:val="24"/>
          <w:szCs w:val="24"/>
          <w:highlight w:val="none"/>
          <w:u w:val="single"/>
          <w14:textFill>
            <w14:solidFill>
              <w14:schemeClr w14:val="tx1"/>
            </w14:solidFill>
          </w14:textFill>
        </w:rPr>
        <w:t>合同暂定总价的10%</w:t>
      </w:r>
      <w:r>
        <w:rPr>
          <w:rFonts w:hint="eastAsia" w:ascii="宋体" w:hAnsi="宋体" w:cs="宋体"/>
          <w:color w:val="000000" w:themeColor="text1"/>
          <w:sz w:val="24"/>
          <w:szCs w:val="24"/>
          <w:highlight w:val="none"/>
          <w:u w:val="single"/>
          <w:lang w:val="en-US" w:eastAsia="zh-CN"/>
          <w14:textFill>
            <w14:solidFill>
              <w14:schemeClr w14:val="tx1"/>
            </w14:solidFill>
          </w14:textFill>
        </w:rPr>
        <w:t>提交</w:t>
      </w:r>
      <w:r>
        <w:rPr>
          <w:rFonts w:hint="eastAsia" w:ascii="宋体" w:hAnsi="宋体" w:cs="宋体"/>
          <w:color w:val="000000" w:themeColor="text1"/>
          <w:sz w:val="24"/>
          <w:szCs w:val="24"/>
          <w:highlight w:val="none"/>
          <w:u w:val="single"/>
          <w14:textFill>
            <w14:solidFill>
              <w14:schemeClr w14:val="tx1"/>
            </w14:solidFill>
          </w14:textFill>
        </w:rPr>
        <w:t>履约保证金，</w:t>
      </w:r>
      <w:r>
        <w:rPr>
          <w:rFonts w:hint="eastAsia" w:ascii="宋体" w:hAnsi="宋体" w:cs="宋体"/>
          <w:color w:val="000000" w:themeColor="text1"/>
          <w:sz w:val="24"/>
          <w:szCs w:val="24"/>
          <w:highlight w:val="none"/>
          <w14:textFill>
            <w14:solidFill>
              <w14:schemeClr w14:val="tx1"/>
            </w14:solidFill>
          </w14:textFill>
        </w:rPr>
        <w:t>金额：</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Cs w:val="21"/>
          <w:highlight w:val="none"/>
          <w:u w:val="single"/>
          <w14:textFill>
            <w14:solidFill>
              <w14:schemeClr w14:val="tx1"/>
            </w14:solidFill>
          </w14:textFill>
        </w:rPr>
        <w:t>/</w:t>
      </w:r>
      <w:r>
        <w:rPr>
          <w:rFonts w:hint="eastAsia" w:ascii="宋体" w:hAnsi="宋体" w:cs="宋体"/>
          <w:color w:val="000000" w:themeColor="text1"/>
          <w:sz w:val="24"/>
          <w:szCs w:val="24"/>
          <w:highlight w:val="none"/>
          <w:u w:val="single"/>
          <w14:textFill>
            <w14:solidFill>
              <w14:schemeClr w14:val="tx1"/>
            </w14:solidFill>
          </w14:textFill>
        </w:rPr>
        <w:t>（大写人民币：</w:t>
      </w:r>
      <w:r>
        <w:rPr>
          <w:rFonts w:hint="eastAsia" w:ascii="宋体" w:hAnsi="宋体" w:cs="宋体"/>
          <w:color w:val="000000" w:themeColor="text1"/>
          <w:szCs w:val="21"/>
          <w:highlight w:val="none"/>
          <w:u w:val="single"/>
          <w14:textFill>
            <w14:solidFill>
              <w14:schemeClr w14:val="tx1"/>
            </w14:solidFill>
          </w14:textFill>
        </w:rPr>
        <w:t>/</w:t>
      </w:r>
      <w:r>
        <w:rPr>
          <w:rFonts w:hint="eastAsia" w:ascii="宋体" w:hAnsi="宋体" w:cs="宋体"/>
          <w:color w:val="000000" w:themeColor="text1"/>
          <w:sz w:val="24"/>
          <w:szCs w:val="24"/>
          <w:highlight w:val="none"/>
          <w:u w:val="singl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未按时提供的，甲方有权解除合同并要求乙方支付</w:t>
      </w:r>
      <w:r>
        <w:rPr>
          <w:rFonts w:hint="eastAsia" w:ascii="宋体" w:hAnsi="宋体" w:cs="宋体"/>
          <w:color w:val="000000" w:themeColor="text1"/>
          <w:sz w:val="24"/>
          <w:szCs w:val="24"/>
          <w:highlight w:val="none"/>
          <w:u w:val="single"/>
          <w14:textFill>
            <w14:solidFill>
              <w14:schemeClr w14:val="tx1"/>
            </w14:solidFill>
          </w14:textFill>
        </w:rPr>
        <w:t>合同暂定总价20%</w:t>
      </w:r>
      <w:r>
        <w:rPr>
          <w:rFonts w:hint="eastAsia" w:ascii="宋体" w:hAnsi="宋体" w:cs="宋体"/>
          <w:color w:val="000000" w:themeColor="text1"/>
          <w:sz w:val="24"/>
          <w:szCs w:val="24"/>
          <w:highlight w:val="none"/>
          <w14:textFill>
            <w14:solidFill>
              <w14:schemeClr w14:val="tx1"/>
            </w14:solidFill>
          </w14:textFill>
        </w:rPr>
        <w:t>作为违约金。</w:t>
      </w:r>
    </w:p>
    <w:p>
      <w:pPr>
        <w:pStyle w:val="21"/>
        <w:spacing w:before="156" w:beforeAutospacing="0" w:after="156" w:afterAutospacing="0" w:line="480" w:lineRule="exact"/>
        <w:ind w:firstLine="480" w:firstLineChars="200"/>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5.8.1履约担保按以下任一种形式提供：</w:t>
      </w:r>
    </w:p>
    <w:p>
      <w:pPr>
        <w:pStyle w:val="21"/>
        <w:spacing w:before="156" w:beforeAutospacing="0" w:after="156" w:afterAutospacing="0" w:line="480" w:lineRule="exact"/>
        <w:ind w:firstLine="480"/>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（1）符合甲方要求（详见附件</w:t>
      </w:r>
      <w:r>
        <w:rPr>
          <w:rFonts w:hint="eastAsia" w:cs="宋体"/>
          <w:color w:val="000000" w:themeColor="text1"/>
          <w:highlight w:val="none"/>
          <w:lang w:val="en-US" w:eastAsia="zh-CN"/>
          <w14:textFill>
            <w14:solidFill>
              <w14:schemeClr w14:val="tx1"/>
            </w14:solidFill>
          </w14:textFill>
        </w:rPr>
        <w:t>8</w:t>
      </w:r>
      <w:r>
        <w:rPr>
          <w:rFonts w:hint="eastAsia" w:cs="宋体"/>
          <w:color w:val="000000" w:themeColor="text1"/>
          <w:highlight w:val="none"/>
          <w14:textFill>
            <w14:solidFill>
              <w14:schemeClr w14:val="tx1"/>
            </w14:solidFill>
          </w14:textFill>
        </w:rPr>
        <w:t>保函格式）的银行独立保函，</w:t>
      </w:r>
    </w:p>
    <w:p>
      <w:pPr>
        <w:pStyle w:val="21"/>
        <w:spacing w:before="156" w:beforeAutospacing="0" w:after="156" w:afterAutospacing="0" w:line="480" w:lineRule="exact"/>
        <w:ind w:firstLine="480"/>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（2）现金转账至甲方以下指定账户：</w:t>
      </w:r>
    </w:p>
    <w:p>
      <w:pPr>
        <w:tabs>
          <w:tab w:val="left" w:pos="1995"/>
        </w:tabs>
        <w:spacing w:line="480" w:lineRule="exact"/>
        <w:ind w:firstLine="480" w:firstLineChars="2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户名：广州市净水有限公司</w:t>
      </w:r>
    </w:p>
    <w:p>
      <w:pPr>
        <w:tabs>
          <w:tab w:val="left" w:pos="1995"/>
        </w:tabs>
        <w:spacing w:line="480" w:lineRule="exact"/>
        <w:ind w:firstLine="480" w:firstLineChars="2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账号：82010154900000342</w:t>
      </w:r>
    </w:p>
    <w:p>
      <w:pPr>
        <w:tabs>
          <w:tab w:val="left" w:pos="1995"/>
        </w:tabs>
        <w:spacing w:line="480" w:lineRule="exact"/>
        <w:ind w:firstLine="480" w:firstLineChars="2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开户行：浦发银行广州分行</w:t>
      </w:r>
    </w:p>
    <w:p>
      <w:pPr>
        <w:spacing w:line="480" w:lineRule="exact"/>
        <w:ind w:firstLine="480" w:firstLineChars="200"/>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5.8.2履约担保的担保期限和返还</w:t>
      </w:r>
    </w:p>
    <w:p>
      <w:pPr>
        <w:spacing w:line="480" w:lineRule="exact"/>
        <w:ind w:firstLine="480"/>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 ⑴ 履约银行保函（或现金履约保证金）的担保期限：从提供履约担保（或转账成功）之日起至合同履行完成。</w:t>
      </w:r>
    </w:p>
    <w:p>
      <w:pPr>
        <w:spacing w:line="48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 ⑵ 履约银行保函在合同履行完成后，由乙方提出申请，甲方在28日内返还，不支付利息： </w:t>
      </w:r>
    </w:p>
    <w:p>
      <w:pPr>
        <w:spacing w:line="480" w:lineRule="exact"/>
        <w:ind w:firstLine="600" w:firstLineChars="250"/>
        <w:outlineLvl w:val="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⑶ 延长担保期限。乙方以履约银行保函形式提交履约保证金的，在银行保函到期前，乙方应提前</w:t>
      </w:r>
      <w:r>
        <w:rPr>
          <w:rFonts w:hint="eastAsia" w:ascii="宋体" w:hAnsi="宋体" w:cs="宋体"/>
          <w:color w:val="000000" w:themeColor="text1"/>
          <w:sz w:val="24"/>
          <w:szCs w:val="24"/>
          <w:highlight w:val="none"/>
          <w:u w:val="single"/>
          <w14:textFill>
            <w14:solidFill>
              <w14:schemeClr w14:val="tx1"/>
            </w14:solidFill>
          </w14:textFill>
        </w:rPr>
        <w:t xml:space="preserve"> 7 </w:t>
      </w:r>
      <w:r>
        <w:rPr>
          <w:rFonts w:hint="eastAsia" w:ascii="宋体" w:hAnsi="宋体" w:cs="宋体"/>
          <w:color w:val="000000" w:themeColor="text1"/>
          <w:sz w:val="24"/>
          <w:szCs w:val="24"/>
          <w:highlight w:val="none"/>
          <w14:textFill>
            <w14:solidFill>
              <w14:schemeClr w14:val="tx1"/>
            </w14:solidFill>
          </w14:textFill>
        </w:rPr>
        <w:t>日向甲方提交新的保函以替换即将到期的保函。如乙方未及时提交的，甲方有权直接要求担保银行支付其担保的全部金额并解除合同。</w:t>
      </w:r>
    </w:p>
    <w:p>
      <w:pPr>
        <w:pStyle w:val="21"/>
        <w:spacing w:before="156" w:beforeAutospacing="0" w:after="156" w:afterAutospacing="0" w:line="480" w:lineRule="exact"/>
        <w:ind w:left="199" w:leftChars="95" w:firstLine="360" w:firstLineChars="150"/>
        <w:rPr>
          <w:rFonts w:cs="宋体"/>
          <w:color w:val="000000" w:themeColor="text1"/>
          <w:highlight w:val="none"/>
          <w:u w:val="single"/>
          <w14:textFill>
            <w14:solidFill>
              <w14:schemeClr w14:val="tx1"/>
            </w14:solidFill>
          </w14:textFill>
        </w:rPr>
      </w:pPr>
      <w:r>
        <w:rPr>
          <w:rFonts w:hint="eastAsia" w:cs="宋体"/>
          <w:color w:val="000000" w:themeColor="text1"/>
          <w:highlight w:val="none"/>
          <w14:textFill>
            <w14:solidFill>
              <w14:schemeClr w14:val="tx1"/>
            </w14:solidFill>
          </w14:textFill>
        </w:rPr>
        <w:t>（4）现金履约保证金的退还：合同履行完成后，由乙方提出申请，甲方在</w:t>
      </w:r>
      <w:r>
        <w:rPr>
          <w:rFonts w:hint="eastAsia" w:cs="宋体"/>
          <w:color w:val="000000" w:themeColor="text1"/>
          <w:highlight w:val="none"/>
          <w:u w:val="single"/>
          <w14:textFill>
            <w14:solidFill>
              <w14:schemeClr w14:val="tx1"/>
            </w14:solidFill>
          </w14:textFill>
        </w:rPr>
        <w:t>28日</w:t>
      </w:r>
      <w:r>
        <w:rPr>
          <w:rFonts w:hint="eastAsia" w:cs="宋体"/>
          <w:color w:val="000000" w:themeColor="text1"/>
          <w:highlight w:val="none"/>
          <w14:textFill>
            <w14:solidFill>
              <w14:schemeClr w14:val="tx1"/>
            </w14:solidFill>
          </w14:textFill>
        </w:rPr>
        <w:t>内将剩余保证金（无息）返还。</w:t>
      </w:r>
    </w:p>
    <w:p>
      <w:pPr>
        <w:spacing w:line="48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5.8.3甲方按本合同规定提取履约担保金额后，乙方应在收到甲方通知后</w:t>
      </w:r>
    </w:p>
    <w:p>
      <w:pPr>
        <w:spacing w:line="480" w:lineRule="exac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u w:val="single"/>
          <w14:textFill>
            <w14:solidFill>
              <w14:schemeClr w14:val="tx1"/>
            </w14:solidFill>
          </w14:textFill>
        </w:rPr>
        <w:t>7</w:t>
      </w:r>
      <w:r>
        <w:rPr>
          <w:rFonts w:hint="eastAsia" w:ascii="宋体" w:hAnsi="宋体" w:cs="宋体"/>
          <w:color w:val="000000" w:themeColor="text1"/>
          <w:sz w:val="24"/>
          <w:szCs w:val="24"/>
          <w:highlight w:val="none"/>
          <w14:textFill>
            <w14:solidFill>
              <w14:schemeClr w14:val="tx1"/>
            </w14:solidFill>
          </w14:textFill>
        </w:rPr>
        <w:t>日内补足数额，逾期未补足的，则甲方有权提取履约担保的全部余额并解除合同。</w:t>
      </w:r>
    </w:p>
    <w:p>
      <w:pPr>
        <w:tabs>
          <w:tab w:val="left" w:pos="851"/>
        </w:tabs>
        <w:adjustRightInd w:val="0"/>
        <w:snapToGrid w:val="0"/>
        <w:spacing w:line="480" w:lineRule="exact"/>
        <w:ind w:firstLine="480" w:firstLineChars="200"/>
        <w:jc w:val="left"/>
        <w:outlineLvl w:val="1"/>
        <w:rPr>
          <w:rFonts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5.9付款方式： </w:t>
      </w:r>
      <w:r>
        <w:rPr>
          <w:rFonts w:hint="eastAsia" w:ascii="宋体" w:hAnsi="宋体" w:cs="宋体"/>
          <w:color w:val="000000" w:themeColor="text1"/>
          <w:sz w:val="24"/>
          <w:szCs w:val="24"/>
          <w:highlight w:val="none"/>
          <w14:textFill>
            <w14:solidFill>
              <w14:schemeClr w14:val="tx1"/>
            </w14:solidFill>
          </w14:textFill>
        </w:rPr>
        <w:sym w:font="Wingdings" w:char="00FE"/>
      </w:r>
      <w:r>
        <w:rPr>
          <w:rFonts w:hint="eastAsia" w:ascii="宋体" w:hAnsi="宋体" w:cs="宋体"/>
          <w:color w:val="000000" w:themeColor="text1"/>
          <w:sz w:val="24"/>
          <w:szCs w:val="24"/>
          <w:highlight w:val="none"/>
          <w14:textFill>
            <w14:solidFill>
              <w14:schemeClr w14:val="tx1"/>
            </w14:solidFill>
          </w14:textFill>
        </w:rPr>
        <w:t xml:space="preserve">网银支付；  </w:t>
      </w:r>
      <w:r>
        <w:rPr>
          <w:rFonts w:hint="eastAsia" w:ascii="宋体" w:hAnsi="宋体" w:cs="宋体"/>
          <w:color w:val="000000" w:themeColor="text1"/>
          <w:sz w:val="24"/>
          <w:szCs w:val="24"/>
          <w:highlight w:val="none"/>
          <w14:textFill>
            <w14:solidFill>
              <w14:schemeClr w14:val="tx1"/>
            </w14:solidFill>
          </w14:textFill>
        </w:rPr>
        <w:sym w:font="Wingdings" w:char="00A8"/>
      </w:r>
      <w:r>
        <w:rPr>
          <w:rFonts w:hint="eastAsia" w:ascii="宋体" w:hAnsi="宋体" w:cs="宋体"/>
          <w:color w:val="000000" w:themeColor="text1"/>
          <w:sz w:val="24"/>
          <w:szCs w:val="24"/>
          <w:highlight w:val="none"/>
          <w14:textFill>
            <w14:solidFill>
              <w14:schemeClr w14:val="tx1"/>
            </w14:solidFill>
          </w14:textFill>
        </w:rPr>
        <w:t xml:space="preserve">支票；   </w:t>
      </w:r>
      <w:r>
        <w:rPr>
          <w:rFonts w:hint="eastAsia" w:ascii="宋体" w:hAnsi="宋体" w:cs="宋体"/>
          <w:color w:val="000000" w:themeColor="text1"/>
          <w:sz w:val="24"/>
          <w:szCs w:val="24"/>
          <w:highlight w:val="none"/>
          <w14:textFill>
            <w14:solidFill>
              <w14:schemeClr w14:val="tx1"/>
            </w14:solidFill>
          </w14:textFill>
        </w:rPr>
        <w:sym w:font="Wingdings" w:char="00A8"/>
      </w:r>
      <w:r>
        <w:rPr>
          <w:rFonts w:hint="eastAsia" w:ascii="宋体" w:hAnsi="宋体" w:cs="宋体"/>
          <w:color w:val="000000" w:themeColor="text1"/>
          <w:sz w:val="24"/>
          <w:szCs w:val="24"/>
          <w:highlight w:val="none"/>
          <w14:textFill>
            <w14:solidFill>
              <w14:schemeClr w14:val="tx1"/>
            </w14:solidFill>
          </w14:textFill>
        </w:rPr>
        <w:t>其他：</w:t>
      </w:r>
      <w:r>
        <w:rPr>
          <w:rFonts w:hint="eastAsia" w:ascii="宋体" w:hAnsi="宋体" w:cs="宋体"/>
          <w:color w:val="000000" w:themeColor="text1"/>
          <w:sz w:val="24"/>
          <w:szCs w:val="24"/>
          <w:highlight w:val="none"/>
          <w:u w:val="single"/>
          <w14:textFill>
            <w14:solidFill>
              <w14:schemeClr w14:val="tx1"/>
            </w14:solidFill>
          </w14:textFill>
        </w:rPr>
        <w:t xml:space="preserve"> … </w:t>
      </w:r>
    </w:p>
    <w:p>
      <w:pPr>
        <w:tabs>
          <w:tab w:val="left" w:pos="851"/>
        </w:tabs>
        <w:adjustRightInd w:val="0"/>
        <w:snapToGrid w:val="0"/>
        <w:spacing w:line="480" w:lineRule="exact"/>
        <w:ind w:firstLine="480" w:firstLineChars="200"/>
        <w:jc w:val="left"/>
        <w:outlineLvl w:val="1"/>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（建议采用网银支付、支票两种形式中之一）</w:t>
      </w:r>
    </w:p>
    <w:p>
      <w:pPr>
        <w:adjustRightInd/>
        <w:snapToGrid/>
        <w:spacing w:line="480" w:lineRule="exact"/>
        <w:ind w:firstLine="480" w:firstLineChars="200"/>
        <w:jc w:val="left"/>
        <w:outlineLvl w:val="9"/>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5.10</w:t>
      </w:r>
      <w:r>
        <w:rPr>
          <w:rFonts w:hint="eastAsia" w:ascii="宋体" w:hAnsi="宋体" w:cs="宋体"/>
          <w:color w:val="000000" w:themeColor="text1"/>
          <w:sz w:val="24"/>
          <w:szCs w:val="24"/>
          <w:highlight w:val="none"/>
          <w:u w:val="none"/>
          <w14:textFill>
            <w14:solidFill>
              <w14:schemeClr w14:val="tx1"/>
            </w14:solidFill>
          </w14:textFill>
        </w:rPr>
        <w:t>结算价超过合同暂定总价时，暂停合同的工程款支付程序，签订补充协议后支付</w:t>
      </w:r>
      <w:r>
        <w:rPr>
          <w:rFonts w:hint="eastAsia" w:ascii="宋体" w:hAnsi="宋体" w:cs="宋体"/>
          <w:color w:val="000000" w:themeColor="text1"/>
          <w:sz w:val="24"/>
          <w:szCs w:val="24"/>
          <w:highlight w:val="none"/>
          <w14:textFill>
            <w14:solidFill>
              <w14:schemeClr w14:val="tx1"/>
            </w14:solidFill>
          </w14:textFill>
        </w:rPr>
        <w:t>。</w:t>
      </w:r>
    </w:p>
    <w:p>
      <w:pPr>
        <w:spacing w:line="480" w:lineRule="exact"/>
        <w:ind w:firstLine="492"/>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六、验收标准及双方责任：</w:t>
      </w:r>
    </w:p>
    <w:p>
      <w:pPr>
        <w:tabs>
          <w:tab w:val="left" w:pos="2670"/>
        </w:tabs>
        <w:spacing w:line="480" w:lineRule="exact"/>
        <w:ind w:firstLine="480" w:firstLineChars="200"/>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6.1.质量及验收标准及项目相关过程资料及成果、培训、实施、维修、维护：见《技术需求书》。</w:t>
      </w:r>
    </w:p>
    <w:p>
      <w:pPr>
        <w:spacing w:line="480" w:lineRule="exact"/>
        <w:ind w:firstLine="480" w:firstLineChars="200"/>
        <w:rPr>
          <w:rFonts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6.2项目验收合格后，乙方提供 </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1</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 xml:space="preserve"> 年</w:t>
      </w:r>
      <w:r>
        <w:rPr>
          <w:rFonts w:hint="eastAsia" w:ascii="宋体" w:hAnsi="宋体" w:cs="宋体"/>
          <w:color w:val="000000" w:themeColor="text1"/>
          <w:sz w:val="24"/>
          <w:szCs w:val="24"/>
          <w:highlight w:val="none"/>
          <w:u w:val="single"/>
          <w14:textFill>
            <w14:solidFill>
              <w14:schemeClr w14:val="tx1"/>
            </w14:solidFill>
          </w14:textFill>
        </w:rPr>
        <w:t>售后服务</w:t>
      </w:r>
      <w:r>
        <w:rPr>
          <w:rFonts w:hint="eastAsia" w:ascii="宋体" w:hAnsi="宋体" w:cs="宋体"/>
          <w:color w:val="000000" w:themeColor="text1"/>
          <w:sz w:val="24"/>
          <w:szCs w:val="24"/>
          <w:highlight w:val="none"/>
          <w:u w:val="single"/>
          <w:lang w:eastAsia="zh-CN"/>
          <w14:textFill>
            <w14:solidFill>
              <w14:schemeClr w14:val="tx1"/>
            </w14:solidFill>
          </w14:textFill>
        </w:rPr>
        <w:t>、</w:t>
      </w:r>
      <w:r>
        <w:rPr>
          <w:rFonts w:hint="eastAsia" w:ascii="宋体" w:hAnsi="宋体" w:cs="宋体"/>
          <w:color w:val="000000" w:themeColor="text1"/>
          <w:sz w:val="24"/>
          <w:szCs w:val="24"/>
          <w:highlight w:val="none"/>
          <w:u w:val="single"/>
          <w14:textFill>
            <w14:solidFill>
              <w14:schemeClr w14:val="tx1"/>
            </w14:solidFill>
          </w14:textFill>
        </w:rPr>
        <w:t>质量保修</w:t>
      </w:r>
      <w:r>
        <w:rPr>
          <w:rFonts w:hint="eastAsia" w:ascii="宋体" w:hAnsi="宋体" w:cs="宋体"/>
          <w:color w:val="000000" w:themeColor="text1"/>
          <w:sz w:val="24"/>
          <w:szCs w:val="24"/>
          <w:highlight w:val="none"/>
          <w14:textFill>
            <w14:solidFill>
              <w14:schemeClr w14:val="tx1"/>
            </w14:solidFill>
          </w14:textFill>
        </w:rPr>
        <w:t>，服务内容如下：</w:t>
      </w:r>
      <w:r>
        <w:rPr>
          <w:rFonts w:hint="eastAsia" w:ascii="宋体" w:hAnsi="宋体" w:cs="宋体"/>
          <w:color w:val="000000" w:themeColor="text1"/>
          <w:sz w:val="24"/>
          <w:szCs w:val="24"/>
          <w:highlight w:val="none"/>
          <w:u w:val="single"/>
          <w14:textFill>
            <w14:solidFill>
              <w14:schemeClr w14:val="tx1"/>
            </w14:solidFill>
          </w14:textFill>
        </w:rPr>
        <w:t xml:space="preserve">沥滘三期无线网络建设项目如系统发现故障时，乙方在收到通知 </w:t>
      </w:r>
      <w:r>
        <w:rPr>
          <w:rFonts w:hint="eastAsia" w:ascii="宋体" w:hAnsi="宋体" w:cs="宋体"/>
          <w:color w:val="000000" w:themeColor="text1"/>
          <w:sz w:val="24"/>
          <w:szCs w:val="24"/>
          <w:highlight w:val="none"/>
          <w:u w:val="single"/>
          <w:lang w:val="en-US" w:eastAsia="zh-CN"/>
          <w14:textFill>
            <w14:solidFill>
              <w14:schemeClr w14:val="tx1"/>
            </w14:solidFill>
          </w14:textFill>
        </w:rPr>
        <w:t>48</w:t>
      </w:r>
      <w:r>
        <w:rPr>
          <w:rFonts w:hint="eastAsia" w:ascii="宋体" w:hAnsi="宋体" w:cs="宋体"/>
          <w:color w:val="000000" w:themeColor="text1"/>
          <w:sz w:val="24"/>
          <w:szCs w:val="24"/>
          <w:highlight w:val="none"/>
          <w:u w:val="single"/>
          <w14:textFill>
            <w14:solidFill>
              <w14:schemeClr w14:val="tx1"/>
            </w14:solidFill>
          </w14:textFill>
        </w:rPr>
        <w:t>小时内提供维护，并排除故障。如现场无法解决的，应同步出具应急方案，并配合甲方启动应急方案，确保甲方信息系统正常运行。</w:t>
      </w:r>
    </w:p>
    <w:p>
      <w:pPr>
        <w:spacing w:line="48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6.3项目系统软件升级</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u w:val="single"/>
          <w14:textFill>
            <w14:solidFill>
              <w14:schemeClr w14:val="tx1"/>
            </w14:solidFill>
          </w14:textFill>
        </w:rPr>
        <w:t>乙方应无偿提供升级版本和相应的支持服务。系统软件升级后，乙方应提供软件的培训服务</w:t>
      </w:r>
      <w:r>
        <w:rPr>
          <w:rFonts w:hint="eastAsia" w:ascii="宋体" w:hAnsi="宋体" w:cs="宋体"/>
          <w:color w:val="000000" w:themeColor="text1"/>
          <w:sz w:val="24"/>
          <w:szCs w:val="24"/>
          <w:highlight w:val="none"/>
          <w14:textFill>
            <w14:solidFill>
              <w14:schemeClr w14:val="tx1"/>
            </w14:solidFill>
          </w14:textFill>
        </w:rPr>
        <w:t>。</w:t>
      </w:r>
    </w:p>
    <w:p>
      <w:pPr>
        <w:pStyle w:val="58"/>
        <w:spacing w:line="480" w:lineRule="exact"/>
        <w:ind w:firstLine="48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6.4乙方不得传播公司内部网络、服务器、应用系统等有关的资料。</w:t>
      </w:r>
    </w:p>
    <w:p>
      <w:pPr>
        <w:spacing w:line="48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6.5乙方履行合同时，应严格遵守国家法律法规和甲方相关的各项规章</w:t>
      </w:r>
    </w:p>
    <w:p>
      <w:pPr>
        <w:spacing w:line="480" w:lineRule="exac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制度，服从甲方管理指挥。乙方不按规范作业或者乙方原因造成的</w:t>
      </w:r>
      <w:r>
        <w:rPr>
          <w:rFonts w:hint="eastAsia" w:ascii="宋体" w:hAnsi="宋体" w:eastAsia="宋体"/>
          <w:color w:val="000000" w:themeColor="text1"/>
          <w:sz w:val="24"/>
          <w:szCs w:val="24"/>
          <w:highlight w:val="none"/>
          <w14:textFill>
            <w14:solidFill>
              <w14:schemeClr w14:val="tx1"/>
            </w14:solidFill>
          </w14:textFill>
        </w:rPr>
        <w:t>财产损失、</w:t>
      </w:r>
      <w:r>
        <w:rPr>
          <w:rFonts w:hint="eastAsia" w:ascii="宋体" w:hAnsi="宋体" w:cs="宋体"/>
          <w:color w:val="000000" w:themeColor="text1"/>
          <w:sz w:val="24"/>
          <w:szCs w:val="24"/>
          <w:highlight w:val="none"/>
          <w14:textFill>
            <w14:solidFill>
              <w14:schemeClr w14:val="tx1"/>
            </w14:solidFill>
          </w14:textFill>
        </w:rPr>
        <w:t>人员伤亡，由乙方自行承担责任。</w:t>
      </w:r>
    </w:p>
    <w:p>
      <w:pPr>
        <w:spacing w:line="48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6.6乙方需在甲方机房内作业，应提前告知甲方，且在约定时间、区域内进行，不得在机房内随意走动，随意翻看资料，随意使用其它计算机及附属设备，禁止进行与作业无关的任何其它（包括且不限于携带无关设备、工具、器材、人员等）事情。</w:t>
      </w:r>
    </w:p>
    <w:p>
      <w:pPr>
        <w:spacing w:line="48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6.7乙方严禁对甲方机房物理空间结构、计算机设备、消防设施、文档资料等进行拍照或摄像，严禁将涉密的各种资料或介质私自携带出去。 </w:t>
      </w:r>
    </w:p>
    <w:p>
      <w:pPr>
        <w:spacing w:line="48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6.8乙方严禁擅自安装、拆卸、调整、挪动任何设备。 </w:t>
      </w:r>
    </w:p>
    <w:p>
      <w:pPr>
        <w:spacing w:line="48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6.9乙方人员在甲方机房内进行设备安装调试，必须严格按照甲方有关规定、流程、项目要求进行。设备必须安装在甲方指定位置，设备摆置及接线走向必须符合机房标准。设备安装过程中产生的废弃物应及时妥善处理，不得存留甲方机房。</w:t>
      </w:r>
    </w:p>
    <w:p>
      <w:pPr>
        <w:adjustRightInd w:val="0"/>
        <w:spacing w:line="480" w:lineRule="exact"/>
        <w:ind w:firstLine="560"/>
        <w:textAlignment w:val="baseline"/>
        <w:rPr>
          <w:rFonts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6.10驻场服务</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u w:val="single"/>
          <w14:textFill>
            <w14:solidFill>
              <w14:schemeClr w14:val="tx1"/>
            </w14:solidFill>
          </w14:textFill>
        </w:rPr>
        <w:t>乙方</w:t>
      </w:r>
      <w:r>
        <w:rPr>
          <w:rFonts w:hint="eastAsia" w:ascii="宋体" w:hAnsi="宋体" w:cs="宋体"/>
          <w:color w:val="000000" w:themeColor="text1"/>
          <w:sz w:val="24"/>
          <w:szCs w:val="24"/>
          <w:highlight w:val="none"/>
          <w:u w:val="single"/>
          <w:lang w:val="en-US" w:eastAsia="zh-CN"/>
          <w14:textFill>
            <w14:solidFill>
              <w14:schemeClr w14:val="tx1"/>
            </w14:solidFill>
          </w14:textFill>
        </w:rPr>
        <w:t>若需</w:t>
      </w:r>
      <w:r>
        <w:rPr>
          <w:rFonts w:hint="eastAsia" w:ascii="宋体" w:hAnsi="宋体" w:cs="宋体"/>
          <w:color w:val="000000" w:themeColor="text1"/>
          <w:sz w:val="24"/>
          <w:szCs w:val="24"/>
          <w:highlight w:val="none"/>
          <w:u w:val="single"/>
          <w14:textFill>
            <w14:solidFill>
              <w14:schemeClr w14:val="tx1"/>
            </w14:solidFill>
          </w14:textFill>
        </w:rPr>
        <w:t>提供驻场服务</w:t>
      </w:r>
      <w:r>
        <w:rPr>
          <w:rFonts w:hint="eastAsia" w:ascii="宋体" w:hAnsi="宋体" w:cs="宋体"/>
          <w:color w:val="000000" w:themeColor="text1"/>
          <w:sz w:val="24"/>
          <w:szCs w:val="24"/>
          <w:highlight w:val="none"/>
          <w:u w:val="single"/>
          <w:lang w:val="en-US" w:eastAsia="zh-CN"/>
          <w14:textFill>
            <w14:solidFill>
              <w14:schemeClr w14:val="tx1"/>
            </w14:solidFill>
          </w14:textFill>
        </w:rPr>
        <w:t>时</w:t>
      </w:r>
      <w:r>
        <w:rPr>
          <w:rFonts w:hint="eastAsia" w:ascii="宋体" w:hAnsi="宋体" w:cs="宋体"/>
          <w:color w:val="000000" w:themeColor="text1"/>
          <w:sz w:val="24"/>
          <w:szCs w:val="24"/>
          <w:highlight w:val="none"/>
          <w:u w:val="single"/>
          <w14:textFill>
            <w14:solidFill>
              <w14:schemeClr w14:val="tx1"/>
            </w14:solidFill>
          </w14:textFill>
        </w:rPr>
        <w:t>，驻场人员不得少于</w:t>
      </w:r>
      <w:r>
        <w:rPr>
          <w:rFonts w:hint="eastAsia" w:ascii="宋体" w:hAnsi="宋体" w:cs="宋体"/>
          <w:color w:val="000000" w:themeColor="text1"/>
          <w:sz w:val="24"/>
          <w:szCs w:val="24"/>
          <w:highlight w:val="none"/>
          <w:u w:val="single"/>
          <w:lang w:val="en-US" w:eastAsia="zh-CN"/>
          <w14:textFill>
            <w14:solidFill>
              <w14:schemeClr w14:val="tx1"/>
            </w14:solidFill>
          </w14:textFill>
        </w:rPr>
        <w:t>2</w:t>
      </w:r>
      <w:r>
        <w:rPr>
          <w:rFonts w:hint="eastAsia" w:ascii="宋体" w:hAnsi="宋体" w:cs="宋体"/>
          <w:color w:val="000000" w:themeColor="text1"/>
          <w:sz w:val="24"/>
          <w:szCs w:val="24"/>
          <w:highlight w:val="none"/>
          <w:u w:val="single"/>
          <w14:textFill>
            <w14:solidFill>
              <w14:schemeClr w14:val="tx1"/>
            </w14:solidFill>
          </w14:textFill>
        </w:rPr>
        <w:t>名。</w:t>
      </w:r>
    </w:p>
    <w:p>
      <w:pPr>
        <w:adjustRightInd w:val="0"/>
        <w:spacing w:line="480" w:lineRule="exact"/>
        <w:ind w:firstLine="560"/>
        <w:textAlignment w:val="baseline"/>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6.11乙方应及时做好软件、数据备份，防止数据丢失。</w:t>
      </w:r>
    </w:p>
    <w:p>
      <w:pPr>
        <w:adjustRightInd w:val="0"/>
        <w:spacing w:line="480" w:lineRule="exact"/>
        <w:ind w:firstLine="560"/>
        <w:textAlignment w:val="baseline"/>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6.12乙方应按甲方要求提供专项培训。</w:t>
      </w:r>
    </w:p>
    <w:p>
      <w:pPr>
        <w:spacing w:line="480" w:lineRule="exact"/>
        <w:ind w:firstLine="241" w:firstLineChars="100"/>
        <w:rPr>
          <w:rFonts w:ascii="宋体" w:hAnsi="宋体" w:cs="宋体"/>
          <w:b/>
          <w:color w:val="000000" w:themeColor="text1"/>
          <w:kern w:val="0"/>
          <w:sz w:val="24"/>
          <w:szCs w:val="24"/>
          <w:highlight w:val="none"/>
          <w14:textFill>
            <w14:solidFill>
              <w14:schemeClr w14:val="tx1"/>
            </w14:solidFill>
          </w14:textFill>
        </w:rPr>
      </w:pPr>
      <w:r>
        <w:rPr>
          <w:rFonts w:hint="eastAsia" w:ascii="宋体" w:hAnsi="宋体" w:cs="宋体"/>
          <w:b/>
          <w:color w:val="000000" w:themeColor="text1"/>
          <w:kern w:val="0"/>
          <w:sz w:val="24"/>
          <w:szCs w:val="24"/>
          <w:highlight w:val="none"/>
          <w14:textFill>
            <w14:solidFill>
              <w14:schemeClr w14:val="tx1"/>
            </w14:solidFill>
          </w14:textFill>
        </w:rPr>
        <w:t>七、知识产权</w:t>
      </w:r>
    </w:p>
    <w:p>
      <w:pPr>
        <w:widowControl/>
        <w:spacing w:line="480" w:lineRule="exact"/>
        <w:ind w:firstLine="424" w:firstLineChars="177"/>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7.1依本合同提供的服务和成果产品上的技术、知识和程序有关的任何构想、概念或其他的知识产权（无论是否是为客户所开发）属于甲乙双方共同所有。甲方可以在客户化软件的基础上书写或开发衍生产品或其他产品。未经甲方事先书面许可，乙方不得将为甲方开发的系统及软件用于本合同目的之外。</w:t>
      </w:r>
    </w:p>
    <w:p>
      <w:pPr>
        <w:spacing w:line="480" w:lineRule="exact"/>
        <w:ind w:firstLine="424" w:firstLineChars="177"/>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7.2乙方保证成果产品不侵犯或不构成对任何第三方的知识产权的侵犯或不正当使用。如果任何第三方对成果产品的权利或利益提出主张，或声称成果产品侵犯或不正当使用其知识产权而起诉甲方，乙方应当就上述主张和诉讼对甲方进行赔偿、为甲方辩护并保证甲方不受损害。</w:t>
      </w:r>
    </w:p>
    <w:p>
      <w:pPr>
        <w:spacing w:line="480" w:lineRule="exact"/>
        <w:ind w:firstLine="424" w:firstLineChars="177"/>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7.3未经甲方书面许可或授权，乙方不得使用甲方的商标、商号和标志（合称“标识”）。</w:t>
      </w:r>
    </w:p>
    <w:p>
      <w:pPr>
        <w:spacing w:line="480" w:lineRule="exact"/>
        <w:ind w:firstLine="424" w:firstLineChars="177"/>
        <w:rPr>
          <w:rFonts w:ascii="宋体" w:hAnsi="宋体" w:cs="宋体"/>
          <w:bCs/>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7.4乙方应向甲方提供所有必要的协助，以帮助甲方保护其对成果产品以及成果产品中使用的标识享有的权利和利益以及就上述权利或利益进行辩护。</w:t>
      </w:r>
    </w:p>
    <w:p>
      <w:pPr>
        <w:spacing w:line="480" w:lineRule="exact"/>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　　八、权利与义务 ：</w:t>
      </w:r>
    </w:p>
    <w:p>
      <w:pPr>
        <w:spacing w:line="480" w:lineRule="exac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除本合同其他条款约定的权利、义务外，双方约定如下：</w:t>
      </w:r>
    </w:p>
    <w:p>
      <w:pPr>
        <w:spacing w:line="480" w:lineRule="exact"/>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　　8.1甲方的权利与义务：</w:t>
      </w:r>
    </w:p>
    <w:p>
      <w:pPr>
        <w:spacing w:line="48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8.1.1有权督促乙方按期开展工作。</w:t>
      </w:r>
    </w:p>
    <w:p>
      <w:pPr>
        <w:spacing w:line="48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8.1.2有权根据需要调整工作内容和工作计划。</w:t>
      </w:r>
    </w:p>
    <w:p>
      <w:pPr>
        <w:spacing w:line="48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8.1.3对乙方的服务进行监督检查，对乙方不符合技术要求的工作，甲方有权要求乙方进行返工，乙方承担返工费用。</w:t>
      </w:r>
    </w:p>
    <w:p>
      <w:pPr>
        <w:spacing w:line="48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8.1.4如乙方团队人员不符合合同工作，甲方有权要求更换，乙方在收到更换通知的3日内完成人员更换。</w:t>
      </w:r>
    </w:p>
    <w:p>
      <w:pPr>
        <w:spacing w:line="480" w:lineRule="exact"/>
        <w:ind w:firstLine="555"/>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8.1.5合同生效后，由于不可抗力或客观原因导致合同提前终止的，甲方按实际完成工作量支付相关费用，不承担任何责任。</w:t>
      </w:r>
    </w:p>
    <w:p>
      <w:pPr>
        <w:spacing w:line="480" w:lineRule="exact"/>
        <w:rPr>
          <w:rFonts w:ascii="宋体" w:hAnsi="宋体" w:cs="宋体"/>
          <w:bCs/>
          <w:color w:val="000000" w:themeColor="text1"/>
          <w:kern w:val="0"/>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8.1.6</w:t>
      </w:r>
      <w:r>
        <w:rPr>
          <w:rFonts w:hint="eastAsia" w:ascii="宋体" w:hAnsi="宋体" w:cs="宋体"/>
          <w:bCs/>
          <w:color w:val="000000" w:themeColor="text1"/>
          <w:kern w:val="0"/>
          <w:sz w:val="24"/>
          <w:szCs w:val="24"/>
          <w:highlight w:val="none"/>
          <w14:textFill>
            <w14:solidFill>
              <w14:schemeClr w14:val="tx1"/>
            </w14:solidFill>
          </w14:textFill>
        </w:rPr>
        <w:t xml:space="preserve"> 甲方配合乙方开展项目前期调研工作，并根据项目需求向乙方提供相应的工作协助。</w:t>
      </w:r>
    </w:p>
    <w:p>
      <w:pPr>
        <w:spacing w:line="480" w:lineRule="exact"/>
        <w:ind w:firstLine="600" w:firstLineChars="250"/>
        <w:rPr>
          <w:rFonts w:ascii="宋体" w:hAnsi="宋体" w:cs="宋体"/>
          <w:bCs/>
          <w:color w:val="000000" w:themeColor="text1"/>
          <w:kern w:val="0"/>
          <w:sz w:val="24"/>
          <w:szCs w:val="24"/>
          <w:highlight w:val="none"/>
          <w14:textFill>
            <w14:solidFill>
              <w14:schemeClr w14:val="tx1"/>
            </w14:solidFill>
          </w14:textFill>
        </w:rPr>
      </w:pPr>
      <w:r>
        <w:rPr>
          <w:rFonts w:hint="eastAsia" w:ascii="宋体" w:hAnsi="宋体" w:cs="宋体"/>
          <w:bCs/>
          <w:color w:val="000000" w:themeColor="text1"/>
          <w:kern w:val="0"/>
          <w:sz w:val="24"/>
          <w:szCs w:val="24"/>
          <w:highlight w:val="none"/>
          <w14:textFill>
            <w14:solidFill>
              <w14:schemeClr w14:val="tx1"/>
            </w14:solidFill>
          </w14:textFill>
        </w:rPr>
        <w:t>8.1.7甲方向乙方提供本项目工作所必需的资料及文件等。</w:t>
      </w:r>
    </w:p>
    <w:p>
      <w:pPr>
        <w:spacing w:line="480" w:lineRule="exact"/>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　　8.2乙方的权利与义务：</w:t>
      </w:r>
    </w:p>
    <w:p>
      <w:pPr>
        <w:spacing w:line="480" w:lineRule="exac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8.</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t>.1 有权要求甲方提供项目所必需的前期资料。</w:t>
      </w:r>
    </w:p>
    <w:p>
      <w:pPr>
        <w:spacing w:line="480" w:lineRule="exac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8.</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t>.2发现甲方提供的上述资料或工作条件不符合合同约定时，须在接到上述资料或开始工作的</w:t>
      </w:r>
      <w:r>
        <w:rPr>
          <w:rFonts w:hint="eastAsia" w:ascii="宋体" w:hAnsi="宋体" w:cs="宋体"/>
          <w:color w:val="000000" w:themeColor="text1"/>
          <w:sz w:val="24"/>
          <w:szCs w:val="24"/>
          <w:highlight w:val="none"/>
          <w:u w:val="single"/>
          <w14:textFill>
            <w14:solidFill>
              <w14:schemeClr w14:val="tx1"/>
            </w14:solidFill>
          </w14:textFill>
        </w:rPr>
        <w:t>　3　</w:t>
      </w:r>
      <w:r>
        <w:rPr>
          <w:rFonts w:hint="eastAsia" w:ascii="宋体" w:hAnsi="宋体" w:cs="宋体"/>
          <w:color w:val="000000" w:themeColor="text1"/>
          <w:sz w:val="24"/>
          <w:szCs w:val="24"/>
          <w:highlight w:val="none"/>
          <w14:textFill>
            <w14:solidFill>
              <w14:schemeClr w14:val="tx1"/>
            </w14:solidFill>
          </w14:textFill>
        </w:rPr>
        <w:t>日内，通知甲方改进或者更换。超过上述期限不提出改进或更换要求的，视为甲方提供的资料和工作条件已符合合同约定。</w:t>
      </w:r>
    </w:p>
    <w:p>
      <w:pPr>
        <w:spacing w:line="480" w:lineRule="exact"/>
        <w:ind w:firstLine="480" w:firstLineChars="200"/>
        <w:rPr>
          <w:rFonts w:ascii="宋体" w:hAnsi="宋体" w:cs="宋体"/>
          <w:bCs/>
          <w:color w:val="000000" w:themeColor="text1"/>
          <w:kern w:val="0"/>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8.</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t>.3</w:t>
      </w:r>
      <w:r>
        <w:rPr>
          <w:rFonts w:hint="eastAsia" w:ascii="宋体" w:hAnsi="宋体" w:cs="宋体"/>
          <w:bCs/>
          <w:color w:val="000000" w:themeColor="text1"/>
          <w:kern w:val="0"/>
          <w:sz w:val="24"/>
          <w:szCs w:val="24"/>
          <w:highlight w:val="none"/>
          <w14:textFill>
            <w14:solidFill>
              <w14:schemeClr w14:val="tx1"/>
            </w14:solidFill>
          </w14:textFill>
        </w:rPr>
        <w:t>乙方在合同签订后</w:t>
      </w:r>
      <w:r>
        <w:rPr>
          <w:rFonts w:hint="eastAsia" w:ascii="宋体" w:hAnsi="宋体" w:cs="宋体"/>
          <w:bCs/>
          <w:color w:val="000000" w:themeColor="text1"/>
          <w:kern w:val="0"/>
          <w:sz w:val="24"/>
          <w:szCs w:val="24"/>
          <w:highlight w:val="none"/>
          <w:u w:val="single"/>
          <w14:textFill>
            <w14:solidFill>
              <w14:schemeClr w14:val="tx1"/>
            </w14:solidFill>
          </w14:textFill>
        </w:rPr>
        <w:t>3日</w:t>
      </w:r>
      <w:r>
        <w:rPr>
          <w:rFonts w:hint="eastAsia" w:ascii="宋体" w:hAnsi="宋体" w:cs="宋体"/>
          <w:bCs/>
          <w:color w:val="000000" w:themeColor="text1"/>
          <w:kern w:val="0"/>
          <w:sz w:val="24"/>
          <w:szCs w:val="24"/>
          <w:highlight w:val="none"/>
          <w14:textFill>
            <w14:solidFill>
              <w14:schemeClr w14:val="tx1"/>
            </w14:solidFill>
          </w14:textFill>
        </w:rPr>
        <w:t>内书面向甲方提交项目计划书、组织人员架构表，负责合同实施期间的联络人员名单及联系方式。项目计划书</w:t>
      </w:r>
      <w:r>
        <w:rPr>
          <w:rFonts w:hint="eastAsia" w:ascii="宋体" w:hAnsi="宋体" w:cs="宋体"/>
          <w:bCs/>
          <w:color w:val="000000" w:themeColor="text1"/>
          <w:kern w:val="0"/>
          <w:sz w:val="24"/>
          <w:szCs w:val="24"/>
          <w:highlight w:val="none"/>
          <w:u w:val="single"/>
          <w14:textFill>
            <w14:solidFill>
              <w14:schemeClr w14:val="tx1"/>
            </w14:solidFill>
          </w14:textFill>
        </w:rPr>
        <w:t>（计划书需包含以下方案：</w:t>
      </w:r>
      <w:r>
        <w:rPr>
          <w:rFonts w:hint="eastAsia" w:ascii="宋体" w:hAnsi="宋体" w:cs="宋体"/>
          <w:bCs/>
          <w:color w:val="000000" w:themeColor="text1"/>
          <w:kern w:val="0"/>
          <w:sz w:val="24"/>
          <w:szCs w:val="24"/>
          <w:highlight w:val="none"/>
          <w:u w:val="single"/>
          <w:lang w:val="en-US" w:eastAsia="zh-CN"/>
          <w14:textFill>
            <w14:solidFill>
              <w14:schemeClr w14:val="tx1"/>
            </w14:solidFill>
          </w14:textFill>
        </w:rPr>
        <w:t>开工报告、施工方案、安全生产事故应急预案、安全生产管理架构及相关责任人和安全员信息、风险点、危险源登记表、项目实施人员统计表</w:t>
      </w:r>
      <w:r>
        <w:rPr>
          <w:rFonts w:hint="eastAsia" w:ascii="宋体" w:hAnsi="宋体" w:cs="宋体"/>
          <w:bCs/>
          <w:color w:val="000000" w:themeColor="text1"/>
          <w:kern w:val="0"/>
          <w:sz w:val="24"/>
          <w:szCs w:val="24"/>
          <w:highlight w:val="none"/>
          <w:u w:val="single"/>
          <w14:textFill>
            <w14:solidFill>
              <w14:schemeClr w14:val="tx1"/>
            </w14:solidFill>
          </w14:textFill>
        </w:rPr>
        <w:t>）</w:t>
      </w:r>
      <w:r>
        <w:rPr>
          <w:rFonts w:hint="eastAsia" w:ascii="宋体" w:hAnsi="宋体" w:cs="宋体"/>
          <w:bCs/>
          <w:color w:val="000000" w:themeColor="text1"/>
          <w:kern w:val="0"/>
          <w:sz w:val="24"/>
          <w:szCs w:val="24"/>
          <w:highlight w:val="none"/>
          <w14:textFill>
            <w14:solidFill>
              <w14:schemeClr w14:val="tx1"/>
            </w14:solidFill>
          </w14:textFill>
        </w:rPr>
        <w:t>经甲方同意后实施。</w:t>
      </w:r>
    </w:p>
    <w:p>
      <w:pPr>
        <w:spacing w:line="480" w:lineRule="exact"/>
        <w:ind w:firstLine="480" w:firstLineChars="200"/>
        <w:rPr>
          <w:rFonts w:ascii="宋体" w:hAnsi="宋体" w:cs="宋体"/>
          <w:bCs/>
          <w:color w:val="000000" w:themeColor="text1"/>
          <w:kern w:val="0"/>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8.</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t>.4</w:t>
      </w:r>
      <w:r>
        <w:rPr>
          <w:rFonts w:hint="eastAsia" w:ascii="宋体" w:hAnsi="宋体" w:cs="宋体"/>
          <w:bCs/>
          <w:color w:val="000000" w:themeColor="text1"/>
          <w:kern w:val="0"/>
          <w:sz w:val="24"/>
          <w:szCs w:val="24"/>
          <w:highlight w:val="none"/>
          <w14:textFill>
            <w14:solidFill>
              <w14:schemeClr w14:val="tx1"/>
            </w14:solidFill>
          </w14:textFill>
        </w:rPr>
        <w:t>乙方应按甲方确认的项目计划书开展服务，按合同规定的进度要求提交质量合格的系统开发及服务，确保项目符合《技术要求》的要求。</w:t>
      </w:r>
    </w:p>
    <w:p>
      <w:pPr>
        <w:spacing w:line="480" w:lineRule="exact"/>
        <w:ind w:firstLine="480" w:firstLineChars="200"/>
        <w:rPr>
          <w:rFonts w:ascii="宋体" w:hAnsi="宋体" w:cs="宋体"/>
          <w:bCs/>
          <w:color w:val="000000" w:themeColor="text1"/>
          <w:kern w:val="0"/>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8</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t>.5</w:t>
      </w:r>
      <w:r>
        <w:rPr>
          <w:rFonts w:hint="eastAsia" w:ascii="宋体" w:hAnsi="宋体" w:cs="宋体"/>
          <w:bCs/>
          <w:color w:val="000000" w:themeColor="text1"/>
          <w:kern w:val="0"/>
          <w:sz w:val="24"/>
          <w:szCs w:val="24"/>
          <w:highlight w:val="none"/>
          <w14:textFill>
            <w14:solidFill>
              <w14:schemeClr w14:val="tx1"/>
            </w14:solidFill>
          </w14:textFill>
        </w:rPr>
        <w:t>乙方应保证团队成员的稳定，不得更换团队成员或更换团队成员的工作职责。如须更换成员时，应书面报甲方同意且更换成员需与原成员有同等或以上资质或经验。如未经甲方同意，</w:t>
      </w:r>
      <w:r>
        <w:rPr>
          <w:rFonts w:hint="eastAsia" w:ascii="宋体" w:hAnsi="宋体" w:cs="宋体"/>
          <w:bCs/>
          <w:color w:val="000000" w:themeColor="text1"/>
          <w:kern w:val="0"/>
          <w:sz w:val="24"/>
          <w:szCs w:val="24"/>
          <w:highlight w:val="none"/>
          <w:u w:val="single"/>
          <w14:textFill>
            <w14:solidFill>
              <w14:schemeClr w14:val="tx1"/>
            </w14:solidFill>
          </w14:textFill>
        </w:rPr>
        <w:t>每人次扣合同暂定总价5%</w:t>
      </w:r>
      <w:r>
        <w:rPr>
          <w:rFonts w:hint="eastAsia" w:ascii="宋体" w:hAnsi="宋体" w:cs="宋体"/>
          <w:bCs/>
          <w:color w:val="000000" w:themeColor="text1"/>
          <w:kern w:val="0"/>
          <w:sz w:val="24"/>
          <w:szCs w:val="24"/>
          <w:highlight w:val="none"/>
          <w14:textFill>
            <w14:solidFill>
              <w14:schemeClr w14:val="tx1"/>
            </w14:solidFill>
          </w14:textFill>
        </w:rPr>
        <w:t>作为违约金。</w:t>
      </w:r>
    </w:p>
    <w:p>
      <w:pPr>
        <w:spacing w:line="480" w:lineRule="exact"/>
        <w:ind w:firstLine="480" w:firstLineChars="200"/>
        <w:rPr>
          <w:rFonts w:ascii="宋体" w:hAnsi="宋体" w:cs="宋体"/>
          <w:bCs/>
          <w:color w:val="000000" w:themeColor="text1"/>
          <w:kern w:val="0"/>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8.</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t>.6</w:t>
      </w:r>
      <w:r>
        <w:rPr>
          <w:rFonts w:hint="eastAsia" w:ascii="宋体" w:hAnsi="宋体" w:cs="宋体"/>
          <w:bCs/>
          <w:color w:val="000000" w:themeColor="text1"/>
          <w:kern w:val="0"/>
          <w:sz w:val="24"/>
          <w:szCs w:val="24"/>
          <w:highlight w:val="none"/>
          <w14:textFill>
            <w14:solidFill>
              <w14:schemeClr w14:val="tx1"/>
            </w14:solidFill>
          </w14:textFill>
        </w:rPr>
        <w:t xml:space="preserve">乙方为完成系统开发及服务事项而向甲方收取的重要证件、文件、资料时，应向甲方开具规范的收件清单，并妥善保管；项目验收合格后，乙方应在  </w:t>
      </w:r>
      <w:r>
        <w:rPr>
          <w:rFonts w:hint="eastAsia" w:ascii="宋体" w:hAnsi="宋体" w:cs="宋体"/>
          <w:bCs/>
          <w:color w:val="000000" w:themeColor="text1"/>
          <w:kern w:val="0"/>
          <w:sz w:val="24"/>
          <w:szCs w:val="24"/>
          <w:highlight w:val="none"/>
          <w:lang w:val="en-US" w:eastAsia="zh-CN"/>
          <w14:textFill>
            <w14:solidFill>
              <w14:schemeClr w14:val="tx1"/>
            </w14:solidFill>
          </w14:textFill>
        </w:rPr>
        <w:t>15</w:t>
      </w:r>
      <w:r>
        <w:rPr>
          <w:rFonts w:hint="eastAsia" w:ascii="宋体" w:hAnsi="宋体" w:cs="宋体"/>
          <w:bCs/>
          <w:color w:val="000000" w:themeColor="text1"/>
          <w:kern w:val="0"/>
          <w:sz w:val="24"/>
          <w:szCs w:val="24"/>
          <w:highlight w:val="none"/>
          <w14:textFill>
            <w14:solidFill>
              <w14:schemeClr w14:val="tx1"/>
            </w14:solidFill>
          </w14:textFill>
        </w:rPr>
        <w:t xml:space="preserve">日内将上述证件、文件、资料退还甲方。 </w:t>
      </w:r>
    </w:p>
    <w:p>
      <w:pPr>
        <w:spacing w:line="48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8.</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t>.7</w:t>
      </w:r>
      <w:r>
        <w:rPr>
          <w:rFonts w:hint="eastAsia" w:ascii="宋体" w:hAnsi="宋体" w:cs="宋体"/>
          <w:bCs/>
          <w:color w:val="000000" w:themeColor="text1"/>
          <w:kern w:val="0"/>
          <w:sz w:val="24"/>
          <w:szCs w:val="24"/>
          <w:highlight w:val="none"/>
          <w14:textFill>
            <w14:solidFill>
              <w14:schemeClr w14:val="tx1"/>
            </w14:solidFill>
          </w14:textFill>
        </w:rPr>
        <w:t>乙方对项目中涉及的甲方商业秘密应予以保护，禁止向任何第三方公开，否则应向甲方承担相应赔偿责任。</w:t>
      </w:r>
    </w:p>
    <w:p>
      <w:pPr>
        <w:spacing w:line="480" w:lineRule="exact"/>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　九、违约责任</w:t>
      </w:r>
    </w:p>
    <w:p>
      <w:pPr>
        <w:spacing w:line="480" w:lineRule="exact"/>
        <w:ind w:firstLine="56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9.1</w:t>
      </w:r>
      <w:r>
        <w:rPr>
          <w:rFonts w:hint="eastAsia" w:ascii="宋体" w:hAnsi="宋体" w:cs="宋体"/>
          <w:bCs/>
          <w:color w:val="000000" w:themeColor="text1"/>
          <w:sz w:val="24"/>
          <w:szCs w:val="24"/>
          <w:highlight w:val="none"/>
          <w14:textFill>
            <w14:solidFill>
              <w14:schemeClr w14:val="tx1"/>
            </w14:solidFill>
          </w14:textFill>
        </w:rPr>
        <w:t>乙方不履行合同义务、或履行合同义务不符合合同约定、或违反国家、省、市行业标准的，甲方有权要求乙方限期整改。乙方逾期未完成整改的，每项每超过1日支付违约金人民币</w:t>
      </w:r>
      <w:r>
        <w:rPr>
          <w:rFonts w:hint="eastAsia" w:ascii="宋体" w:hAnsi="宋体" w:cs="宋体"/>
          <w:bCs/>
          <w:color w:val="000000" w:themeColor="text1"/>
          <w:sz w:val="24"/>
          <w:szCs w:val="24"/>
          <w:highlight w:val="none"/>
          <w:u w:val="single"/>
          <w14:textFill>
            <w14:solidFill>
              <w14:schemeClr w14:val="tx1"/>
            </w14:solidFill>
          </w14:textFill>
        </w:rPr>
        <w:t>1万元</w:t>
      </w:r>
      <w:r>
        <w:rPr>
          <w:rFonts w:hint="eastAsia" w:ascii="宋体" w:hAnsi="宋体" w:cs="宋体"/>
          <w:bCs/>
          <w:color w:val="000000" w:themeColor="text1"/>
          <w:sz w:val="24"/>
          <w:szCs w:val="24"/>
          <w:highlight w:val="none"/>
          <w14:textFill>
            <w14:solidFill>
              <w14:schemeClr w14:val="tx1"/>
            </w14:solidFill>
          </w14:textFill>
        </w:rPr>
        <w:t>，超过</w:t>
      </w:r>
      <w:r>
        <w:rPr>
          <w:rFonts w:hint="eastAsia" w:ascii="宋体" w:hAnsi="宋体" w:cs="宋体"/>
          <w:bCs/>
          <w:color w:val="000000" w:themeColor="text1"/>
          <w:sz w:val="24"/>
          <w:szCs w:val="24"/>
          <w:highlight w:val="none"/>
          <w:u w:val="single"/>
          <w:lang w:val="en-US" w:eastAsia="zh-CN"/>
          <w14:textFill>
            <w14:solidFill>
              <w14:schemeClr w14:val="tx1"/>
            </w14:solidFill>
          </w14:textFill>
        </w:rPr>
        <w:t>15</w:t>
      </w:r>
      <w:r>
        <w:rPr>
          <w:rFonts w:hint="eastAsia" w:ascii="宋体" w:hAnsi="宋体" w:cs="宋体"/>
          <w:bCs/>
          <w:color w:val="000000" w:themeColor="text1"/>
          <w:sz w:val="24"/>
          <w:szCs w:val="24"/>
          <w:highlight w:val="none"/>
          <w14:textFill>
            <w14:solidFill>
              <w14:schemeClr w14:val="tx1"/>
            </w14:solidFill>
          </w14:textFill>
        </w:rPr>
        <w:t>日，甲方有权解除合同并要求乙方支付</w:t>
      </w:r>
      <w:r>
        <w:rPr>
          <w:rFonts w:hint="eastAsia" w:ascii="宋体" w:hAnsi="宋体" w:cs="宋体"/>
          <w:bCs/>
          <w:color w:val="000000" w:themeColor="text1"/>
          <w:sz w:val="24"/>
          <w:szCs w:val="24"/>
          <w:highlight w:val="none"/>
          <w:u w:val="single"/>
          <w14:textFill>
            <w14:solidFill>
              <w14:schemeClr w14:val="tx1"/>
            </w14:solidFill>
          </w14:textFill>
        </w:rPr>
        <w:t>合同暂定总价的20%</w:t>
      </w:r>
      <w:r>
        <w:rPr>
          <w:rFonts w:hint="eastAsia" w:ascii="宋体" w:hAnsi="宋体" w:cs="宋体"/>
          <w:bCs/>
          <w:color w:val="000000" w:themeColor="text1"/>
          <w:sz w:val="24"/>
          <w:szCs w:val="24"/>
          <w:highlight w:val="none"/>
          <w14:textFill>
            <w14:solidFill>
              <w14:schemeClr w14:val="tx1"/>
            </w14:solidFill>
          </w14:textFill>
        </w:rPr>
        <w:t>作为违约金，由此造成的责任及损失由乙方承担。（</w:t>
      </w:r>
      <w:r>
        <w:rPr>
          <w:rFonts w:hint="eastAsia" w:ascii="宋体" w:hAnsi="宋体" w:cs="宋体"/>
          <w:color w:val="000000" w:themeColor="text1"/>
          <w:sz w:val="24"/>
          <w:szCs w:val="24"/>
          <w:highlight w:val="none"/>
          <w14:textFill>
            <w14:solidFill>
              <w14:schemeClr w14:val="tx1"/>
            </w14:solidFill>
          </w14:textFill>
        </w:rPr>
        <w:t>如合同另行约定违约责任，从其约定</w:t>
      </w:r>
      <w:r>
        <w:rPr>
          <w:rFonts w:hint="eastAsia" w:ascii="宋体" w:hAnsi="宋体" w:cs="宋体"/>
          <w:bCs/>
          <w:color w:val="000000" w:themeColor="text1"/>
          <w:sz w:val="24"/>
          <w:szCs w:val="24"/>
          <w:highlight w:val="none"/>
          <w14:textFill>
            <w14:solidFill>
              <w14:schemeClr w14:val="tx1"/>
            </w14:solidFill>
          </w14:textFill>
        </w:rPr>
        <w:t>）。</w:t>
      </w:r>
    </w:p>
    <w:p>
      <w:pPr>
        <w:spacing w:line="48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9.2由于乙方原因造成甲方设备及其他硬件损坏，乙方按照损坏设备的原价赔偿并负责恢复设备使用。</w:t>
      </w:r>
    </w:p>
    <w:p>
      <w:pPr>
        <w:spacing w:line="48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9.3乙方未能及时处理故障，每延误故障处理1日，甲方有权要求乙方支付</w:t>
      </w:r>
      <w:r>
        <w:rPr>
          <w:rFonts w:hint="eastAsia" w:ascii="宋体" w:hAnsi="宋体" w:cs="宋体"/>
          <w:color w:val="000000" w:themeColor="text1"/>
          <w:sz w:val="24"/>
          <w:szCs w:val="24"/>
          <w:highlight w:val="none"/>
          <w:u w:val="single"/>
          <w14:textFill>
            <w14:solidFill>
              <w14:schemeClr w14:val="tx1"/>
            </w14:solidFill>
          </w14:textFill>
        </w:rPr>
        <w:t>合同暂定总价的 10 ‰/日</w:t>
      </w:r>
      <w:r>
        <w:rPr>
          <w:rFonts w:hint="eastAsia" w:ascii="宋体" w:hAnsi="宋体" w:cs="宋体"/>
          <w:color w:val="000000" w:themeColor="text1"/>
          <w:sz w:val="24"/>
          <w:szCs w:val="24"/>
          <w:highlight w:val="none"/>
          <w14:textFill>
            <w14:solidFill>
              <w14:schemeClr w14:val="tx1"/>
            </w14:solidFill>
          </w14:textFill>
        </w:rPr>
        <w:t>作为违约金。</w:t>
      </w:r>
    </w:p>
    <w:p>
      <w:pPr>
        <w:topLinePunct/>
        <w:spacing w:line="480" w:lineRule="exact"/>
        <w:ind w:firstLine="48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9.4乙方无法按合同进度要求完成工作，逾期交付工作成果，</w:t>
      </w:r>
      <w:r>
        <w:rPr>
          <w:rFonts w:hint="eastAsia" w:ascii="宋体" w:hAnsi="宋体" w:cs="宋体"/>
          <w:bCs/>
          <w:color w:val="000000" w:themeColor="text1"/>
          <w:sz w:val="24"/>
          <w:szCs w:val="24"/>
          <w:highlight w:val="none"/>
          <w14:textFill>
            <w14:solidFill>
              <w14:schemeClr w14:val="tx1"/>
            </w14:solidFill>
          </w14:textFill>
        </w:rPr>
        <w:t>每超过1日支付违约金</w:t>
      </w:r>
      <w:r>
        <w:rPr>
          <w:rFonts w:hint="eastAsia" w:ascii="宋体" w:hAnsi="宋体" w:cs="宋体"/>
          <w:bCs/>
          <w:color w:val="000000" w:themeColor="text1"/>
          <w:sz w:val="24"/>
          <w:szCs w:val="24"/>
          <w:highlight w:val="none"/>
          <w:u w:val="single"/>
          <w14:textFill>
            <w14:solidFill>
              <w14:schemeClr w14:val="tx1"/>
            </w14:solidFill>
          </w14:textFill>
        </w:rPr>
        <w:t>合同暂定总价的1%</w:t>
      </w:r>
      <w:r>
        <w:rPr>
          <w:rFonts w:hint="eastAsia" w:ascii="宋体" w:hAnsi="宋体" w:cs="宋体"/>
          <w:bCs/>
          <w:color w:val="000000" w:themeColor="text1"/>
          <w:sz w:val="24"/>
          <w:szCs w:val="24"/>
          <w:highlight w:val="none"/>
          <w14:textFill>
            <w14:solidFill>
              <w14:schemeClr w14:val="tx1"/>
            </w14:solidFill>
          </w14:textFill>
        </w:rPr>
        <w:t>，超过</w:t>
      </w:r>
      <w:r>
        <w:rPr>
          <w:rFonts w:hint="eastAsia" w:ascii="宋体" w:hAnsi="宋体" w:cs="宋体"/>
          <w:bCs/>
          <w:color w:val="000000" w:themeColor="text1"/>
          <w:sz w:val="24"/>
          <w:szCs w:val="24"/>
          <w:highlight w:val="none"/>
          <w:u w:val="single"/>
          <w:lang w:val="en-US" w:eastAsia="zh-CN"/>
          <w14:textFill>
            <w14:solidFill>
              <w14:schemeClr w14:val="tx1"/>
            </w14:solidFill>
          </w14:textFill>
        </w:rPr>
        <w:t>30</w:t>
      </w:r>
      <w:r>
        <w:rPr>
          <w:rFonts w:hint="eastAsia" w:ascii="宋体" w:hAnsi="宋体" w:cs="宋体"/>
          <w:bCs/>
          <w:color w:val="000000" w:themeColor="text1"/>
          <w:sz w:val="24"/>
          <w:szCs w:val="24"/>
          <w:highlight w:val="none"/>
          <w14:textFill>
            <w14:solidFill>
              <w14:schemeClr w14:val="tx1"/>
            </w14:solidFill>
          </w14:textFill>
        </w:rPr>
        <w:t>日，甲方有权解除合同并要求乙方支付</w:t>
      </w:r>
      <w:r>
        <w:rPr>
          <w:rFonts w:hint="eastAsia" w:ascii="宋体" w:hAnsi="宋体" w:cs="宋体"/>
          <w:bCs/>
          <w:color w:val="000000" w:themeColor="text1"/>
          <w:sz w:val="24"/>
          <w:szCs w:val="24"/>
          <w:highlight w:val="none"/>
          <w:u w:val="single"/>
          <w14:textFill>
            <w14:solidFill>
              <w14:schemeClr w14:val="tx1"/>
            </w14:solidFill>
          </w14:textFill>
        </w:rPr>
        <w:t>合同暂定总价的20%</w:t>
      </w:r>
      <w:r>
        <w:rPr>
          <w:rFonts w:hint="eastAsia" w:ascii="宋体" w:hAnsi="宋体" w:cs="宋体"/>
          <w:bCs/>
          <w:color w:val="000000" w:themeColor="text1"/>
          <w:sz w:val="24"/>
          <w:szCs w:val="24"/>
          <w:highlight w:val="none"/>
          <w14:textFill>
            <w14:solidFill>
              <w14:schemeClr w14:val="tx1"/>
            </w14:solidFill>
          </w14:textFill>
        </w:rPr>
        <w:t>作为违约金。</w:t>
      </w:r>
    </w:p>
    <w:p>
      <w:pPr>
        <w:topLinePunct/>
        <w:spacing w:line="480" w:lineRule="exact"/>
        <w:ind w:firstLine="48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9.5乙方违反本合同保密协议的，甲方有权解除合同，乙方应返还已收的合同款项，并赔偿由此给甲方造成的损失。</w:t>
      </w:r>
    </w:p>
    <w:p>
      <w:pPr>
        <w:topLinePunct/>
        <w:spacing w:line="480" w:lineRule="exact"/>
        <w:ind w:firstLine="240" w:firstLineChars="1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9.6</w:t>
      </w:r>
      <w:r>
        <w:rPr>
          <w:rFonts w:hint="eastAsia" w:ascii="宋体" w:hAnsi="宋体" w:eastAsia="宋体" w:cs="宋体"/>
          <w:color w:val="000000" w:themeColor="text1"/>
          <w:sz w:val="24"/>
          <w:szCs w:val="24"/>
          <w:highlight w:val="none"/>
          <w14:textFill>
            <w14:solidFill>
              <w14:schemeClr w14:val="tx1"/>
            </w14:solidFill>
          </w14:textFill>
        </w:rPr>
        <w:t>在合同有效期内，若乙方发生不诚信行为情形的，乙方自愿接受甲方按《广州市净水有限公司经营建设项目参建企业不诚信行为管理办法》处理</w:t>
      </w:r>
      <w:r>
        <w:rPr>
          <w:rFonts w:hint="eastAsia" w:ascii="宋体" w:hAnsi="宋体" w:cs="宋体"/>
          <w:color w:val="000000" w:themeColor="text1"/>
          <w:sz w:val="24"/>
          <w:szCs w:val="24"/>
          <w:highlight w:val="none"/>
          <w:lang w:eastAsia="zh-CN"/>
          <w14:textFill>
            <w14:solidFill>
              <w14:schemeClr w14:val="tx1"/>
            </w14:solidFill>
          </w14:textFill>
        </w:rPr>
        <w:t>，具体处罚标准详见附件</w:t>
      </w:r>
      <w:r>
        <w:rPr>
          <w:rFonts w:hint="eastAsia" w:ascii="宋体" w:hAnsi="宋体" w:cs="宋体"/>
          <w:color w:val="000000" w:themeColor="text1"/>
          <w:sz w:val="24"/>
          <w:szCs w:val="24"/>
          <w:highlight w:val="none"/>
          <w:lang w:val="en-US" w:eastAsia="zh-CN"/>
          <w14:textFill>
            <w14:solidFill>
              <w14:schemeClr w14:val="tx1"/>
            </w14:solidFill>
          </w14:textFill>
        </w:rPr>
        <w:t>7。</w:t>
      </w:r>
    </w:p>
    <w:p>
      <w:pPr>
        <w:spacing w:before="156" w:beforeLines="50" w:after="156" w:afterLines="50" w:line="480" w:lineRule="exact"/>
        <w:ind w:firstLine="482" w:firstLineChars="200"/>
        <w:jc w:val="left"/>
        <w:rPr>
          <w:rFonts w:ascii="宋体" w:hAnsi="宋体" w:cs="宋体"/>
          <w:color w:val="000000" w:themeColor="text1"/>
          <w:sz w:val="24"/>
          <w:szCs w:val="24"/>
          <w:highlight w:val="none"/>
          <w14:textFill>
            <w14:solidFill>
              <w14:schemeClr w14:val="tx1"/>
            </w14:solidFill>
          </w14:textFill>
        </w:rPr>
      </w:pPr>
      <w:bookmarkStart w:id="31" w:name="_Toc306350467"/>
      <w:bookmarkStart w:id="32" w:name="_Toc107446862"/>
      <w:bookmarkStart w:id="33" w:name="_Toc474245226"/>
      <w:bookmarkStart w:id="34" w:name="_Toc183666531"/>
      <w:bookmarkStart w:id="35" w:name="_Toc518993000"/>
      <w:bookmarkStart w:id="36" w:name="_Toc107447255"/>
      <w:bookmarkStart w:id="37" w:name="_Toc19692"/>
      <w:bookmarkStart w:id="38" w:name="_Toc520190040"/>
      <w:r>
        <w:rPr>
          <w:rFonts w:hint="eastAsia" w:ascii="宋体" w:hAnsi="宋体" w:cs="宋体"/>
          <w:b/>
          <w:bCs/>
          <w:color w:val="000000" w:themeColor="text1"/>
          <w:sz w:val="24"/>
          <w:szCs w:val="24"/>
          <w:highlight w:val="none"/>
          <w14:textFill>
            <w14:solidFill>
              <w14:schemeClr w14:val="tx1"/>
            </w14:solidFill>
          </w14:textFill>
        </w:rPr>
        <w:t>十、不可抗力</w:t>
      </w:r>
      <w:bookmarkEnd w:id="31"/>
      <w:bookmarkEnd w:id="32"/>
      <w:bookmarkEnd w:id="33"/>
      <w:bookmarkEnd w:id="34"/>
      <w:bookmarkEnd w:id="35"/>
      <w:bookmarkEnd w:id="36"/>
      <w:bookmarkEnd w:id="37"/>
      <w:bookmarkEnd w:id="38"/>
    </w:p>
    <w:p>
      <w:pPr>
        <w:widowControl/>
        <w:autoSpaceDE w:val="0"/>
        <w:autoSpaceDN w:val="0"/>
        <w:adjustRightInd w:val="0"/>
        <w:spacing w:line="480" w:lineRule="exact"/>
        <w:ind w:firstLine="480" w:firstLineChars="200"/>
        <w:rPr>
          <w:rFonts w:ascii="宋体" w:hAnsi="宋体" w:cs="宋体"/>
          <w:bCs/>
          <w:color w:val="000000" w:themeColor="text1"/>
          <w:sz w:val="24"/>
          <w:szCs w:val="24"/>
          <w:highlight w:val="none"/>
          <w14:textFill>
            <w14:solidFill>
              <w14:schemeClr w14:val="tx1"/>
            </w14:solidFill>
          </w14:textFill>
        </w:rPr>
      </w:pPr>
      <w:bookmarkStart w:id="39" w:name="_Toc306350468"/>
      <w:bookmarkStart w:id="40" w:name="_Toc12010"/>
      <w:bookmarkStart w:id="41" w:name="_Toc183666532"/>
      <w:r>
        <w:rPr>
          <w:rFonts w:hint="eastAsia" w:ascii="宋体" w:hAnsi="宋体" w:cs="宋体"/>
          <w:bCs/>
          <w:color w:val="000000" w:themeColor="text1"/>
          <w:sz w:val="24"/>
          <w:szCs w:val="24"/>
          <w:highlight w:val="none"/>
          <w14:textFill>
            <w14:solidFill>
              <w14:schemeClr w14:val="tx1"/>
            </w14:solidFill>
          </w14:textFill>
        </w:rPr>
        <w:t>10.1任何一方因不可抗力无法全部或部分履行其在本合同项下的义务时，该方有权全部或部分中止履行本合同项下的义务，并不承担违约责任。不可抗力是指合同当事人在签订本合同时不可预见，在合同履行过程中不可避免且不能克服的客观情况，包括：</w:t>
      </w:r>
    </w:p>
    <w:p>
      <w:pPr>
        <w:widowControl/>
        <w:autoSpaceDE w:val="0"/>
        <w:autoSpaceDN w:val="0"/>
        <w:adjustRightInd w:val="0"/>
        <w:spacing w:line="480" w:lineRule="exact"/>
        <w:ind w:firstLine="480" w:firstLineChars="2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⑴ 地震、火山爆发、滑坡、暴雨（橙色预警及以上）、台风（黄色预警及以上）、海啸、龙卷风、大面积流行病或瘟疫；</w:t>
      </w:r>
    </w:p>
    <w:p>
      <w:pPr>
        <w:widowControl/>
        <w:autoSpaceDE w:val="0"/>
        <w:autoSpaceDN w:val="0"/>
        <w:adjustRightInd w:val="0"/>
        <w:spacing w:line="480" w:lineRule="exact"/>
        <w:ind w:firstLine="480" w:firstLineChars="2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⑵ 战争行为、入侵、武装冲突或外敌行为、封锁、暴乱、恐怖行为或军事演习；</w:t>
      </w:r>
    </w:p>
    <w:p>
      <w:pPr>
        <w:widowControl/>
        <w:autoSpaceDE w:val="0"/>
        <w:autoSpaceDN w:val="0"/>
        <w:adjustRightInd w:val="0"/>
        <w:spacing w:line="480" w:lineRule="exact"/>
        <w:ind w:firstLine="480" w:firstLineChars="2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10.2声称受到不可抗力影响的一方，应在发生不可抗力或知道发生不可抗力之后5日内书面通知另一方，详细描述不可抗力的发生情况和对该方履行在本合同项下义务的影响，同时附上此种不可抗力事件及其持续时间的有效证明文件。</w:t>
      </w:r>
    </w:p>
    <w:p>
      <w:pPr>
        <w:widowControl/>
        <w:autoSpaceDE w:val="0"/>
        <w:autoSpaceDN w:val="0"/>
        <w:adjustRightInd w:val="0"/>
        <w:spacing w:line="480" w:lineRule="exact"/>
        <w:ind w:firstLine="480" w:firstLineChars="2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10.3因不可抗力导致合同无法履行的时间自该不可抗力发生日起连续超过玖拾(90)天，双方应协商决定继续履行本合同的条件或者变更本合同。如果自不可抗力发生后壹佰捌拾(180)天之内双方不能达成一致意见，任何一方有权解除本合同。</w:t>
      </w:r>
    </w:p>
    <w:p>
      <w:pPr>
        <w:spacing w:before="156" w:beforeLines="50" w:after="156" w:afterLines="50" w:line="480" w:lineRule="exact"/>
        <w:ind w:firstLine="482"/>
        <w:jc w:val="left"/>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10.4双方同意采取一切合理的预防措施和及时的补救措施，尽可能减轻不可抗力事件带来的后果。受到不可抗力影响的一方应尽合理的努力减少不可抗力的影响，包括为采取有效的措施支付合理的金额。双方应协商制定并实施补救计划及合理的替代措施以消除不可抗力，并决定为减少不可抗力给每一方带来的损失应采取的合理的手段。但因受到不可抗力影响的一方采取措施不当，未尽合理的努力减少不可抗力的影响，造成损失扩大的，由有责任的一方承担扩大部分的损失。声称不可抗力的一方在不可抗力消除之后应尽快恢复履行本合同项下的义务。</w:t>
      </w:r>
      <w:bookmarkStart w:id="42" w:name="_Toc107446864"/>
      <w:bookmarkStart w:id="43" w:name="_Toc520190041"/>
      <w:bookmarkStart w:id="44" w:name="_Toc518993001"/>
      <w:bookmarkStart w:id="45" w:name="_Toc118172294"/>
      <w:bookmarkStart w:id="46" w:name="_Toc107447257"/>
      <w:bookmarkStart w:id="47" w:name="_Toc474245227"/>
    </w:p>
    <w:p>
      <w:pPr>
        <w:spacing w:before="156" w:beforeLines="50" w:after="156" w:afterLines="50" w:line="480" w:lineRule="exact"/>
        <w:ind w:firstLine="482"/>
        <w:jc w:val="left"/>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十一、争议解决</w:t>
      </w:r>
      <w:bookmarkEnd w:id="39"/>
      <w:bookmarkEnd w:id="40"/>
      <w:bookmarkEnd w:id="41"/>
      <w:bookmarkEnd w:id="42"/>
      <w:bookmarkEnd w:id="43"/>
      <w:bookmarkEnd w:id="44"/>
      <w:bookmarkEnd w:id="45"/>
      <w:bookmarkEnd w:id="46"/>
      <w:bookmarkEnd w:id="47"/>
    </w:p>
    <w:p>
      <w:pPr>
        <w:spacing w:line="480" w:lineRule="exact"/>
        <w:ind w:firstLine="482"/>
        <w:rPr>
          <w:rFonts w:ascii="宋体" w:hAnsi="宋体" w:cs="宋体"/>
          <w:bCs/>
          <w:color w:val="000000" w:themeColor="text1"/>
          <w:sz w:val="24"/>
          <w:szCs w:val="24"/>
          <w:highlight w:val="none"/>
          <w14:textFill>
            <w14:solidFill>
              <w14:schemeClr w14:val="tx1"/>
            </w14:solidFill>
          </w14:textFill>
        </w:rPr>
      </w:pPr>
      <w:bookmarkStart w:id="48" w:name="_Toc183666533"/>
      <w:bookmarkStart w:id="49" w:name="_Toc306350469"/>
      <w:r>
        <w:rPr>
          <w:rFonts w:hint="eastAsia" w:ascii="宋体" w:hAnsi="宋体" w:cs="宋体"/>
          <w:bCs/>
          <w:color w:val="000000" w:themeColor="text1"/>
          <w:sz w:val="24"/>
          <w:szCs w:val="24"/>
          <w:highlight w:val="none"/>
          <w14:textFill>
            <w14:solidFill>
              <w14:schemeClr w14:val="tx1"/>
            </w14:solidFill>
          </w14:textFill>
        </w:rPr>
        <w:t>11.1甲乙双方应通过友好协商，解决在执行本合同所发生的或与本合同有关的一切争议。如协商不能解决争议，任何一方均可依法向甲方所在地人民法院提起诉讼。</w:t>
      </w:r>
    </w:p>
    <w:p>
      <w:pPr>
        <w:spacing w:line="480" w:lineRule="exact"/>
        <w:ind w:firstLine="482"/>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11.2</w:t>
      </w:r>
      <w:r>
        <w:rPr>
          <w:rFonts w:hint="eastAsia" w:ascii="宋体" w:hAnsi="宋体" w:cs="宋体"/>
          <w:color w:val="000000" w:themeColor="text1"/>
          <w:sz w:val="24"/>
          <w:szCs w:val="24"/>
          <w:highlight w:val="none"/>
          <w14:textFill>
            <w14:solidFill>
              <w14:schemeClr w14:val="tx1"/>
            </w14:solidFill>
          </w14:textFill>
        </w:rPr>
        <w:t>在甲方同意的情况下，除有争端之外的合同其它部分在争端解决前应继续执行。</w:t>
      </w:r>
      <w:bookmarkEnd w:id="48"/>
      <w:bookmarkEnd w:id="49"/>
      <w:bookmarkStart w:id="50" w:name="_Toc474245229"/>
      <w:bookmarkStart w:id="51" w:name="_Toc520190043"/>
      <w:bookmarkStart w:id="52" w:name="_Toc518993003"/>
    </w:p>
    <w:p>
      <w:pPr>
        <w:spacing w:line="480" w:lineRule="exact"/>
        <w:ind w:firstLine="482"/>
        <w:jc w:val="left"/>
        <w:rPr>
          <w:rFonts w:ascii="宋体" w:hAnsi="宋体" w:cs="宋体"/>
          <w:b/>
          <w:bCs/>
          <w:color w:val="000000" w:themeColor="text1"/>
          <w:sz w:val="24"/>
          <w:szCs w:val="24"/>
          <w:highlight w:val="none"/>
          <w14:textFill>
            <w14:solidFill>
              <w14:schemeClr w14:val="tx1"/>
            </w14:solidFill>
          </w14:textFill>
        </w:rPr>
      </w:pPr>
      <w:bookmarkStart w:id="53" w:name="_Toc107446871"/>
      <w:bookmarkStart w:id="54" w:name="_Toc107447264"/>
      <w:r>
        <w:rPr>
          <w:rFonts w:hint="eastAsia" w:ascii="宋体" w:hAnsi="宋体" w:cs="宋体"/>
          <w:b/>
          <w:bCs/>
          <w:color w:val="000000" w:themeColor="text1"/>
          <w:sz w:val="24"/>
          <w:szCs w:val="24"/>
          <w:highlight w:val="none"/>
          <w14:textFill>
            <w14:solidFill>
              <w14:schemeClr w14:val="tx1"/>
            </w14:solidFill>
          </w14:textFill>
        </w:rPr>
        <w:t>十二、合同生效及其他</w:t>
      </w:r>
      <w:bookmarkEnd w:id="50"/>
      <w:bookmarkEnd w:id="51"/>
      <w:bookmarkEnd w:id="52"/>
      <w:bookmarkEnd w:id="53"/>
      <w:bookmarkEnd w:id="54"/>
    </w:p>
    <w:p>
      <w:pPr>
        <w:spacing w:line="480" w:lineRule="exact"/>
        <w:ind w:firstLine="48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12.1本合同经双方法定代表人或授权代表签字并加盖双方公章后生效.</w:t>
      </w:r>
    </w:p>
    <w:p>
      <w:pPr>
        <w:spacing w:line="480" w:lineRule="exact"/>
        <w:ind w:firstLine="48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12.2本合同正文一式</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柒</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 xml:space="preserve"> 份，其中：甲方</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伍</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份，乙方</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贰</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份。</w:t>
      </w:r>
    </w:p>
    <w:p>
      <w:pPr>
        <w:spacing w:line="480" w:lineRule="exact"/>
        <w:ind w:firstLine="48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12.3补充条款</w:t>
      </w:r>
      <w:r>
        <w:rPr>
          <w:rFonts w:hint="eastAsia" w:ascii="宋体" w:hAnsi="宋体" w:cs="宋体"/>
          <w:color w:val="000000" w:themeColor="text1"/>
          <w:sz w:val="24"/>
          <w:szCs w:val="24"/>
          <w:highlight w:val="none"/>
          <w:u w:val="single"/>
          <w14:textFill>
            <w14:solidFill>
              <w14:schemeClr w14:val="tx1"/>
            </w14:solidFill>
          </w14:textFill>
        </w:rPr>
        <w:t>：</w:t>
      </w:r>
      <w:r>
        <w:rPr>
          <w:rFonts w:hint="eastAsia" w:ascii="宋体" w:hAnsi="宋体" w:cs="宋体"/>
          <w:color w:val="000000" w:themeColor="text1"/>
          <w:sz w:val="24"/>
          <w:szCs w:val="24"/>
          <w:highlight w:val="none"/>
          <w:u w:val="single"/>
          <w:lang w:val="en-US" w:eastAsia="zh-CN"/>
          <w14:textFill>
            <w14:solidFill>
              <w14:schemeClr w14:val="tx1"/>
            </w14:solidFill>
          </w14:textFill>
        </w:rPr>
        <w:t>/</w:t>
      </w:r>
      <w:r>
        <w:rPr>
          <w:rFonts w:hint="eastAsia" w:ascii="宋体" w:hAnsi="宋体" w:cs="宋体"/>
          <w:color w:val="000000" w:themeColor="text1"/>
          <w:sz w:val="24"/>
          <w:szCs w:val="24"/>
          <w:highlight w:val="none"/>
          <w:u w:val="single"/>
          <w14:textFill>
            <w14:solidFill>
              <w14:schemeClr w14:val="tx1"/>
            </w14:solidFill>
          </w14:textFill>
        </w:rPr>
        <w:t xml:space="preserve"> </w:t>
      </w:r>
    </w:p>
    <w:p>
      <w:pPr>
        <w:spacing w:line="480" w:lineRule="exact"/>
        <w:ind w:firstLine="480"/>
        <w:rPr>
          <w:rFonts w:hint="eastAsia" w:ascii="宋体" w:hAnsi="宋体" w:cs="宋体"/>
          <w:color w:val="000000" w:themeColor="text1"/>
          <w:sz w:val="24"/>
          <w:szCs w:val="24"/>
          <w:highlight w:val="none"/>
          <w14:textFill>
            <w14:solidFill>
              <w14:schemeClr w14:val="tx1"/>
            </w14:solidFill>
          </w14:textFill>
        </w:rPr>
      </w:pPr>
    </w:p>
    <w:p>
      <w:pPr>
        <w:spacing w:line="480" w:lineRule="exact"/>
        <w:ind w:firstLine="480"/>
        <w:rPr>
          <w:rFonts w:ascii="宋体" w:hAnsi="宋体" w:cs="宋体"/>
          <w:color w:val="000000" w:themeColor="text1"/>
          <w:sz w:val="24"/>
          <w:szCs w:val="24"/>
          <w:highlight w:val="none"/>
          <w14:textFill>
            <w14:solidFill>
              <w14:schemeClr w14:val="tx1"/>
            </w14:solidFill>
          </w14:textFill>
        </w:rPr>
      </w:pPr>
    </w:p>
    <w:p>
      <w:pPr>
        <w:spacing w:line="480" w:lineRule="exact"/>
        <w:ind w:firstLine="482"/>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附件： 1. </w:t>
      </w:r>
      <w:r>
        <w:rPr>
          <w:rFonts w:hint="eastAsia" w:ascii="宋体" w:hAnsi="宋体" w:eastAsia="宋体" w:cs="宋体"/>
          <w:bCs/>
          <w:color w:val="000000" w:themeColor="text1"/>
          <w:sz w:val="24"/>
          <w:szCs w:val="24"/>
          <w:highlight w:val="none"/>
          <w14:textFill>
            <w14:solidFill>
              <w14:schemeClr w14:val="tx1"/>
            </w14:solidFill>
          </w14:textFill>
        </w:rPr>
        <w:t>发包通知书</w:t>
      </w:r>
    </w:p>
    <w:p>
      <w:pPr>
        <w:spacing w:line="480" w:lineRule="exact"/>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           2. 廉洁协议书</w:t>
      </w:r>
    </w:p>
    <w:p>
      <w:pPr>
        <w:spacing w:line="480" w:lineRule="exact"/>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           3. 保密协议</w:t>
      </w:r>
    </w:p>
    <w:p>
      <w:pPr>
        <w:spacing w:line="480" w:lineRule="exact"/>
        <w:ind w:firstLine="1320" w:firstLineChars="550"/>
        <w:rPr>
          <w:rFonts w:hint="eastAsia" w:ascii="宋体" w:hAnsi="宋体" w:cs="宋体"/>
          <w:color w:val="auto"/>
          <w:sz w:val="24"/>
          <w:szCs w:val="24"/>
          <w:lang w:val="en-US" w:eastAsia="zh-CN"/>
        </w:rPr>
      </w:pPr>
      <w:r>
        <w:rPr>
          <w:rFonts w:hint="eastAsia" w:ascii="宋体" w:hAnsi="宋体" w:cs="宋体"/>
          <w:color w:val="000000" w:themeColor="text1"/>
          <w:sz w:val="24"/>
          <w:szCs w:val="24"/>
          <w:highlight w:val="none"/>
          <w14:textFill>
            <w14:solidFill>
              <w14:schemeClr w14:val="tx1"/>
            </w14:solidFill>
          </w14:textFill>
        </w:rPr>
        <w:t>4. 安全管理协议书</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具体以安全办通知为准）</w:t>
      </w:r>
    </w:p>
    <w:p>
      <w:pPr>
        <w:spacing w:line="480" w:lineRule="exact"/>
        <w:ind w:firstLine="1320" w:firstLineChars="55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 服务内容/技术需求</w:t>
      </w:r>
    </w:p>
    <w:p>
      <w:pPr>
        <w:spacing w:line="480" w:lineRule="exact"/>
        <w:ind w:firstLine="1320" w:firstLineChars="55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w:t>
      </w:r>
      <w:r>
        <w:rPr>
          <w:rFonts w:hint="eastAsia" w:ascii="宋体" w:hAnsi="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项目投入人员架构表</w:t>
      </w:r>
    </w:p>
    <w:p>
      <w:pPr>
        <w:spacing w:line="480" w:lineRule="exact"/>
        <w:ind w:firstLine="1320" w:firstLineChars="55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不诚信行为的情形及相应被暂停参与投标活动的处理标准</w:t>
      </w:r>
    </w:p>
    <w:p>
      <w:pPr>
        <w:pStyle w:val="31"/>
        <w:ind w:firstLine="1440" w:firstLineChars="600"/>
        <w:rPr>
          <w:rFonts w:hint="default" w:eastAsia="仿宋_GB2312"/>
          <w:lang w:val="en-US" w:eastAsia="zh-CN"/>
        </w:rPr>
      </w:pPr>
    </w:p>
    <w:p>
      <w:pPr>
        <w:spacing w:line="480" w:lineRule="exact"/>
        <w:rPr>
          <w:rFonts w:hint="eastAsia" w:ascii="宋体" w:hAnsi="宋体" w:cs="宋体"/>
          <w:color w:val="000000" w:themeColor="text1"/>
          <w:sz w:val="24"/>
          <w:szCs w:val="24"/>
          <w:highlight w:val="none"/>
          <w14:textFill>
            <w14:solidFill>
              <w14:schemeClr w14:val="tx1"/>
            </w14:solidFill>
          </w14:textFill>
        </w:rPr>
      </w:pPr>
    </w:p>
    <w:p>
      <w:pPr>
        <w:pStyle w:val="31"/>
        <w:rPr>
          <w:rFonts w:hint="eastAsia" w:ascii="宋体" w:hAnsi="宋体" w:cs="宋体"/>
          <w:color w:val="000000" w:themeColor="text1"/>
          <w:sz w:val="24"/>
          <w:szCs w:val="24"/>
          <w:highlight w:val="none"/>
          <w14:textFill>
            <w14:solidFill>
              <w14:schemeClr w14:val="tx1"/>
            </w14:solidFill>
          </w14:textFill>
        </w:rPr>
      </w:pPr>
    </w:p>
    <w:p>
      <w:pPr>
        <w:pStyle w:val="31"/>
        <w:rPr>
          <w:rFonts w:hint="eastAsia" w:ascii="宋体" w:hAnsi="宋体" w:cs="宋体"/>
          <w:color w:val="000000" w:themeColor="text1"/>
          <w:sz w:val="24"/>
          <w:szCs w:val="24"/>
          <w:highlight w:val="none"/>
          <w14:textFill>
            <w14:solidFill>
              <w14:schemeClr w14:val="tx1"/>
            </w14:solidFill>
          </w14:textFill>
        </w:rPr>
      </w:pPr>
    </w:p>
    <w:p>
      <w:pPr>
        <w:pStyle w:val="31"/>
        <w:rPr>
          <w:rFonts w:hint="eastAsia" w:ascii="宋体" w:hAnsi="宋体" w:cs="宋体"/>
          <w:color w:val="000000" w:themeColor="text1"/>
          <w:sz w:val="24"/>
          <w:szCs w:val="24"/>
          <w:highlight w:val="none"/>
          <w14:textFill>
            <w14:solidFill>
              <w14:schemeClr w14:val="tx1"/>
            </w14:solidFill>
          </w14:textFill>
        </w:rPr>
      </w:pPr>
    </w:p>
    <w:p>
      <w:pPr>
        <w:pStyle w:val="31"/>
        <w:rPr>
          <w:rFonts w:hint="eastAsia" w:ascii="宋体" w:hAnsi="宋体" w:cs="宋体"/>
          <w:color w:val="000000" w:themeColor="text1"/>
          <w:sz w:val="24"/>
          <w:szCs w:val="24"/>
          <w:highlight w:val="none"/>
          <w14:textFill>
            <w14:solidFill>
              <w14:schemeClr w14:val="tx1"/>
            </w14:solidFill>
          </w14:textFill>
        </w:rPr>
      </w:pPr>
    </w:p>
    <w:p>
      <w:pPr>
        <w:pStyle w:val="31"/>
        <w:rPr>
          <w:rFonts w:hint="eastAsia" w:ascii="宋体" w:hAnsi="宋体" w:cs="宋体"/>
          <w:color w:val="000000" w:themeColor="text1"/>
          <w:sz w:val="24"/>
          <w:szCs w:val="24"/>
          <w:highlight w:val="none"/>
          <w14:textFill>
            <w14:solidFill>
              <w14:schemeClr w14:val="tx1"/>
            </w14:solidFill>
          </w14:textFill>
        </w:rPr>
      </w:pPr>
    </w:p>
    <w:p>
      <w:pPr>
        <w:spacing w:line="480" w:lineRule="exact"/>
        <w:rPr>
          <w:rFonts w:hint="eastAsia" w:ascii="宋体" w:hAnsi="宋体" w:eastAsia="宋体" w:cs="宋体"/>
          <w:color w:val="000000" w:themeColor="text1"/>
          <w:sz w:val="24"/>
          <w:szCs w:val="24"/>
          <w:highlight w:val="none"/>
          <w14:textFill>
            <w14:solidFill>
              <w14:schemeClr w14:val="tx1"/>
            </w14:solidFill>
          </w14:textFill>
        </w:rPr>
      </w:pPr>
    </w:p>
    <w:p>
      <w:pPr>
        <w:spacing w:line="48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甲方：广州市净水有限公司（盖章）     乙方：（盖章）</w:t>
      </w:r>
    </w:p>
    <w:p>
      <w:pPr>
        <w:spacing w:line="48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法定代表人或                         法定代表人或</w:t>
      </w:r>
    </w:p>
    <w:p>
      <w:pPr>
        <w:spacing w:line="48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授权代理人：                         授权代理人：</w:t>
      </w:r>
    </w:p>
    <w:p>
      <w:pPr>
        <w:spacing w:line="48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地址：                               地址：</w:t>
      </w:r>
    </w:p>
    <w:p>
      <w:pPr>
        <w:spacing w:line="48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经办人：                             经办人：</w:t>
      </w:r>
    </w:p>
    <w:p>
      <w:pPr>
        <w:spacing w:line="48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联系电话：                           联系电话：</w:t>
      </w:r>
    </w:p>
    <w:p>
      <w:pPr>
        <w:spacing w:line="480" w:lineRule="exact"/>
        <w:ind w:left="6360" w:hanging="6360" w:hangingChars="265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传真：                               传真：</w:t>
      </w:r>
    </w:p>
    <w:p>
      <w:pPr>
        <w:spacing w:line="480" w:lineRule="exact"/>
        <w:ind w:left="6360" w:hanging="6360" w:hangingChars="265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签署日期：    年    月    日         签署日期：    年    月    日  </w:t>
      </w:r>
    </w:p>
    <w:p>
      <w:pPr>
        <w:spacing w:line="480" w:lineRule="exact"/>
        <w:rPr>
          <w:rFonts w:ascii="仿宋_GB2312" w:eastAsia="仿宋_GB2312"/>
          <w:color w:val="000000" w:themeColor="text1"/>
          <w:w w:val="90"/>
          <w:kern w:val="10"/>
          <w:sz w:val="24"/>
          <w:highlight w:val="none"/>
          <w14:textFill>
            <w14:solidFill>
              <w14:schemeClr w14:val="tx1"/>
            </w14:solidFill>
          </w14:textFill>
        </w:rPr>
      </w:pPr>
      <w:r>
        <w:rPr>
          <w:rFonts w:hint="eastAsia" w:ascii="仿宋_GB2312" w:eastAsia="仿宋_GB2312"/>
          <w:color w:val="000000" w:themeColor="text1"/>
          <w:w w:val="90"/>
          <w:kern w:val="10"/>
          <w:sz w:val="24"/>
          <w:highlight w:val="none"/>
          <w14:textFill>
            <w14:solidFill>
              <w14:schemeClr w14:val="tx1"/>
            </w14:solidFill>
          </w14:textFill>
        </w:rPr>
        <w:t xml:space="preserve">                                      </w:t>
      </w:r>
    </w:p>
    <w:p>
      <w:pPr>
        <w:rPr>
          <w:rFonts w:ascii="仿宋_GB2312" w:eastAsia="仿宋_GB2312"/>
          <w:color w:val="000000" w:themeColor="text1"/>
          <w:sz w:val="28"/>
          <w:szCs w:val="28"/>
          <w:highlight w:val="none"/>
          <w14:textFill>
            <w14:solidFill>
              <w14:schemeClr w14:val="tx1"/>
            </w14:solidFill>
          </w14:textFill>
        </w:rPr>
      </w:pPr>
    </w:p>
    <w:p>
      <w:pPr>
        <w:pStyle w:val="31"/>
        <w:rPr>
          <w:rFonts w:ascii="仿宋_GB2312" w:eastAsia="仿宋_GB2312"/>
          <w:color w:val="000000" w:themeColor="text1"/>
          <w:sz w:val="28"/>
          <w:szCs w:val="28"/>
          <w:highlight w:val="none"/>
          <w14:textFill>
            <w14:solidFill>
              <w14:schemeClr w14:val="tx1"/>
            </w14:solidFill>
          </w14:textFill>
        </w:rPr>
      </w:pPr>
    </w:p>
    <w:p>
      <w:pPr>
        <w:pStyle w:val="31"/>
        <w:rPr>
          <w:rFonts w:ascii="仿宋_GB2312" w:eastAsia="仿宋_GB2312"/>
          <w:color w:val="000000" w:themeColor="text1"/>
          <w:sz w:val="28"/>
          <w:szCs w:val="28"/>
          <w:highlight w:val="none"/>
          <w14:textFill>
            <w14:solidFill>
              <w14:schemeClr w14:val="tx1"/>
            </w14:solidFill>
          </w14:textFill>
        </w:rPr>
      </w:pPr>
    </w:p>
    <w:p>
      <w:pPr>
        <w:pStyle w:val="31"/>
        <w:rPr>
          <w:rFonts w:ascii="仿宋_GB2312" w:eastAsia="仿宋_GB2312"/>
          <w:color w:val="000000" w:themeColor="text1"/>
          <w:sz w:val="28"/>
          <w:szCs w:val="28"/>
          <w:highlight w:val="none"/>
          <w14:textFill>
            <w14:solidFill>
              <w14:schemeClr w14:val="tx1"/>
            </w14:solidFill>
          </w14:textFill>
        </w:rPr>
      </w:pPr>
    </w:p>
    <w:p>
      <w:pPr>
        <w:pStyle w:val="31"/>
        <w:rPr>
          <w:rFonts w:ascii="仿宋_GB2312" w:eastAsia="仿宋_GB2312"/>
          <w:color w:val="000000" w:themeColor="text1"/>
          <w:sz w:val="28"/>
          <w:szCs w:val="28"/>
          <w:highlight w:val="none"/>
          <w14:textFill>
            <w14:solidFill>
              <w14:schemeClr w14:val="tx1"/>
            </w14:solidFill>
          </w14:textFill>
        </w:rPr>
      </w:pPr>
    </w:p>
    <w:p>
      <w:pPr>
        <w:pStyle w:val="31"/>
        <w:rPr>
          <w:rFonts w:ascii="仿宋_GB2312" w:eastAsia="仿宋_GB2312"/>
          <w:color w:val="000000" w:themeColor="text1"/>
          <w:sz w:val="28"/>
          <w:szCs w:val="28"/>
          <w:highlight w:val="none"/>
          <w14:textFill>
            <w14:solidFill>
              <w14:schemeClr w14:val="tx1"/>
            </w14:solidFill>
          </w14:textFill>
        </w:rPr>
      </w:pPr>
    </w:p>
    <w:p>
      <w:pPr>
        <w:pStyle w:val="31"/>
        <w:rPr>
          <w:rFonts w:ascii="仿宋_GB2312" w:eastAsia="仿宋_GB2312"/>
          <w:color w:val="000000" w:themeColor="text1"/>
          <w:sz w:val="28"/>
          <w:szCs w:val="28"/>
          <w:highlight w:val="none"/>
          <w14:textFill>
            <w14:solidFill>
              <w14:schemeClr w14:val="tx1"/>
            </w14:solidFill>
          </w14:textFill>
        </w:rPr>
      </w:pPr>
    </w:p>
    <w:p>
      <w:pPr>
        <w:pStyle w:val="31"/>
        <w:rPr>
          <w:rFonts w:ascii="仿宋_GB2312" w:eastAsia="仿宋_GB2312"/>
          <w:color w:val="000000" w:themeColor="text1"/>
          <w:sz w:val="28"/>
          <w:szCs w:val="28"/>
          <w:highlight w:val="none"/>
          <w14:textFill>
            <w14:solidFill>
              <w14:schemeClr w14:val="tx1"/>
            </w14:solidFill>
          </w14:textFill>
        </w:rPr>
      </w:pPr>
    </w:p>
    <w:p>
      <w:pPr>
        <w:pStyle w:val="31"/>
        <w:rPr>
          <w:rFonts w:ascii="仿宋_GB2312" w:eastAsia="仿宋_GB2312"/>
          <w:color w:val="000000" w:themeColor="text1"/>
          <w:sz w:val="28"/>
          <w:szCs w:val="28"/>
          <w:highlight w:val="none"/>
          <w14:textFill>
            <w14:solidFill>
              <w14:schemeClr w14:val="tx1"/>
            </w14:solidFill>
          </w14:textFill>
        </w:rPr>
      </w:pPr>
    </w:p>
    <w:p>
      <w:pPr>
        <w:pStyle w:val="31"/>
        <w:rPr>
          <w:rFonts w:ascii="仿宋_GB2312" w:eastAsia="仿宋_GB2312"/>
          <w:color w:val="000000" w:themeColor="text1"/>
          <w:sz w:val="28"/>
          <w:szCs w:val="28"/>
          <w:highlight w:val="none"/>
          <w14:textFill>
            <w14:solidFill>
              <w14:schemeClr w14:val="tx1"/>
            </w14:solidFill>
          </w14:textFill>
        </w:rPr>
      </w:pPr>
    </w:p>
    <w:p>
      <w:pPr>
        <w:pStyle w:val="31"/>
        <w:rPr>
          <w:rFonts w:ascii="仿宋_GB2312" w:eastAsia="仿宋_GB2312"/>
          <w:color w:val="000000" w:themeColor="text1"/>
          <w:sz w:val="28"/>
          <w:szCs w:val="28"/>
          <w:highlight w:val="none"/>
          <w14:textFill>
            <w14:solidFill>
              <w14:schemeClr w14:val="tx1"/>
            </w14:solidFill>
          </w14:textFill>
        </w:rPr>
      </w:pPr>
    </w:p>
    <w:p>
      <w:pPr>
        <w:pStyle w:val="31"/>
        <w:rPr>
          <w:rFonts w:ascii="仿宋_GB2312" w:eastAsia="仿宋_GB2312"/>
          <w:color w:val="000000" w:themeColor="text1"/>
          <w:sz w:val="28"/>
          <w:szCs w:val="28"/>
          <w:highlight w:val="none"/>
          <w14:textFill>
            <w14:solidFill>
              <w14:schemeClr w14:val="tx1"/>
            </w14:solidFill>
          </w14:textFill>
        </w:rPr>
      </w:pPr>
    </w:p>
    <w:p>
      <w:pPr>
        <w:pStyle w:val="31"/>
        <w:rPr>
          <w:rFonts w:ascii="仿宋_GB2312" w:eastAsia="仿宋_GB2312"/>
          <w:color w:val="000000" w:themeColor="text1"/>
          <w:sz w:val="28"/>
          <w:szCs w:val="28"/>
          <w:highlight w:val="none"/>
          <w14:textFill>
            <w14:solidFill>
              <w14:schemeClr w14:val="tx1"/>
            </w14:solidFill>
          </w14:textFill>
        </w:rPr>
      </w:pPr>
    </w:p>
    <w:p>
      <w:pPr>
        <w:pStyle w:val="31"/>
        <w:rPr>
          <w:rFonts w:ascii="仿宋_GB2312" w:eastAsia="仿宋_GB2312"/>
          <w:color w:val="000000" w:themeColor="text1"/>
          <w:sz w:val="28"/>
          <w:szCs w:val="28"/>
          <w:highlight w:val="none"/>
          <w14:textFill>
            <w14:solidFill>
              <w14:schemeClr w14:val="tx1"/>
            </w14:solidFill>
          </w14:textFill>
        </w:rPr>
      </w:pPr>
    </w:p>
    <w:p>
      <w:pPr>
        <w:pStyle w:val="31"/>
        <w:rPr>
          <w:rFonts w:ascii="仿宋_GB2312" w:eastAsia="仿宋_GB2312"/>
          <w:color w:val="000000" w:themeColor="text1"/>
          <w:sz w:val="28"/>
          <w:szCs w:val="28"/>
          <w:highlight w:val="none"/>
          <w14:textFill>
            <w14:solidFill>
              <w14:schemeClr w14:val="tx1"/>
            </w14:solidFill>
          </w14:textFill>
        </w:rPr>
      </w:pPr>
    </w:p>
    <w:p>
      <w:pPr>
        <w:pStyle w:val="31"/>
        <w:rPr>
          <w:rFonts w:ascii="仿宋_GB2312" w:eastAsia="仿宋_GB2312"/>
          <w:color w:val="000000" w:themeColor="text1"/>
          <w:sz w:val="28"/>
          <w:szCs w:val="28"/>
          <w:highlight w:val="none"/>
          <w14:textFill>
            <w14:solidFill>
              <w14:schemeClr w14:val="tx1"/>
            </w14:solidFill>
          </w14:textFill>
        </w:rPr>
      </w:pPr>
    </w:p>
    <w:p>
      <w:pPr>
        <w:widowControl/>
        <w:jc w:val="left"/>
        <w:rPr>
          <w:rFonts w:hint="default" w:ascii="宋体" w:hAnsi="宋体" w:eastAsia="宋体" w:cs="宋体"/>
          <w:b/>
          <w:bCs/>
          <w:color w:val="000000" w:themeColor="text1"/>
          <w:szCs w:val="21"/>
          <w:highlight w:val="none"/>
          <w:lang w:val="en-US" w:eastAsia="zh-CN"/>
          <w14:textFill>
            <w14:solidFill>
              <w14:schemeClr w14:val="tx1"/>
            </w14:solidFill>
          </w14:textFill>
        </w:rPr>
      </w:pPr>
      <w:r>
        <w:rPr>
          <w:rFonts w:hint="eastAsia" w:ascii="宋体" w:hAnsi="宋体" w:cs="宋体"/>
          <w:b/>
          <w:bCs/>
          <w:color w:val="000000" w:themeColor="text1"/>
          <w:szCs w:val="21"/>
          <w:highlight w:val="none"/>
          <w:lang w:val="en-US" w:eastAsia="zh-CN"/>
          <w14:textFill>
            <w14:solidFill>
              <w14:schemeClr w14:val="tx1"/>
            </w14:solidFill>
          </w14:textFill>
        </w:rPr>
        <w:t>附件1 发包通知书</w:t>
      </w:r>
    </w:p>
    <w:p>
      <w:pPr>
        <w:widowControl/>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附件2</w:t>
      </w:r>
    </w:p>
    <w:p>
      <w:pPr>
        <w:keepNext w:val="0"/>
        <w:keepLines w:val="0"/>
        <w:pageBreakBefore w:val="0"/>
        <w:kinsoku/>
        <w:wordWrap/>
        <w:overflowPunct/>
        <w:topLinePunct w:val="0"/>
        <w:autoSpaceDE/>
        <w:autoSpaceDN/>
        <w:bidi w:val="0"/>
        <w:snapToGrid/>
        <w:spacing w:beforeAutospacing="0" w:line="520" w:lineRule="exact"/>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廉洁协议</w:t>
      </w:r>
    </w:p>
    <w:p>
      <w:pPr>
        <w:keepNext w:val="0"/>
        <w:keepLines w:val="0"/>
        <w:pageBreakBefore w:val="0"/>
        <w:kinsoku/>
        <w:wordWrap/>
        <w:overflowPunct/>
        <w:topLinePunct w:val="0"/>
        <w:autoSpaceDE/>
        <w:autoSpaceDN/>
        <w:bidi w:val="0"/>
        <w:snapToGrid/>
        <w:spacing w:beforeAutospacing="0" w:line="520" w:lineRule="exact"/>
        <w:ind w:firstLine="540" w:firstLineChars="225"/>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为促进双方诚信经营、廉洁从业，防范商业贿赂，保护国家、集体和当事人的合法权益，根据国家有关法律法规和广东省、广州市廉政建设的规定，</w:t>
      </w:r>
      <w:r>
        <w:rPr>
          <w:rFonts w:hint="eastAsia" w:ascii="宋体" w:hAnsi="宋体" w:eastAsia="宋体" w:cs="宋体"/>
          <w:b w:val="0"/>
          <w:bCs/>
          <w:color w:val="auto"/>
          <w:sz w:val="24"/>
          <w:szCs w:val="24"/>
          <w:highlight w:val="none"/>
          <w:u w:val="single"/>
        </w:rPr>
        <w:t>广州市净水有限公司</w:t>
      </w:r>
      <w:r>
        <w:rPr>
          <w:rFonts w:hint="eastAsia" w:ascii="宋体" w:hAnsi="宋体" w:eastAsia="宋体" w:cs="宋体"/>
          <w:b w:val="0"/>
          <w:bCs/>
          <w:color w:val="auto"/>
          <w:sz w:val="24"/>
          <w:szCs w:val="24"/>
          <w:highlight w:val="none"/>
        </w:rPr>
        <w:t>(以下称甲方)与(以下称乙方)，特此订立本协议共同遵照执行。</w:t>
      </w:r>
    </w:p>
    <w:p>
      <w:pPr>
        <w:keepNext w:val="0"/>
        <w:keepLines w:val="0"/>
        <w:pageBreakBefore w:val="0"/>
        <w:kinsoku/>
        <w:wordWrap/>
        <w:overflowPunct/>
        <w:topLinePunct w:val="0"/>
        <w:autoSpaceDE/>
        <w:autoSpaceDN/>
        <w:bidi w:val="0"/>
        <w:snapToGrid/>
        <w:spacing w:beforeAutospacing="0" w:line="520" w:lineRule="exact"/>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第一条 甲乙双方的权利和义务</w:t>
      </w:r>
    </w:p>
    <w:p>
      <w:pPr>
        <w:keepNext w:val="0"/>
        <w:keepLines w:val="0"/>
        <w:pageBreakBefore w:val="0"/>
        <w:kinsoku/>
        <w:wordWrap/>
        <w:overflowPunct/>
        <w:topLinePunct w:val="0"/>
        <w:autoSpaceDE/>
        <w:autoSpaceDN/>
        <w:bidi w:val="0"/>
        <w:snapToGrid/>
        <w:spacing w:beforeAutospacing="0" w:line="520" w:lineRule="exact"/>
        <w:ind w:firstLine="360" w:firstLineChars="15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（一）甲乙双方严格遵守国家关于市场准入、项目招标投标、市场经营活动等有关法律、法规相关政策及廉政建设的各项规定。</w:t>
      </w:r>
    </w:p>
    <w:p>
      <w:pPr>
        <w:keepNext w:val="0"/>
        <w:keepLines w:val="0"/>
        <w:pageBreakBefore w:val="0"/>
        <w:kinsoku/>
        <w:wordWrap/>
        <w:overflowPunct/>
        <w:topLinePunct w:val="0"/>
        <w:autoSpaceDE/>
        <w:autoSpaceDN/>
        <w:bidi w:val="0"/>
        <w:snapToGrid/>
        <w:spacing w:beforeAutospacing="0" w:line="520" w:lineRule="exact"/>
        <w:ind w:firstLine="360" w:firstLineChars="15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（二）严格执行</w:t>
      </w:r>
      <w:r>
        <w:rPr>
          <w:rFonts w:hint="eastAsia" w:ascii="宋体" w:hAnsi="宋体" w:eastAsia="宋体" w:cs="宋体"/>
          <w:b w:val="0"/>
          <w:bCs/>
          <w:color w:val="auto"/>
          <w:sz w:val="24"/>
          <w:szCs w:val="24"/>
          <w:highlight w:val="none"/>
          <w:u w:val="single"/>
        </w:rPr>
        <w:t xml:space="preserve">       </w:t>
      </w:r>
      <w:r>
        <w:rPr>
          <w:rFonts w:hint="eastAsia" w:ascii="宋体" w:hAnsi="宋体" w:eastAsia="宋体" w:cs="宋体"/>
          <w:b w:val="0"/>
          <w:bCs/>
          <w:color w:val="auto"/>
          <w:sz w:val="24"/>
          <w:szCs w:val="24"/>
          <w:highlight w:val="none"/>
        </w:rPr>
        <w:t>合同（以下简称：主合同），自觉履行合同约定的相关义务。</w:t>
      </w:r>
    </w:p>
    <w:p>
      <w:pPr>
        <w:keepNext w:val="0"/>
        <w:keepLines w:val="0"/>
        <w:pageBreakBefore w:val="0"/>
        <w:kinsoku/>
        <w:wordWrap/>
        <w:overflowPunct/>
        <w:topLinePunct w:val="0"/>
        <w:autoSpaceDE/>
        <w:autoSpaceDN/>
        <w:bidi w:val="0"/>
        <w:snapToGrid/>
        <w:spacing w:beforeAutospacing="0" w:line="520" w:lineRule="exact"/>
        <w:ind w:firstLine="360" w:firstLineChars="15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（三）在业务活动中坚持公开、公正、诚信、透明的原则，不得损害国家、集体利益。</w:t>
      </w:r>
    </w:p>
    <w:p>
      <w:pPr>
        <w:keepNext w:val="0"/>
        <w:keepLines w:val="0"/>
        <w:pageBreakBefore w:val="0"/>
        <w:kinsoku/>
        <w:wordWrap/>
        <w:overflowPunct/>
        <w:topLinePunct w:val="0"/>
        <w:autoSpaceDE/>
        <w:autoSpaceDN/>
        <w:bidi w:val="0"/>
        <w:snapToGrid/>
        <w:spacing w:beforeAutospacing="0" w:line="520" w:lineRule="exact"/>
        <w:ind w:firstLine="360" w:firstLineChars="15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（四）建立健全廉洁从业制度，开展廉洁教育，公布举报电话，监督并认真查处不廉洁及违法违纪行为。</w:t>
      </w:r>
    </w:p>
    <w:p>
      <w:pPr>
        <w:keepNext w:val="0"/>
        <w:keepLines w:val="0"/>
        <w:pageBreakBefore w:val="0"/>
        <w:kinsoku/>
        <w:wordWrap/>
        <w:overflowPunct/>
        <w:topLinePunct w:val="0"/>
        <w:autoSpaceDE/>
        <w:autoSpaceDN/>
        <w:bidi w:val="0"/>
        <w:snapToGrid/>
        <w:spacing w:beforeAutospacing="0" w:line="520" w:lineRule="exact"/>
        <w:ind w:firstLine="360" w:firstLineChars="15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rPr>
        <w:t>（五）发现对方在业务活动中有不廉洁行为，应及时提醒对方纠正。情节严重的，应向其有关监督部门</w:t>
      </w:r>
      <w:r>
        <w:rPr>
          <w:rFonts w:hint="eastAsia" w:ascii="宋体" w:hAnsi="宋体" w:eastAsia="宋体" w:cs="宋体"/>
          <w:b w:val="0"/>
          <w:bCs/>
          <w:color w:val="auto"/>
          <w:sz w:val="24"/>
          <w:szCs w:val="24"/>
          <w:highlight w:val="none"/>
          <w:lang w:val="en-US" w:eastAsia="zh-CN"/>
        </w:rPr>
        <w:t>检举。</w:t>
      </w:r>
    </w:p>
    <w:p>
      <w:pPr>
        <w:keepNext w:val="0"/>
        <w:keepLines w:val="0"/>
        <w:pageBreakBefore w:val="0"/>
        <w:kinsoku/>
        <w:wordWrap/>
        <w:overflowPunct/>
        <w:topLinePunct w:val="0"/>
        <w:autoSpaceDE/>
        <w:autoSpaceDN/>
        <w:bidi w:val="0"/>
        <w:snapToGrid/>
        <w:spacing w:beforeAutospacing="0" w:line="520" w:lineRule="exact"/>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第二条甲方的义务</w:t>
      </w:r>
    </w:p>
    <w:p>
      <w:pPr>
        <w:keepNext w:val="0"/>
        <w:keepLines w:val="0"/>
        <w:pageBreakBefore w:val="0"/>
        <w:kinsoku/>
        <w:wordWrap/>
        <w:overflowPunct/>
        <w:topLinePunct w:val="0"/>
        <w:autoSpaceDE/>
        <w:autoSpaceDN/>
        <w:bidi w:val="0"/>
        <w:snapToGrid/>
        <w:spacing w:beforeAutospacing="0" w:line="520" w:lineRule="exact"/>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（一）甲方及其工作人员不得索要或接受乙方的礼金、有价证券和贵重物品，不得在乙方报销任何应由甲方或个人支付的费用等。</w:t>
      </w:r>
    </w:p>
    <w:p>
      <w:pPr>
        <w:keepNext w:val="0"/>
        <w:keepLines w:val="0"/>
        <w:pageBreakBefore w:val="0"/>
        <w:kinsoku/>
        <w:wordWrap/>
        <w:overflowPunct/>
        <w:topLinePunct w:val="0"/>
        <w:autoSpaceDE/>
        <w:autoSpaceDN/>
        <w:bidi w:val="0"/>
        <w:snapToGrid/>
        <w:spacing w:beforeAutospacing="0" w:line="520" w:lineRule="exact"/>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keepNext w:val="0"/>
        <w:keepLines w:val="0"/>
        <w:pageBreakBefore w:val="0"/>
        <w:kinsoku/>
        <w:wordWrap/>
        <w:overflowPunct/>
        <w:topLinePunct w:val="0"/>
        <w:autoSpaceDE/>
        <w:autoSpaceDN/>
        <w:bidi w:val="0"/>
        <w:snapToGrid/>
        <w:spacing w:beforeAutospacing="0" w:line="520" w:lineRule="exact"/>
        <w:ind w:left="15" w:leftChars="7"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（三）甲方及其工作人员不得要求或者接受乙方为其住房装修、婚丧嫁娶活动、配偶子女工作安排以及出国出境、旅游等提供方便等。</w:t>
      </w:r>
    </w:p>
    <w:p>
      <w:pPr>
        <w:keepNext w:val="0"/>
        <w:keepLines w:val="0"/>
        <w:pageBreakBefore w:val="0"/>
        <w:kinsoku/>
        <w:wordWrap/>
        <w:overflowPunct/>
        <w:topLinePunct w:val="0"/>
        <w:autoSpaceDE/>
        <w:autoSpaceDN/>
        <w:bidi w:val="0"/>
        <w:snapToGrid/>
        <w:spacing w:beforeAutospacing="0" w:line="520" w:lineRule="exact"/>
        <w:ind w:left="15" w:leftChars="7"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（四）甲方工作人员不得在乙方或与乙方有股权关联的企业兼职，不得向乙方介绍家属或者亲友从事与甲方业务有关的经济活动。</w:t>
      </w:r>
    </w:p>
    <w:p>
      <w:pPr>
        <w:keepNext w:val="0"/>
        <w:keepLines w:val="0"/>
        <w:pageBreakBefore w:val="0"/>
        <w:kinsoku/>
        <w:wordWrap/>
        <w:overflowPunct/>
        <w:topLinePunct w:val="0"/>
        <w:autoSpaceDE/>
        <w:autoSpaceDN/>
        <w:bidi w:val="0"/>
        <w:snapToGrid/>
        <w:spacing w:beforeAutospacing="0" w:line="520" w:lineRule="exact"/>
        <w:ind w:left="15" w:leftChars="7"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五）甲方工作人员不得以明显低于市场的价格向乙方购买房屋、汽车等物品；不得以明显高于市场的价格向乙方出售房屋、汽车等物品；不得使用乙方提供的与工作无关的房屋、汽车等物品；不得以其他交易形式非法收受请托人财物。</w:t>
      </w:r>
    </w:p>
    <w:p>
      <w:pPr>
        <w:keepNext w:val="0"/>
        <w:keepLines w:val="0"/>
        <w:pageBreakBefore w:val="0"/>
        <w:kinsoku/>
        <w:wordWrap/>
        <w:overflowPunct/>
        <w:topLinePunct w:val="0"/>
        <w:autoSpaceDE/>
        <w:autoSpaceDN/>
        <w:bidi w:val="0"/>
        <w:snapToGrid/>
        <w:spacing w:beforeAutospacing="0" w:line="520" w:lineRule="exact"/>
        <w:ind w:left="15" w:leftChars="7"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（六）甲方工作人员不得利用职务之便收受乙方以回扣、手续费、加班费、咨询费、劳务费、协调费、辛苦费等各种名义给予或赠送的钱物。</w:t>
      </w:r>
    </w:p>
    <w:p>
      <w:pPr>
        <w:keepNext w:val="0"/>
        <w:keepLines w:val="0"/>
        <w:pageBreakBefore w:val="0"/>
        <w:kinsoku/>
        <w:wordWrap/>
        <w:overflowPunct/>
        <w:topLinePunct w:val="0"/>
        <w:autoSpaceDE/>
        <w:autoSpaceDN/>
        <w:bidi w:val="0"/>
        <w:snapToGrid/>
        <w:spacing w:beforeAutospacing="0" w:line="520" w:lineRule="exact"/>
        <w:ind w:left="15" w:leftChars="7"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（七）甲方工作人员不得接受乙方给予或赠送的干股或红利。</w:t>
      </w:r>
    </w:p>
    <w:p>
      <w:pPr>
        <w:keepNext w:val="0"/>
        <w:keepLines w:val="0"/>
        <w:pageBreakBefore w:val="0"/>
        <w:kinsoku/>
        <w:wordWrap/>
        <w:overflowPunct/>
        <w:topLinePunct w:val="0"/>
        <w:autoSpaceDE/>
        <w:autoSpaceDN/>
        <w:bidi w:val="0"/>
        <w:snapToGrid/>
        <w:spacing w:beforeAutospacing="0" w:line="520" w:lineRule="exact"/>
        <w:ind w:left="15" w:leftChars="7" w:firstLine="480" w:firstLineChars="20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(八）不得存在其他违反廉洁规定的行为。</w:t>
      </w:r>
    </w:p>
    <w:p>
      <w:pPr>
        <w:keepNext w:val="0"/>
        <w:keepLines w:val="0"/>
        <w:pageBreakBefore w:val="0"/>
        <w:kinsoku/>
        <w:wordWrap/>
        <w:overflowPunct/>
        <w:topLinePunct w:val="0"/>
        <w:autoSpaceDE/>
        <w:autoSpaceDN/>
        <w:bidi w:val="0"/>
        <w:snapToGrid/>
        <w:spacing w:beforeAutospacing="0" w:line="520" w:lineRule="exact"/>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第三条乙方的义务</w:t>
      </w:r>
    </w:p>
    <w:p>
      <w:pPr>
        <w:keepNext w:val="0"/>
        <w:keepLines w:val="0"/>
        <w:pageBreakBefore w:val="0"/>
        <w:kinsoku/>
        <w:wordWrap/>
        <w:overflowPunct/>
        <w:topLinePunct w:val="0"/>
        <w:autoSpaceDE/>
        <w:autoSpaceDN/>
        <w:bidi w:val="0"/>
        <w:snapToGrid/>
        <w:spacing w:beforeAutospacing="0" w:line="520" w:lineRule="exact"/>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（一）乙方不得以任何理由向甲方及其工作人员行贿或馈赠礼金、有价证券、贵重礼品。</w:t>
      </w:r>
    </w:p>
    <w:p>
      <w:pPr>
        <w:keepNext w:val="0"/>
        <w:keepLines w:val="0"/>
        <w:pageBreakBefore w:val="0"/>
        <w:kinsoku/>
        <w:wordWrap/>
        <w:overflowPunct/>
        <w:topLinePunct w:val="0"/>
        <w:autoSpaceDE/>
        <w:autoSpaceDN/>
        <w:bidi w:val="0"/>
        <w:snapToGrid/>
        <w:spacing w:beforeAutospacing="0" w:line="520" w:lineRule="exact"/>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（二)乙方不得以任何名义为甲方及其工作人员报销应由甲方单位或个人支付的任何费用。</w:t>
      </w:r>
    </w:p>
    <w:p>
      <w:pPr>
        <w:keepNext w:val="0"/>
        <w:keepLines w:val="0"/>
        <w:pageBreakBefore w:val="0"/>
        <w:kinsoku/>
        <w:wordWrap/>
        <w:overflowPunct/>
        <w:topLinePunct w:val="0"/>
        <w:autoSpaceDE/>
        <w:autoSpaceDN/>
        <w:bidi w:val="0"/>
        <w:snapToGrid/>
        <w:spacing w:beforeAutospacing="0" w:line="520" w:lineRule="exact"/>
        <w:ind w:left="25" w:leftChars="12"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（三）乙方不得以任何理由安排甲方工作人员参加可能影响相关业务公开、公正、公平性的宴请及娱乐活动。</w:t>
      </w:r>
    </w:p>
    <w:p>
      <w:pPr>
        <w:pStyle w:val="16"/>
        <w:keepNext w:val="0"/>
        <w:keepLines w:val="0"/>
        <w:pageBreakBefore w:val="0"/>
        <w:kinsoku/>
        <w:wordWrap/>
        <w:overflowPunct/>
        <w:topLinePunct w:val="0"/>
        <w:autoSpaceDE/>
        <w:autoSpaceDN/>
        <w:bidi w:val="0"/>
        <w:snapToGrid/>
        <w:spacing w:beforeAutospacing="0" w:line="520" w:lineRule="exac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（四）乙方不得为甲方单位和个人购置或提供通讯工具和高档办公用品等物品，也不得为甲方提供与工作无关的房屋、汽车等。</w:t>
      </w:r>
    </w:p>
    <w:p>
      <w:pPr>
        <w:keepNext w:val="0"/>
        <w:keepLines w:val="0"/>
        <w:pageBreakBefore w:val="0"/>
        <w:kinsoku/>
        <w:wordWrap/>
        <w:overflowPunct/>
        <w:topLinePunct w:val="0"/>
        <w:autoSpaceDE/>
        <w:autoSpaceDN/>
        <w:bidi w:val="0"/>
        <w:snapToGrid/>
        <w:spacing w:beforeAutospacing="0" w:line="520" w:lineRule="exact"/>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（五）乙方不得擅自与甲方工作人员就</w:t>
      </w:r>
      <w:r>
        <w:rPr>
          <w:rFonts w:hint="eastAsia" w:ascii="宋体" w:hAnsi="宋体" w:eastAsia="宋体" w:cs="宋体"/>
          <w:b w:val="0"/>
          <w:bCs/>
          <w:color w:val="auto"/>
          <w:sz w:val="24"/>
          <w:szCs w:val="24"/>
          <w:highlight w:val="none"/>
          <w:lang w:val="en-US" w:eastAsia="zh-CN"/>
        </w:rPr>
        <w:t>主</w:t>
      </w:r>
      <w:r>
        <w:rPr>
          <w:rFonts w:hint="eastAsia" w:ascii="宋体" w:hAnsi="宋体" w:eastAsia="宋体" w:cs="宋体"/>
          <w:b w:val="0"/>
          <w:bCs/>
          <w:color w:val="auto"/>
          <w:sz w:val="24"/>
          <w:szCs w:val="24"/>
          <w:highlight w:val="none"/>
        </w:rPr>
        <w:t>合同中的质量、数量、价格、工程量、验收等条款进行私下商谈或者达成默契。</w:t>
      </w:r>
    </w:p>
    <w:p>
      <w:pPr>
        <w:keepNext w:val="0"/>
        <w:keepLines w:val="0"/>
        <w:pageBreakBefore w:val="0"/>
        <w:kinsoku/>
        <w:wordWrap/>
        <w:overflowPunct/>
        <w:topLinePunct w:val="0"/>
        <w:autoSpaceDE/>
        <w:autoSpaceDN/>
        <w:bidi w:val="0"/>
        <w:snapToGrid/>
        <w:spacing w:beforeAutospacing="0" w:line="520" w:lineRule="exact"/>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（六）乙方不得以回扣、手续费、加班费、咨询费、劳务费、协调费、辛苦费等各种名义向甲方工作人员给予或赠送钱物。</w:t>
      </w:r>
    </w:p>
    <w:p>
      <w:pPr>
        <w:keepNext w:val="0"/>
        <w:keepLines w:val="0"/>
        <w:pageBreakBefore w:val="0"/>
        <w:kinsoku/>
        <w:wordWrap/>
        <w:overflowPunct/>
        <w:topLinePunct w:val="0"/>
        <w:autoSpaceDE/>
        <w:autoSpaceDN/>
        <w:bidi w:val="0"/>
        <w:snapToGrid/>
        <w:spacing w:beforeAutospacing="0" w:line="520" w:lineRule="exact"/>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（七）乙方不得向甲方工作人员提供干股或红利。</w:t>
      </w:r>
    </w:p>
    <w:p>
      <w:pPr>
        <w:keepNext w:val="0"/>
        <w:keepLines w:val="0"/>
        <w:pageBreakBefore w:val="0"/>
        <w:kinsoku/>
        <w:wordWrap/>
        <w:overflowPunct/>
        <w:topLinePunct w:val="0"/>
        <w:autoSpaceDE/>
        <w:autoSpaceDN/>
        <w:bidi w:val="0"/>
        <w:snapToGrid/>
        <w:spacing w:beforeAutospacing="0" w:line="520" w:lineRule="exact"/>
        <w:ind w:left="15" w:leftChars="7" w:firstLine="480" w:firstLineChars="20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(八）不得存在其他违反廉洁规定的行为。</w:t>
      </w:r>
    </w:p>
    <w:p>
      <w:pPr>
        <w:keepNext w:val="0"/>
        <w:keepLines w:val="0"/>
        <w:pageBreakBefore w:val="0"/>
        <w:kinsoku/>
        <w:wordWrap/>
        <w:overflowPunct/>
        <w:topLinePunct w:val="0"/>
        <w:autoSpaceDE/>
        <w:autoSpaceDN/>
        <w:bidi w:val="0"/>
        <w:snapToGrid/>
        <w:spacing w:beforeAutospacing="0" w:line="520" w:lineRule="exact"/>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第四条违约责任</w:t>
      </w:r>
    </w:p>
    <w:p>
      <w:pPr>
        <w:keepNext w:val="0"/>
        <w:keepLines w:val="0"/>
        <w:pageBreakBefore w:val="0"/>
        <w:kinsoku/>
        <w:wordWrap/>
        <w:overflowPunct/>
        <w:topLinePunct w:val="0"/>
        <w:autoSpaceDE/>
        <w:autoSpaceDN/>
        <w:bidi w:val="0"/>
        <w:snapToGrid/>
        <w:spacing w:beforeAutospacing="0" w:line="520" w:lineRule="exact"/>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（一）甲方及其工作人员违反本协议第一、二条。甲方按管理权限，对相关责任人依据有关规定给予处理；涉嫌犯罪的，移交司法机关追究刑事责任；给乙方单位造成经济损失的，应予以赔偿。</w:t>
      </w:r>
    </w:p>
    <w:p>
      <w:pPr>
        <w:keepNext w:val="0"/>
        <w:keepLines w:val="0"/>
        <w:pageBreakBefore w:val="0"/>
        <w:kinsoku/>
        <w:wordWrap/>
        <w:overflowPunct/>
        <w:topLinePunct w:val="0"/>
        <w:autoSpaceDE/>
        <w:autoSpaceDN/>
        <w:bidi w:val="0"/>
        <w:snapToGrid/>
        <w:spacing w:beforeAutospacing="0" w:line="520" w:lineRule="exact"/>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甲方举报投诉联系部门：广州市净水有限公司</w:t>
      </w:r>
      <w:r>
        <w:rPr>
          <w:rFonts w:hint="eastAsia" w:ascii="宋体" w:hAnsi="宋体" w:eastAsia="宋体" w:cs="宋体"/>
          <w:b w:val="0"/>
          <w:bCs/>
          <w:color w:val="auto"/>
          <w:sz w:val="24"/>
          <w:szCs w:val="24"/>
          <w:highlight w:val="none"/>
          <w:u w:val="single"/>
        </w:rPr>
        <w:t>纪检室</w:t>
      </w:r>
      <w:r>
        <w:rPr>
          <w:rFonts w:hint="eastAsia" w:ascii="宋体" w:hAnsi="宋体" w:eastAsia="宋体" w:cs="宋体"/>
          <w:b w:val="0"/>
          <w:bCs/>
          <w:color w:val="auto"/>
          <w:sz w:val="24"/>
          <w:szCs w:val="24"/>
          <w:highlight w:val="none"/>
        </w:rPr>
        <w:t>，联系电话：</w:t>
      </w:r>
      <w:r>
        <w:rPr>
          <w:rFonts w:hint="eastAsia" w:ascii="宋体" w:hAnsi="宋体" w:eastAsia="宋体" w:cs="宋体"/>
          <w:b w:val="0"/>
          <w:bCs/>
          <w:color w:val="auto"/>
          <w:sz w:val="24"/>
          <w:szCs w:val="24"/>
          <w:highlight w:val="none"/>
          <w:u w:val="single"/>
        </w:rPr>
        <w:t xml:space="preserve"> 020-38890265 </w:t>
      </w:r>
      <w:r>
        <w:rPr>
          <w:rFonts w:hint="eastAsia" w:ascii="宋体" w:hAnsi="宋体" w:eastAsia="宋体" w:cs="宋体"/>
          <w:b w:val="0"/>
          <w:bCs/>
          <w:color w:val="auto"/>
          <w:sz w:val="24"/>
          <w:szCs w:val="24"/>
          <w:highlight w:val="none"/>
        </w:rPr>
        <w:t>。</w:t>
      </w:r>
    </w:p>
    <w:p>
      <w:pPr>
        <w:pStyle w:val="21"/>
        <w:keepNext w:val="0"/>
        <w:keepLines w:val="0"/>
        <w:pageBreakBefore w:val="0"/>
        <w:widowControl/>
        <w:suppressLineNumbers w:val="0"/>
        <w:kinsoku/>
        <w:wordWrap/>
        <w:overflowPunct/>
        <w:topLinePunct w:val="0"/>
        <w:autoSpaceDE/>
        <w:autoSpaceDN/>
        <w:bidi w:val="0"/>
        <w:snapToGrid/>
        <w:spacing w:beforeAutospacing="0" w:line="520" w:lineRule="exact"/>
        <w:ind w:left="0" w:firstLine="0"/>
        <w:rPr>
          <w:rFonts w:hint="eastAsia" w:ascii="宋体" w:hAnsi="宋体" w:eastAsia="宋体" w:cs="宋体"/>
          <w:b w:val="0"/>
          <w:bCs/>
          <w:i w:val="0"/>
          <w:iCs w:val="0"/>
          <w:caps w:val="0"/>
          <w:color w:val="auto"/>
          <w:spacing w:val="0"/>
          <w:sz w:val="24"/>
          <w:szCs w:val="24"/>
          <w:highlight w:val="none"/>
        </w:rPr>
      </w:pPr>
      <w:r>
        <w:rPr>
          <w:rFonts w:hint="eastAsia" w:ascii="宋体" w:hAnsi="宋体" w:eastAsia="宋体" w:cs="宋体"/>
          <w:b w:val="0"/>
          <w:bCs/>
          <w:i w:val="0"/>
          <w:iCs w:val="0"/>
          <w:caps w:val="0"/>
          <w:color w:val="auto"/>
          <w:spacing w:val="0"/>
          <w:sz w:val="24"/>
          <w:szCs w:val="24"/>
          <w:highlight w:val="none"/>
        </w:rPr>
        <w:t>（二）乙方及其工作人员</w:t>
      </w:r>
      <w:r>
        <w:rPr>
          <w:rFonts w:hint="eastAsia" w:ascii="宋体" w:hAnsi="宋体" w:eastAsia="宋体" w:cs="宋体"/>
          <w:b w:val="0"/>
          <w:bCs/>
          <w:i w:val="0"/>
          <w:iCs w:val="0"/>
          <w:caps w:val="0"/>
          <w:color w:val="auto"/>
          <w:spacing w:val="0"/>
          <w:sz w:val="24"/>
          <w:szCs w:val="24"/>
          <w:highlight w:val="none"/>
          <w:lang w:val="en-US" w:eastAsia="zh-CN"/>
        </w:rPr>
        <w:t>存在</w:t>
      </w:r>
      <w:r>
        <w:rPr>
          <w:rFonts w:hint="eastAsia" w:ascii="宋体" w:hAnsi="宋体" w:eastAsia="宋体" w:cs="宋体"/>
          <w:b w:val="0"/>
          <w:bCs/>
          <w:i w:val="0"/>
          <w:iCs w:val="0"/>
          <w:caps w:val="0"/>
          <w:color w:val="auto"/>
          <w:spacing w:val="0"/>
          <w:sz w:val="24"/>
          <w:szCs w:val="24"/>
          <w:highlight w:val="none"/>
        </w:rPr>
        <w:t>违反本协议第一、三条规定、或在甲方招标、询价等过程中违反法律法规中的廉洁规定</w:t>
      </w:r>
      <w:r>
        <w:rPr>
          <w:rFonts w:hint="eastAsia" w:ascii="宋体" w:hAnsi="宋体" w:eastAsia="宋体" w:cs="宋体"/>
          <w:b w:val="0"/>
          <w:bCs/>
          <w:i w:val="0"/>
          <w:iCs w:val="0"/>
          <w:caps w:val="0"/>
          <w:color w:val="auto"/>
          <w:spacing w:val="0"/>
          <w:sz w:val="24"/>
          <w:szCs w:val="24"/>
          <w:highlight w:val="none"/>
          <w:lang w:val="en-US" w:eastAsia="zh-CN"/>
        </w:rPr>
        <w:t>的行为</w:t>
      </w:r>
      <w:r>
        <w:rPr>
          <w:rFonts w:hint="eastAsia" w:ascii="宋体" w:hAnsi="宋体" w:eastAsia="宋体" w:cs="宋体"/>
          <w:b w:val="0"/>
          <w:bCs/>
          <w:i w:val="0"/>
          <w:iCs w:val="0"/>
          <w:caps w:val="0"/>
          <w:color w:val="auto"/>
          <w:spacing w:val="0"/>
          <w:sz w:val="24"/>
          <w:szCs w:val="24"/>
          <w:highlight w:val="none"/>
        </w:rPr>
        <w:t>，</w:t>
      </w:r>
      <w:r>
        <w:rPr>
          <w:rFonts w:hint="eastAsia" w:ascii="宋体" w:hAnsi="宋体" w:eastAsia="宋体" w:cs="宋体"/>
          <w:b w:val="0"/>
          <w:bCs/>
          <w:i w:val="0"/>
          <w:iCs w:val="0"/>
          <w:caps w:val="0"/>
          <w:color w:val="auto"/>
          <w:spacing w:val="0"/>
          <w:sz w:val="24"/>
          <w:szCs w:val="24"/>
          <w:highlight w:val="none"/>
          <w:lang w:val="en-US" w:eastAsia="zh-CN"/>
        </w:rPr>
        <w:t>无论该行为是否与主合同有关，</w:t>
      </w:r>
      <w:r>
        <w:rPr>
          <w:rFonts w:hint="eastAsia" w:ascii="宋体" w:hAnsi="宋体" w:eastAsia="宋体" w:cs="宋体"/>
          <w:b w:val="0"/>
          <w:bCs/>
          <w:i w:val="0"/>
          <w:iCs w:val="0"/>
          <w:caps w:val="0"/>
          <w:color w:val="auto"/>
          <w:spacing w:val="0"/>
          <w:sz w:val="24"/>
          <w:szCs w:val="24"/>
          <w:highlight w:val="none"/>
        </w:rPr>
        <w:t>甲方</w:t>
      </w:r>
      <w:r>
        <w:rPr>
          <w:rFonts w:hint="eastAsia" w:ascii="宋体" w:hAnsi="宋体" w:eastAsia="宋体" w:cs="宋体"/>
          <w:b w:val="0"/>
          <w:bCs/>
          <w:i w:val="0"/>
          <w:iCs w:val="0"/>
          <w:caps w:val="0"/>
          <w:color w:val="auto"/>
          <w:spacing w:val="0"/>
          <w:sz w:val="24"/>
          <w:szCs w:val="24"/>
          <w:highlight w:val="none"/>
          <w:lang w:val="en-US" w:eastAsia="zh-CN"/>
        </w:rPr>
        <w:t>均</w:t>
      </w:r>
      <w:r>
        <w:rPr>
          <w:rFonts w:hint="eastAsia" w:ascii="宋体" w:hAnsi="宋体" w:eastAsia="宋体" w:cs="宋体"/>
          <w:b w:val="0"/>
          <w:bCs/>
          <w:i w:val="0"/>
          <w:iCs w:val="0"/>
          <w:caps w:val="0"/>
          <w:color w:val="auto"/>
          <w:spacing w:val="0"/>
          <w:sz w:val="24"/>
          <w:szCs w:val="24"/>
          <w:highlight w:val="none"/>
        </w:rPr>
        <w:t>有权根据具体情节和造成的后果，对乙方采取以下处理</w:t>
      </w:r>
      <w:r>
        <w:rPr>
          <w:rFonts w:hint="eastAsia" w:ascii="宋体" w:hAnsi="宋体" w:eastAsia="宋体" w:cs="宋体"/>
          <w:b w:val="0"/>
          <w:bCs/>
          <w:i w:val="0"/>
          <w:iCs w:val="0"/>
          <w:caps w:val="0"/>
          <w:color w:val="auto"/>
          <w:spacing w:val="0"/>
          <w:sz w:val="24"/>
          <w:szCs w:val="24"/>
          <w:highlight w:val="none"/>
          <w:lang w:val="en-US" w:eastAsia="zh-CN"/>
        </w:rPr>
        <w:t>方式</w:t>
      </w:r>
      <w:r>
        <w:rPr>
          <w:rFonts w:hint="eastAsia" w:ascii="宋体" w:hAnsi="宋体" w:eastAsia="宋体" w:cs="宋体"/>
          <w:b w:val="0"/>
          <w:bCs/>
          <w:i w:val="0"/>
          <w:iCs w:val="0"/>
          <w:caps w:val="0"/>
          <w:color w:val="auto"/>
          <w:spacing w:val="0"/>
          <w:sz w:val="24"/>
          <w:szCs w:val="24"/>
          <w:highlight w:val="none"/>
        </w:rPr>
        <w:t>：</w:t>
      </w:r>
    </w:p>
    <w:p>
      <w:pPr>
        <w:pStyle w:val="21"/>
        <w:keepNext w:val="0"/>
        <w:keepLines w:val="0"/>
        <w:pageBreakBefore w:val="0"/>
        <w:widowControl/>
        <w:suppressLineNumbers w:val="0"/>
        <w:kinsoku/>
        <w:wordWrap/>
        <w:overflowPunct/>
        <w:topLinePunct w:val="0"/>
        <w:autoSpaceDE/>
        <w:autoSpaceDN/>
        <w:bidi w:val="0"/>
        <w:snapToGrid/>
        <w:spacing w:beforeAutospacing="0" w:line="520" w:lineRule="exact"/>
        <w:ind w:left="0" w:firstLine="0"/>
        <w:rPr>
          <w:rFonts w:hint="eastAsia" w:ascii="宋体" w:hAnsi="宋体" w:eastAsia="宋体" w:cs="宋体"/>
          <w:b w:val="0"/>
          <w:bCs/>
          <w:i w:val="0"/>
          <w:iCs w:val="0"/>
          <w:caps w:val="0"/>
          <w:color w:val="auto"/>
          <w:spacing w:val="0"/>
          <w:sz w:val="24"/>
          <w:szCs w:val="24"/>
          <w:highlight w:val="none"/>
        </w:rPr>
      </w:pPr>
      <w:r>
        <w:rPr>
          <w:rFonts w:hint="eastAsia" w:ascii="宋体" w:hAnsi="宋体" w:eastAsia="宋体" w:cs="宋体"/>
          <w:b w:val="0"/>
          <w:bCs/>
          <w:i w:val="0"/>
          <w:iCs w:val="0"/>
          <w:caps w:val="0"/>
          <w:color w:val="auto"/>
          <w:spacing w:val="0"/>
          <w:sz w:val="24"/>
          <w:szCs w:val="24"/>
          <w:highlight w:val="none"/>
        </w:rPr>
        <w:t>1、扣除主合同的全部履约保证金；</w:t>
      </w:r>
    </w:p>
    <w:p>
      <w:pPr>
        <w:pStyle w:val="21"/>
        <w:keepNext w:val="0"/>
        <w:keepLines w:val="0"/>
        <w:pageBreakBefore w:val="0"/>
        <w:widowControl/>
        <w:suppressLineNumbers w:val="0"/>
        <w:kinsoku/>
        <w:wordWrap/>
        <w:overflowPunct/>
        <w:topLinePunct w:val="0"/>
        <w:autoSpaceDE/>
        <w:autoSpaceDN/>
        <w:bidi w:val="0"/>
        <w:snapToGrid/>
        <w:spacing w:beforeAutospacing="0" w:line="520" w:lineRule="exact"/>
        <w:ind w:left="0" w:firstLine="0"/>
        <w:rPr>
          <w:rFonts w:hint="eastAsia" w:ascii="宋体" w:hAnsi="宋体" w:eastAsia="宋体" w:cs="宋体"/>
          <w:b w:val="0"/>
          <w:bCs/>
          <w:i w:val="0"/>
          <w:iCs w:val="0"/>
          <w:caps w:val="0"/>
          <w:color w:val="auto"/>
          <w:spacing w:val="0"/>
          <w:sz w:val="24"/>
          <w:szCs w:val="24"/>
          <w:highlight w:val="none"/>
        </w:rPr>
      </w:pPr>
      <w:r>
        <w:rPr>
          <w:rFonts w:hint="eastAsia" w:ascii="宋体" w:hAnsi="宋体" w:eastAsia="宋体" w:cs="宋体"/>
          <w:b w:val="0"/>
          <w:bCs/>
          <w:i w:val="0"/>
          <w:iCs w:val="0"/>
          <w:caps w:val="0"/>
          <w:color w:val="auto"/>
          <w:spacing w:val="0"/>
          <w:sz w:val="24"/>
          <w:szCs w:val="24"/>
          <w:highlight w:val="none"/>
        </w:rPr>
        <w:t>2、解除</w:t>
      </w:r>
      <w:r>
        <w:rPr>
          <w:rFonts w:hint="eastAsia" w:ascii="宋体" w:hAnsi="宋体" w:eastAsia="宋体" w:cs="宋体"/>
          <w:b w:val="0"/>
          <w:bCs/>
          <w:i w:val="0"/>
          <w:iCs w:val="0"/>
          <w:caps w:val="0"/>
          <w:color w:val="auto"/>
          <w:spacing w:val="0"/>
          <w:sz w:val="24"/>
          <w:szCs w:val="24"/>
          <w:highlight w:val="none"/>
          <w:lang w:val="en-US" w:eastAsia="zh-CN"/>
        </w:rPr>
        <w:t>主合同</w:t>
      </w:r>
      <w:r>
        <w:rPr>
          <w:rFonts w:hint="eastAsia" w:ascii="宋体" w:hAnsi="宋体" w:eastAsia="宋体" w:cs="宋体"/>
          <w:b w:val="0"/>
          <w:bCs/>
          <w:i w:val="0"/>
          <w:iCs w:val="0"/>
          <w:caps w:val="0"/>
          <w:color w:val="auto"/>
          <w:spacing w:val="0"/>
          <w:sz w:val="24"/>
          <w:szCs w:val="24"/>
          <w:highlight w:val="none"/>
        </w:rPr>
        <w:t>；</w:t>
      </w:r>
    </w:p>
    <w:p>
      <w:pPr>
        <w:pStyle w:val="21"/>
        <w:keepNext w:val="0"/>
        <w:keepLines w:val="0"/>
        <w:pageBreakBefore w:val="0"/>
        <w:widowControl/>
        <w:suppressLineNumbers w:val="0"/>
        <w:kinsoku/>
        <w:wordWrap/>
        <w:overflowPunct/>
        <w:topLinePunct w:val="0"/>
        <w:autoSpaceDE/>
        <w:autoSpaceDN/>
        <w:bidi w:val="0"/>
        <w:snapToGrid/>
        <w:spacing w:beforeAutospacing="0" w:line="520" w:lineRule="exact"/>
        <w:ind w:left="0" w:firstLine="0"/>
        <w:rPr>
          <w:rFonts w:hint="eastAsia" w:ascii="宋体" w:hAnsi="宋体" w:eastAsia="宋体" w:cs="宋体"/>
          <w:b w:val="0"/>
          <w:bCs/>
          <w:i w:val="0"/>
          <w:iCs w:val="0"/>
          <w:caps w:val="0"/>
          <w:color w:val="auto"/>
          <w:spacing w:val="0"/>
          <w:sz w:val="24"/>
          <w:szCs w:val="24"/>
          <w:highlight w:val="none"/>
        </w:rPr>
      </w:pPr>
      <w:r>
        <w:rPr>
          <w:rFonts w:hint="eastAsia" w:ascii="宋体" w:hAnsi="宋体" w:eastAsia="宋体" w:cs="宋体"/>
          <w:b w:val="0"/>
          <w:bCs/>
          <w:i w:val="0"/>
          <w:iCs w:val="0"/>
          <w:caps w:val="0"/>
          <w:color w:val="auto"/>
          <w:spacing w:val="0"/>
          <w:sz w:val="24"/>
          <w:szCs w:val="24"/>
          <w:highlight w:val="none"/>
        </w:rPr>
        <w:t>3、追究乙方其他违约责任；</w:t>
      </w:r>
    </w:p>
    <w:p>
      <w:pPr>
        <w:pStyle w:val="21"/>
        <w:keepNext w:val="0"/>
        <w:keepLines w:val="0"/>
        <w:pageBreakBefore w:val="0"/>
        <w:widowControl/>
        <w:suppressLineNumbers w:val="0"/>
        <w:kinsoku/>
        <w:wordWrap/>
        <w:overflowPunct/>
        <w:topLinePunct w:val="0"/>
        <w:autoSpaceDE/>
        <w:autoSpaceDN/>
        <w:bidi w:val="0"/>
        <w:snapToGrid/>
        <w:spacing w:beforeAutospacing="0" w:line="520" w:lineRule="exact"/>
        <w:ind w:left="0" w:firstLine="0"/>
        <w:rPr>
          <w:rFonts w:hint="eastAsia" w:ascii="宋体" w:hAnsi="宋体" w:eastAsia="宋体" w:cs="宋体"/>
          <w:b w:val="0"/>
          <w:bCs/>
          <w:i w:val="0"/>
          <w:iCs w:val="0"/>
          <w:caps w:val="0"/>
          <w:color w:val="auto"/>
          <w:spacing w:val="0"/>
          <w:sz w:val="24"/>
          <w:szCs w:val="24"/>
          <w:highlight w:val="none"/>
        </w:rPr>
      </w:pPr>
      <w:r>
        <w:rPr>
          <w:rFonts w:hint="eastAsia" w:ascii="宋体" w:hAnsi="宋体" w:eastAsia="宋体" w:cs="宋体"/>
          <w:b w:val="0"/>
          <w:bCs/>
          <w:i w:val="0"/>
          <w:iCs w:val="0"/>
          <w:caps w:val="0"/>
          <w:color w:val="auto"/>
          <w:spacing w:val="0"/>
          <w:sz w:val="24"/>
          <w:szCs w:val="24"/>
          <w:highlight w:val="none"/>
        </w:rPr>
        <w:t>4、根据甲方的有关规章制度，在一定时间内暂停乙方参与甲方及下属单位所有项目的交易资格；</w:t>
      </w:r>
    </w:p>
    <w:p>
      <w:pPr>
        <w:pStyle w:val="21"/>
        <w:keepNext w:val="0"/>
        <w:keepLines w:val="0"/>
        <w:pageBreakBefore w:val="0"/>
        <w:widowControl/>
        <w:suppressLineNumbers w:val="0"/>
        <w:kinsoku/>
        <w:wordWrap/>
        <w:overflowPunct/>
        <w:topLinePunct w:val="0"/>
        <w:autoSpaceDE/>
        <w:autoSpaceDN/>
        <w:bidi w:val="0"/>
        <w:snapToGrid/>
        <w:spacing w:beforeAutospacing="0" w:line="520" w:lineRule="exact"/>
        <w:ind w:left="0" w:firstLine="0"/>
        <w:rPr>
          <w:rFonts w:hint="eastAsia" w:ascii="宋体" w:hAnsi="宋体" w:eastAsia="宋体" w:cs="宋体"/>
          <w:b w:val="0"/>
          <w:bCs/>
          <w:i w:val="0"/>
          <w:iCs w:val="0"/>
          <w:caps w:val="0"/>
          <w:color w:val="auto"/>
          <w:spacing w:val="0"/>
          <w:sz w:val="24"/>
          <w:szCs w:val="24"/>
          <w:highlight w:val="none"/>
        </w:rPr>
      </w:pPr>
      <w:r>
        <w:rPr>
          <w:rFonts w:hint="eastAsia" w:ascii="宋体" w:hAnsi="宋体" w:eastAsia="宋体" w:cs="宋体"/>
          <w:b w:val="0"/>
          <w:bCs/>
          <w:i w:val="0"/>
          <w:iCs w:val="0"/>
          <w:caps w:val="0"/>
          <w:color w:val="auto"/>
          <w:spacing w:val="0"/>
          <w:sz w:val="24"/>
          <w:szCs w:val="24"/>
          <w:highlight w:val="none"/>
        </w:rPr>
        <w:t>5、根据甲方的有关规章制度，将乙方清退出甲方相关企业库；</w:t>
      </w:r>
    </w:p>
    <w:p>
      <w:pPr>
        <w:pStyle w:val="21"/>
        <w:keepNext w:val="0"/>
        <w:keepLines w:val="0"/>
        <w:pageBreakBefore w:val="0"/>
        <w:widowControl/>
        <w:suppressLineNumbers w:val="0"/>
        <w:kinsoku/>
        <w:wordWrap/>
        <w:overflowPunct/>
        <w:topLinePunct w:val="0"/>
        <w:autoSpaceDE/>
        <w:autoSpaceDN/>
        <w:bidi w:val="0"/>
        <w:snapToGrid/>
        <w:spacing w:beforeAutospacing="0" w:line="520" w:lineRule="exact"/>
        <w:ind w:left="0" w:firstLine="0"/>
        <w:rPr>
          <w:rFonts w:hint="eastAsia" w:ascii="宋体" w:hAnsi="宋体" w:eastAsia="宋体" w:cs="宋体"/>
          <w:b w:val="0"/>
          <w:bCs/>
          <w:i w:val="0"/>
          <w:iCs w:val="0"/>
          <w:caps w:val="0"/>
          <w:color w:val="auto"/>
          <w:spacing w:val="0"/>
          <w:sz w:val="24"/>
          <w:szCs w:val="24"/>
          <w:highlight w:val="none"/>
        </w:rPr>
      </w:pPr>
      <w:r>
        <w:rPr>
          <w:rFonts w:hint="eastAsia" w:ascii="宋体" w:hAnsi="宋体" w:eastAsia="宋体" w:cs="宋体"/>
          <w:b w:val="0"/>
          <w:bCs/>
          <w:i w:val="0"/>
          <w:iCs w:val="0"/>
          <w:caps w:val="0"/>
          <w:color w:val="auto"/>
          <w:spacing w:val="0"/>
          <w:sz w:val="24"/>
          <w:szCs w:val="24"/>
          <w:highlight w:val="none"/>
        </w:rPr>
        <w:t>6、根据甲方上级单位、行政主管部门的意见、决定执行；</w:t>
      </w:r>
    </w:p>
    <w:p>
      <w:pPr>
        <w:pStyle w:val="21"/>
        <w:keepNext w:val="0"/>
        <w:keepLines w:val="0"/>
        <w:pageBreakBefore w:val="0"/>
        <w:widowControl/>
        <w:suppressLineNumbers w:val="0"/>
        <w:kinsoku/>
        <w:wordWrap/>
        <w:overflowPunct/>
        <w:topLinePunct w:val="0"/>
        <w:autoSpaceDE/>
        <w:autoSpaceDN/>
        <w:bidi w:val="0"/>
        <w:snapToGrid/>
        <w:spacing w:beforeAutospacing="0" w:line="520" w:lineRule="exact"/>
        <w:ind w:left="0" w:firstLine="0"/>
        <w:rPr>
          <w:rFonts w:hint="eastAsia" w:ascii="宋体" w:hAnsi="宋体" w:eastAsia="宋体" w:cs="宋体"/>
          <w:b w:val="0"/>
          <w:bCs/>
          <w:i w:val="0"/>
          <w:iCs w:val="0"/>
          <w:caps w:val="0"/>
          <w:color w:val="auto"/>
          <w:spacing w:val="0"/>
          <w:sz w:val="24"/>
          <w:szCs w:val="24"/>
          <w:highlight w:val="none"/>
        </w:rPr>
      </w:pPr>
      <w:r>
        <w:rPr>
          <w:rFonts w:hint="eastAsia" w:ascii="宋体" w:hAnsi="宋体" w:eastAsia="宋体" w:cs="宋体"/>
          <w:b w:val="0"/>
          <w:bCs/>
          <w:i w:val="0"/>
          <w:iCs w:val="0"/>
          <w:caps w:val="0"/>
          <w:color w:val="auto"/>
          <w:spacing w:val="0"/>
          <w:sz w:val="24"/>
          <w:szCs w:val="24"/>
          <w:highlight w:val="none"/>
        </w:rPr>
        <w:t>7、按规定向有关行政监督部门、乙方业务管理部门进行投诉、报告。</w:t>
      </w:r>
    </w:p>
    <w:p>
      <w:pPr>
        <w:keepNext w:val="0"/>
        <w:keepLines w:val="0"/>
        <w:pageBreakBefore w:val="0"/>
        <w:kinsoku/>
        <w:wordWrap/>
        <w:overflowPunct/>
        <w:topLinePunct w:val="0"/>
        <w:autoSpaceDE/>
        <w:autoSpaceDN/>
        <w:bidi w:val="0"/>
        <w:snapToGrid/>
        <w:spacing w:beforeAutospacing="0" w:line="520" w:lineRule="exact"/>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i w:val="0"/>
          <w:iCs w:val="0"/>
          <w:caps w:val="0"/>
          <w:color w:val="auto"/>
          <w:spacing w:val="0"/>
          <w:sz w:val="24"/>
          <w:szCs w:val="24"/>
          <w:highlight w:val="none"/>
        </w:rPr>
        <w:t>乙方无条件接受甲方的处理决定并承担给甲方造成的损失，全额返还通过不正当手段获取的非法所得，并承担相应的法律责任。</w:t>
      </w:r>
    </w:p>
    <w:p>
      <w:pPr>
        <w:keepNext w:val="0"/>
        <w:keepLines w:val="0"/>
        <w:pageBreakBefore w:val="0"/>
        <w:kinsoku/>
        <w:wordWrap/>
        <w:overflowPunct/>
        <w:topLinePunct w:val="0"/>
        <w:autoSpaceDE/>
        <w:autoSpaceDN/>
        <w:bidi w:val="0"/>
        <w:snapToGrid/>
        <w:spacing w:beforeAutospacing="0" w:after="0" w:line="520" w:lineRule="exact"/>
        <w:ind w:firstLine="480" w:firstLineChars="20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sz w:val="24"/>
          <w:szCs w:val="24"/>
          <w:highlight w:val="none"/>
        </w:rPr>
        <w:t xml:space="preserve">第五条 </w:t>
      </w:r>
      <w:r>
        <w:rPr>
          <w:rFonts w:hint="eastAsia" w:ascii="宋体" w:hAnsi="宋体" w:eastAsia="宋体" w:cs="宋体"/>
          <w:b w:val="0"/>
          <w:bCs/>
          <w:color w:val="auto"/>
          <w:kern w:val="0"/>
          <w:sz w:val="24"/>
          <w:szCs w:val="24"/>
          <w:highlight w:val="none"/>
        </w:rPr>
        <w:t xml:space="preserve">本协议执行情况，接受有管辖权的纪检、监察部门的监督，双方应予以配合检查调查。 </w:t>
      </w:r>
    </w:p>
    <w:p>
      <w:pPr>
        <w:keepNext w:val="0"/>
        <w:keepLines w:val="0"/>
        <w:pageBreakBefore w:val="0"/>
        <w:kinsoku/>
        <w:wordWrap/>
        <w:overflowPunct/>
        <w:topLinePunct w:val="0"/>
        <w:autoSpaceDE/>
        <w:autoSpaceDN/>
        <w:bidi w:val="0"/>
        <w:snapToGrid/>
        <w:spacing w:beforeAutospacing="0" w:line="520" w:lineRule="exact"/>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第六条本协议作为</w:t>
      </w:r>
      <w:r>
        <w:rPr>
          <w:rFonts w:hint="eastAsia" w:ascii="宋体" w:hAnsi="宋体" w:eastAsia="宋体" w:cs="宋体"/>
          <w:b w:val="0"/>
          <w:bCs/>
          <w:color w:val="auto"/>
          <w:sz w:val="24"/>
          <w:szCs w:val="24"/>
          <w:highlight w:val="none"/>
          <w:u w:val="single"/>
        </w:rPr>
        <w:t>（合同名称）+（合同编号）</w:t>
      </w:r>
      <w:r>
        <w:rPr>
          <w:rFonts w:hint="eastAsia" w:ascii="宋体" w:hAnsi="宋体" w:eastAsia="宋体" w:cs="宋体"/>
          <w:b w:val="0"/>
          <w:bCs/>
          <w:color w:val="auto"/>
          <w:sz w:val="24"/>
          <w:szCs w:val="24"/>
          <w:highlight w:val="none"/>
        </w:rPr>
        <w:t>合同的附件，并具有同等的法律效力，本协议自双方签字盖章之日起生效，与主合同同时终止。</w:t>
      </w:r>
    </w:p>
    <w:p>
      <w:pPr>
        <w:keepNext w:val="0"/>
        <w:keepLines w:val="0"/>
        <w:pageBreakBefore w:val="0"/>
        <w:kinsoku/>
        <w:wordWrap/>
        <w:overflowPunct/>
        <w:topLinePunct w:val="0"/>
        <w:autoSpaceDE/>
        <w:autoSpaceDN/>
        <w:bidi w:val="0"/>
        <w:snapToGrid/>
        <w:spacing w:beforeAutospacing="0" w:line="520" w:lineRule="exact"/>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第七条本协议一式</w:t>
      </w:r>
      <w:r>
        <w:rPr>
          <w:rFonts w:hint="eastAsia" w:ascii="宋体" w:hAnsi="宋体" w:eastAsia="宋体" w:cs="宋体"/>
          <w:b w:val="0"/>
          <w:bCs/>
          <w:color w:val="auto"/>
          <w:sz w:val="24"/>
          <w:szCs w:val="24"/>
          <w:highlight w:val="none"/>
          <w:u w:val="single"/>
        </w:rPr>
        <w:t>…</w:t>
      </w:r>
      <w:r>
        <w:rPr>
          <w:rFonts w:hint="eastAsia" w:ascii="宋体" w:hAnsi="宋体" w:eastAsia="宋体" w:cs="宋体"/>
          <w:b w:val="0"/>
          <w:bCs/>
          <w:color w:val="auto"/>
          <w:sz w:val="24"/>
          <w:szCs w:val="24"/>
          <w:highlight w:val="none"/>
        </w:rPr>
        <w:t>份，甲方</w:t>
      </w:r>
      <w:r>
        <w:rPr>
          <w:rFonts w:hint="eastAsia" w:ascii="宋体" w:hAnsi="宋体" w:eastAsia="宋体" w:cs="宋体"/>
          <w:b w:val="0"/>
          <w:bCs/>
          <w:color w:val="auto"/>
          <w:sz w:val="24"/>
          <w:szCs w:val="24"/>
          <w:highlight w:val="none"/>
          <w:u w:val="single"/>
        </w:rPr>
        <w:t>…</w:t>
      </w:r>
      <w:r>
        <w:rPr>
          <w:rFonts w:hint="eastAsia" w:ascii="宋体" w:hAnsi="宋体" w:eastAsia="宋体" w:cs="宋体"/>
          <w:b w:val="0"/>
          <w:bCs/>
          <w:color w:val="auto"/>
          <w:sz w:val="24"/>
          <w:szCs w:val="24"/>
          <w:highlight w:val="none"/>
        </w:rPr>
        <w:t>份，乙方</w:t>
      </w:r>
      <w:r>
        <w:rPr>
          <w:rFonts w:hint="eastAsia" w:ascii="宋体" w:hAnsi="宋体" w:eastAsia="宋体" w:cs="宋体"/>
          <w:b w:val="0"/>
          <w:bCs/>
          <w:color w:val="auto"/>
          <w:sz w:val="24"/>
          <w:szCs w:val="24"/>
          <w:highlight w:val="none"/>
          <w:u w:val="single"/>
        </w:rPr>
        <w:t>…</w:t>
      </w:r>
      <w:r>
        <w:rPr>
          <w:rFonts w:hint="eastAsia" w:ascii="宋体" w:hAnsi="宋体" w:eastAsia="宋体" w:cs="宋体"/>
          <w:b w:val="0"/>
          <w:bCs/>
          <w:color w:val="auto"/>
          <w:sz w:val="24"/>
          <w:szCs w:val="24"/>
          <w:highlight w:val="none"/>
        </w:rPr>
        <w:t>份。</w:t>
      </w:r>
    </w:p>
    <w:p>
      <w:pPr>
        <w:keepNext w:val="0"/>
        <w:keepLines w:val="0"/>
        <w:pageBreakBefore w:val="0"/>
        <w:kinsoku/>
        <w:wordWrap/>
        <w:overflowPunct/>
        <w:topLinePunct w:val="0"/>
        <w:autoSpaceDE/>
        <w:autoSpaceDN/>
        <w:bidi w:val="0"/>
        <w:snapToGrid/>
        <w:spacing w:beforeAutospacing="0" w:line="520" w:lineRule="exact"/>
        <w:ind w:firstLine="480" w:firstLineChars="200"/>
        <w:rPr>
          <w:rFonts w:hint="eastAsia" w:ascii="宋体" w:hAnsi="宋体" w:eastAsia="宋体" w:cs="宋体"/>
          <w:b w:val="0"/>
          <w:bCs/>
          <w:color w:val="auto"/>
          <w:sz w:val="24"/>
          <w:szCs w:val="24"/>
          <w:highlight w:val="none"/>
        </w:rPr>
      </w:pPr>
    </w:p>
    <w:p>
      <w:pPr>
        <w:keepNext w:val="0"/>
        <w:keepLines w:val="0"/>
        <w:pageBreakBefore w:val="0"/>
        <w:kinsoku/>
        <w:wordWrap/>
        <w:overflowPunct/>
        <w:topLinePunct w:val="0"/>
        <w:autoSpaceDE/>
        <w:autoSpaceDN/>
        <w:bidi w:val="0"/>
        <w:snapToGrid/>
        <w:spacing w:beforeAutospacing="0" w:line="520" w:lineRule="exact"/>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br w:type="textWrapping"/>
      </w:r>
      <w:r>
        <w:rPr>
          <w:rFonts w:hint="eastAsia" w:ascii="宋体" w:hAnsi="宋体" w:eastAsia="宋体" w:cs="宋体"/>
          <w:b w:val="0"/>
          <w:bCs/>
          <w:color w:val="auto"/>
          <w:sz w:val="24"/>
          <w:szCs w:val="24"/>
          <w:highlight w:val="none"/>
        </w:rPr>
        <w:t>甲方（盖章）：                     乙方（盖章）：</w:t>
      </w:r>
    </w:p>
    <w:p>
      <w:pPr>
        <w:pStyle w:val="46"/>
        <w:keepNext w:val="0"/>
        <w:keepLines w:val="0"/>
        <w:pageBreakBefore w:val="0"/>
        <w:tabs>
          <w:tab w:val="left" w:pos="5100"/>
        </w:tabs>
        <w:kinsoku/>
        <w:wordWrap/>
        <w:overflowPunct/>
        <w:topLinePunct w:val="0"/>
        <w:autoSpaceDE/>
        <w:autoSpaceDN/>
        <w:bidi w:val="0"/>
        <w:snapToGrid/>
        <w:spacing w:beforeAutospacing="0" w:line="520" w:lineRule="exact"/>
        <w:ind w:left="7200" w:firstLine="0" w:firstLineChars="0"/>
        <w:jc w:val="left"/>
        <w:rPr>
          <w:rFonts w:hint="eastAsia" w:ascii="宋体" w:hAnsi="宋体" w:eastAsia="宋体" w:cs="宋体"/>
          <w:b w:val="0"/>
          <w:bCs/>
          <w:color w:val="auto"/>
          <w:sz w:val="24"/>
          <w:szCs w:val="24"/>
          <w:highlight w:val="none"/>
        </w:rPr>
      </w:pPr>
    </w:p>
    <w:p>
      <w:pPr>
        <w:keepNext w:val="0"/>
        <w:keepLines w:val="0"/>
        <w:pageBreakBefore w:val="0"/>
        <w:tabs>
          <w:tab w:val="left" w:pos="5100"/>
        </w:tabs>
        <w:kinsoku/>
        <w:wordWrap/>
        <w:overflowPunct/>
        <w:topLinePunct w:val="0"/>
        <w:autoSpaceDE/>
        <w:autoSpaceDN/>
        <w:bidi w:val="0"/>
        <w:snapToGrid/>
        <w:spacing w:beforeAutospacing="0" w:line="520" w:lineRule="exact"/>
        <w:ind w:left="7200" w:hanging="7200" w:hangingChars="30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签约代表：                         签约代表：</w:t>
      </w:r>
    </w:p>
    <w:p>
      <w:pPr>
        <w:spacing w:line="360" w:lineRule="auto"/>
        <w:jc w:val="center"/>
        <w:rPr>
          <w:rFonts w:ascii="宋体" w:hAnsi="宋体" w:cs="宋体"/>
          <w:b/>
          <w:color w:val="000000" w:themeColor="text1"/>
          <w:szCs w:val="21"/>
          <w:highlight w:val="none"/>
          <w14:textFill>
            <w14:solidFill>
              <w14:schemeClr w14:val="tx1"/>
            </w14:solidFill>
          </w14:textFill>
        </w:rPr>
      </w:pPr>
      <w:r>
        <w:rPr>
          <w:rFonts w:hint="eastAsia" w:ascii="宋体" w:hAnsi="宋体" w:eastAsia="宋体" w:cs="宋体"/>
          <w:b w:val="0"/>
          <w:bCs/>
          <w:color w:val="auto"/>
          <w:sz w:val="24"/>
          <w:szCs w:val="24"/>
          <w:highlight w:val="none"/>
        </w:rPr>
        <w:t>日期:    年  月  日</w:t>
      </w:r>
      <w:r>
        <w:rPr>
          <w:rFonts w:hint="eastAsia" w:ascii="宋体" w:hAnsi="宋体" w:eastAsia="宋体" w:cs="宋体"/>
          <w:b w:val="0"/>
          <w:bCs/>
          <w:color w:val="auto"/>
          <w:sz w:val="24"/>
          <w:szCs w:val="24"/>
          <w:highlight w:val="none"/>
        </w:rPr>
        <w:tab/>
      </w:r>
      <w:r>
        <w:rPr>
          <w:rFonts w:hint="eastAsia" w:ascii="宋体" w:hAnsi="宋体" w:eastAsia="宋体" w:cs="宋体"/>
          <w:b w:val="0"/>
          <w:bCs/>
          <w:color w:val="auto"/>
          <w:sz w:val="24"/>
          <w:szCs w:val="24"/>
          <w:highlight w:val="none"/>
        </w:rPr>
        <w:t>日期：  年  月  日</w:t>
      </w:r>
    </w:p>
    <w:p>
      <w:pPr>
        <w:tabs>
          <w:tab w:val="left" w:pos="4170"/>
        </w:tabs>
        <w:spacing w:line="360" w:lineRule="auto"/>
        <w:rPr>
          <w:rFonts w:ascii="宋体" w:hAnsi="宋体" w:cs="宋体"/>
          <w:color w:val="000000" w:themeColor="text1"/>
          <w:szCs w:val="21"/>
          <w:highlight w:val="none"/>
          <w14:textFill>
            <w14:solidFill>
              <w14:schemeClr w14:val="tx1"/>
            </w14:solidFill>
          </w14:textFill>
        </w:rPr>
      </w:pPr>
    </w:p>
    <w:p>
      <w:pPr>
        <w:rPr>
          <w:rFonts w:ascii="宋体" w:hAnsi="宋体" w:cs="宋体"/>
          <w:color w:val="000000" w:themeColor="text1"/>
          <w:szCs w:val="21"/>
          <w:highlight w:val="none"/>
          <w14:textFill>
            <w14:solidFill>
              <w14:schemeClr w14:val="tx1"/>
            </w14:solidFill>
          </w14:textFill>
        </w:rPr>
      </w:pPr>
    </w:p>
    <w:p>
      <w:pPr>
        <w:spacing w:line="540" w:lineRule="exact"/>
        <w:rPr>
          <w:rFonts w:ascii="宋体" w:hAnsi="宋体" w:cs="宋体"/>
          <w:color w:val="000000" w:themeColor="text1"/>
          <w:szCs w:val="21"/>
          <w:highlight w:val="none"/>
          <w14:textFill>
            <w14:solidFill>
              <w14:schemeClr w14:val="tx1"/>
            </w14:solidFill>
          </w14:textFill>
        </w:rPr>
      </w:pPr>
    </w:p>
    <w:p>
      <w:pPr>
        <w:pStyle w:val="8"/>
        <w:rPr>
          <w:rFonts w:ascii="宋体" w:hAnsi="宋体" w:cs="宋体"/>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附件3</w:t>
      </w:r>
    </w:p>
    <w:p>
      <w:pPr>
        <w:spacing w:line="560" w:lineRule="exact"/>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u w:val="single"/>
          <w14:textFill>
            <w14:solidFill>
              <w14:schemeClr w14:val="tx1"/>
            </w14:solidFill>
          </w14:textFill>
        </w:rPr>
        <w:t xml:space="preserve">       </w:t>
      </w:r>
      <w:r>
        <w:rPr>
          <w:rFonts w:hint="eastAsia" w:ascii="宋体" w:hAnsi="宋体" w:cs="宋体"/>
          <w:b/>
          <w:color w:val="000000" w:themeColor="text1"/>
          <w:szCs w:val="21"/>
          <w:highlight w:val="none"/>
          <w14:textFill>
            <w14:solidFill>
              <w14:schemeClr w14:val="tx1"/>
            </w14:solidFill>
          </w14:textFill>
        </w:rPr>
        <w:t>保密协议</w:t>
      </w:r>
    </w:p>
    <w:p>
      <w:pPr>
        <w:kinsoku w:val="0"/>
        <w:overflowPunct w:val="0"/>
        <w:autoSpaceDE w:val="0"/>
        <w:autoSpaceDN w:val="0"/>
        <w:spacing w:line="440" w:lineRule="exact"/>
        <w:jc w:val="left"/>
        <w:textAlignment w:val="baseline"/>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甲方：广州市净水有限公司</w:t>
      </w:r>
    </w:p>
    <w:p>
      <w:pPr>
        <w:kinsoku w:val="0"/>
        <w:overflowPunct w:val="0"/>
        <w:autoSpaceDE w:val="0"/>
        <w:autoSpaceDN w:val="0"/>
        <w:spacing w:line="440" w:lineRule="exact"/>
        <w:jc w:val="left"/>
        <w:textAlignment w:val="baseline"/>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乙方： </w:t>
      </w:r>
    </w:p>
    <w:p>
      <w:pPr>
        <w:kinsoku w:val="0"/>
        <w:overflowPunct w:val="0"/>
        <w:autoSpaceDE w:val="0"/>
        <w:autoSpaceDN w:val="0"/>
        <w:spacing w:line="440" w:lineRule="exact"/>
        <w:ind w:firstLine="420" w:firstLineChars="200"/>
        <w:jc w:val="left"/>
        <w:textAlignment w:val="baseline"/>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甲乙双方就</w:t>
      </w:r>
      <w:r>
        <w:rPr>
          <w:rFonts w:hint="eastAsia" w:ascii="宋体" w:hAnsi="宋体" w:cs="宋体"/>
          <w:color w:val="000000" w:themeColor="text1"/>
          <w:szCs w:val="21"/>
          <w:highlight w:val="none"/>
          <w:u w:val="single"/>
          <w14:textFill>
            <w14:solidFill>
              <w14:schemeClr w14:val="tx1"/>
            </w14:solidFill>
          </w14:textFill>
        </w:rPr>
        <w:t xml:space="preserve">  沥滘三期无线网络建设项目   </w:t>
      </w:r>
      <w:r>
        <w:rPr>
          <w:rFonts w:hint="eastAsia" w:ascii="宋体" w:hAnsi="宋体" w:cs="宋体"/>
          <w:color w:val="000000" w:themeColor="text1"/>
          <w:szCs w:val="21"/>
          <w:highlight w:val="none"/>
          <w14:textFill>
            <w14:solidFill>
              <w14:schemeClr w14:val="tx1"/>
            </w14:solidFill>
          </w14:textFill>
        </w:rPr>
        <w:t>（以下简称“项目”）实施及合作过程中，提供有关的保密信息，经双方协商一致，签订本协议。</w:t>
      </w:r>
    </w:p>
    <w:p>
      <w:pPr>
        <w:kinsoku w:val="0"/>
        <w:overflowPunct w:val="0"/>
        <w:autoSpaceDE w:val="0"/>
        <w:autoSpaceDN w:val="0"/>
        <w:spacing w:line="440" w:lineRule="exact"/>
        <w:ind w:firstLine="420" w:firstLineChars="200"/>
        <w:jc w:val="left"/>
        <w:textAlignment w:val="baseline"/>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一、保密信息内容</w:t>
      </w:r>
    </w:p>
    <w:p>
      <w:pPr>
        <w:kinsoku w:val="0"/>
        <w:overflowPunct w:val="0"/>
        <w:autoSpaceDE w:val="0"/>
        <w:autoSpaceDN w:val="0"/>
        <w:spacing w:line="440" w:lineRule="exact"/>
        <w:ind w:firstLine="420" w:firstLineChars="200"/>
        <w:jc w:val="left"/>
        <w:textAlignment w:val="baseline"/>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在合作过程中，乙方从甲方（或者子公司、关联公司）获得与合作有关或因合作产生的商业、技术、生产、运营数据或其他性质的资料。保密信息传递形式包括且不限于口头、图像、光盘、软件、书面等。</w:t>
      </w:r>
    </w:p>
    <w:p>
      <w:pPr>
        <w:pStyle w:val="46"/>
        <w:kinsoku w:val="0"/>
        <w:overflowPunct w:val="0"/>
        <w:autoSpaceDE w:val="0"/>
        <w:autoSpaceDN w:val="0"/>
        <w:spacing w:line="440" w:lineRule="exact"/>
        <w:ind w:left="420" w:firstLine="0" w:firstLineChars="0"/>
        <w:jc w:val="left"/>
        <w:textAlignment w:val="baseline"/>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二、保密义务</w:t>
      </w:r>
    </w:p>
    <w:p>
      <w:pPr>
        <w:pStyle w:val="46"/>
        <w:kinsoku w:val="0"/>
        <w:overflowPunct w:val="0"/>
        <w:autoSpaceDE w:val="0"/>
        <w:autoSpaceDN w:val="0"/>
        <w:spacing w:line="440" w:lineRule="exact"/>
        <w:ind w:left="420" w:firstLine="105" w:firstLineChars="50"/>
        <w:jc w:val="left"/>
        <w:textAlignment w:val="baseline"/>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1.甲方向乙方提供所有资料，仅供该项目合作使用，乙方应妥善保</w:t>
      </w:r>
    </w:p>
    <w:p>
      <w:pPr>
        <w:kinsoku w:val="0"/>
        <w:overflowPunct w:val="0"/>
        <w:autoSpaceDE w:val="0"/>
        <w:autoSpaceDN w:val="0"/>
        <w:spacing w:line="440" w:lineRule="exact"/>
        <w:jc w:val="left"/>
        <w:textAlignment w:val="baseline"/>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管，不得遗失、转借、复印。</w:t>
      </w:r>
    </w:p>
    <w:p>
      <w:pPr>
        <w:pStyle w:val="46"/>
        <w:kinsoku w:val="0"/>
        <w:overflowPunct w:val="0"/>
        <w:autoSpaceDE w:val="0"/>
        <w:autoSpaceDN w:val="0"/>
        <w:spacing w:line="440" w:lineRule="exact"/>
        <w:ind w:left="420" w:firstLine="105" w:firstLineChars="50"/>
        <w:jc w:val="left"/>
        <w:textAlignment w:val="baseline"/>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2.所有甲方提供给乙方的材料和乙方在为甲方提供信息技术服务</w:t>
      </w:r>
    </w:p>
    <w:p>
      <w:pPr>
        <w:kinsoku w:val="0"/>
        <w:overflowPunct w:val="0"/>
        <w:autoSpaceDE w:val="0"/>
        <w:autoSpaceDN w:val="0"/>
        <w:spacing w:line="440" w:lineRule="exact"/>
        <w:jc w:val="left"/>
        <w:textAlignment w:val="baseline"/>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过程中获得的甲方的保密信息，在甲方要求时应立即归还并删除存储于乙方电脑、服务器或其他存储介质的有关信息。</w:t>
      </w:r>
    </w:p>
    <w:p>
      <w:pPr>
        <w:kinsoku w:val="0"/>
        <w:overflowPunct w:val="0"/>
        <w:autoSpaceDE w:val="0"/>
        <w:autoSpaceDN w:val="0"/>
        <w:spacing w:line="440" w:lineRule="exact"/>
        <w:ind w:firstLine="420" w:firstLineChars="200"/>
        <w:jc w:val="left"/>
        <w:textAlignment w:val="baseline"/>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3.乙方应自觉维护甲方的利益，严格遵守保密规定，不得向任何单位或个人泄露甲方的任何资料和信息。</w:t>
      </w:r>
    </w:p>
    <w:p>
      <w:pPr>
        <w:kinsoku w:val="0"/>
        <w:overflowPunct w:val="0"/>
        <w:autoSpaceDE w:val="0"/>
        <w:autoSpaceDN w:val="0"/>
        <w:spacing w:line="440" w:lineRule="exact"/>
        <w:ind w:firstLine="420" w:firstLineChars="200"/>
        <w:jc w:val="left"/>
        <w:textAlignment w:val="baseline"/>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 乙方同意并承诺，如保密信息未经甲方许可泄露给他人，一经证实，乙方承担因此造成的一切保密、经济、法律责任，同时赔偿给甲方造成的一切损失。</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三、本协议作为</w:t>
      </w:r>
      <w:r>
        <w:rPr>
          <w:rFonts w:hint="eastAsia" w:ascii="宋体" w:hAnsi="宋体" w:cs="宋体"/>
          <w:color w:val="000000" w:themeColor="text1"/>
          <w:szCs w:val="21"/>
          <w:highlight w:val="none"/>
          <w:u w:val="single"/>
          <w14:textFill>
            <w14:solidFill>
              <w14:schemeClr w14:val="tx1"/>
            </w14:solidFill>
          </w14:textFill>
        </w:rPr>
        <w:t>沥滘三期无线网络建设项目</w:t>
      </w:r>
      <w:r>
        <w:rPr>
          <w:rFonts w:hint="eastAsia" w:ascii="宋体" w:hAnsi="宋体" w:cs="宋体"/>
          <w:color w:val="000000" w:themeColor="text1"/>
          <w:szCs w:val="21"/>
          <w:highlight w:val="none"/>
          <w:u w:val="single"/>
          <w:lang w:eastAsia="zh-CN"/>
          <w14:textFill>
            <w14:solidFill>
              <w14:schemeClr w14:val="tx1"/>
            </w14:solidFill>
          </w14:textFill>
        </w:rPr>
        <w:t>，</w:t>
      </w:r>
      <w:r>
        <w:rPr>
          <w:rFonts w:hint="eastAsia" w:ascii="宋体" w:hAnsi="宋体" w:cs="宋体"/>
          <w:color w:val="000000" w:themeColor="text1"/>
          <w:szCs w:val="21"/>
          <w:highlight w:val="none"/>
          <w:u w:val="single"/>
          <w:lang w:val="en-US" w:eastAsia="zh-CN"/>
          <w14:textFill>
            <w14:solidFill>
              <w14:schemeClr w14:val="tx1"/>
            </w14:solidFill>
          </w14:textFill>
        </w:rPr>
        <w:t xml:space="preserve">穗净水合【2021】  </w:t>
      </w:r>
      <w:r>
        <w:rPr>
          <w:rFonts w:hint="eastAsia" w:ascii="宋体" w:hAnsi="宋体" w:cs="宋体"/>
          <w:color w:val="000000" w:themeColor="text1"/>
          <w:szCs w:val="21"/>
          <w:highlight w:val="none"/>
          <w14:textFill>
            <w14:solidFill>
              <w14:schemeClr w14:val="tx1"/>
            </w14:solidFill>
          </w14:textFill>
        </w:rPr>
        <w:t>合同的附件，并具有同等的法律效力，本协议自双方签字盖章之日起生效，与主合同同时终止。</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四、本协议一式</w:t>
      </w:r>
      <w:r>
        <w:rPr>
          <w:rFonts w:hint="eastAsia" w:ascii="宋体" w:hAnsi="宋体" w:cs="宋体"/>
          <w:color w:val="000000" w:themeColor="text1"/>
          <w:szCs w:val="21"/>
          <w:highlight w:val="none"/>
          <w:u w:val="single"/>
          <w:lang w:val="en-US" w:eastAsia="zh-CN"/>
          <w14:textFill>
            <w14:solidFill>
              <w14:schemeClr w14:val="tx1"/>
            </w14:solidFill>
          </w14:textFill>
        </w:rPr>
        <w:t xml:space="preserve"> 柒</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份，甲方执</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u w:val="single"/>
          <w:lang w:val="en-US" w:eastAsia="zh-CN"/>
          <w14:textFill>
            <w14:solidFill>
              <w14:schemeClr w14:val="tx1"/>
            </w14:solidFill>
          </w14:textFill>
        </w:rPr>
        <w:t>伍</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份，乙方执</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u w:val="single"/>
          <w:lang w:val="en-US" w:eastAsia="zh-CN"/>
          <w14:textFill>
            <w14:solidFill>
              <w14:schemeClr w14:val="tx1"/>
            </w14:solidFill>
          </w14:textFill>
        </w:rPr>
        <w:t>贰</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份。</w:t>
      </w:r>
    </w:p>
    <w:p>
      <w:pPr>
        <w:kinsoku w:val="0"/>
        <w:overflowPunct w:val="0"/>
        <w:autoSpaceDE w:val="0"/>
        <w:autoSpaceDN w:val="0"/>
        <w:spacing w:line="440" w:lineRule="exact"/>
        <w:ind w:left="4410" w:leftChars="200" w:hanging="3990" w:hangingChars="1900"/>
        <w:jc w:val="left"/>
        <w:textAlignment w:val="baseline"/>
        <w:rPr>
          <w:rFonts w:ascii="宋体" w:hAnsi="宋体" w:cs="宋体"/>
          <w:color w:val="000000" w:themeColor="text1"/>
          <w:szCs w:val="21"/>
          <w:highlight w:val="none"/>
          <w14:textFill>
            <w14:solidFill>
              <w14:schemeClr w14:val="tx1"/>
            </w14:solidFill>
          </w14:textFill>
        </w:rPr>
      </w:pPr>
    </w:p>
    <w:p>
      <w:pPr>
        <w:kinsoku w:val="0"/>
        <w:overflowPunct w:val="0"/>
        <w:autoSpaceDE w:val="0"/>
        <w:autoSpaceDN w:val="0"/>
        <w:spacing w:line="440" w:lineRule="exact"/>
        <w:ind w:left="4410" w:leftChars="200" w:hanging="3990" w:hangingChars="1900"/>
        <w:jc w:val="left"/>
        <w:textAlignment w:val="baseline"/>
        <w:rPr>
          <w:rFonts w:ascii="宋体" w:hAnsi="宋体" w:cs="宋体"/>
          <w:color w:val="000000" w:themeColor="text1"/>
          <w:szCs w:val="21"/>
          <w:highlight w:val="none"/>
          <w14:textFill>
            <w14:solidFill>
              <w14:schemeClr w14:val="tx1"/>
            </w14:solidFill>
          </w14:textFill>
        </w:rPr>
      </w:pPr>
    </w:p>
    <w:p>
      <w:pPr>
        <w:kinsoku w:val="0"/>
        <w:overflowPunct w:val="0"/>
        <w:autoSpaceDE w:val="0"/>
        <w:autoSpaceDN w:val="0"/>
        <w:spacing w:line="440" w:lineRule="exact"/>
        <w:ind w:left="4410" w:leftChars="200" w:hanging="3990" w:hangingChars="1900"/>
        <w:jc w:val="left"/>
        <w:textAlignment w:val="baseline"/>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甲方（盖章）：               乙方（盖章）：       </w:t>
      </w:r>
    </w:p>
    <w:p>
      <w:pPr>
        <w:kinsoku w:val="0"/>
        <w:overflowPunct w:val="0"/>
        <w:autoSpaceDE w:val="0"/>
        <w:autoSpaceDN w:val="0"/>
        <w:spacing w:line="440" w:lineRule="exact"/>
        <w:ind w:firstLine="315" w:firstLineChars="150"/>
        <w:jc w:val="left"/>
        <w:textAlignment w:val="baseline"/>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签约代表：                   签约代表：</w:t>
      </w:r>
    </w:p>
    <w:p>
      <w:pPr>
        <w:kinsoku w:val="0"/>
        <w:overflowPunct w:val="0"/>
        <w:autoSpaceDE w:val="0"/>
        <w:autoSpaceDN w:val="0"/>
        <w:spacing w:line="440" w:lineRule="exact"/>
        <w:ind w:firstLine="315" w:firstLineChars="150"/>
        <w:jc w:val="left"/>
        <w:textAlignment w:val="baseline"/>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日期：                       日期：  </w:t>
      </w:r>
    </w:p>
    <w:p>
      <w:pPr>
        <w:spacing w:line="540" w:lineRule="exact"/>
        <w:rPr>
          <w:rFonts w:ascii="宋体" w:hAnsi="宋体" w:cs="宋体"/>
          <w:color w:val="000000" w:themeColor="text1"/>
          <w:szCs w:val="21"/>
          <w:highlight w:val="none"/>
          <w14:textFill>
            <w14:solidFill>
              <w14:schemeClr w14:val="tx1"/>
            </w14:solidFill>
          </w14:textFill>
        </w:rPr>
      </w:pPr>
    </w:p>
    <w:p>
      <w:pPr>
        <w:spacing w:line="540" w:lineRule="exact"/>
        <w:rPr>
          <w:rFonts w:ascii="宋体" w:hAnsi="宋体" w:cs="宋体"/>
          <w:color w:val="000000" w:themeColor="text1"/>
          <w:szCs w:val="21"/>
          <w:highlight w:val="none"/>
          <w14:textFill>
            <w14:solidFill>
              <w14:schemeClr w14:val="tx1"/>
            </w14:solidFill>
          </w14:textFill>
        </w:rPr>
      </w:pPr>
    </w:p>
    <w:p>
      <w:pPr>
        <w:pStyle w:val="31"/>
        <w:rPr>
          <w:rFonts w:ascii="宋体" w:hAnsi="宋体" w:cs="宋体"/>
          <w:color w:val="000000" w:themeColor="text1"/>
          <w:szCs w:val="21"/>
          <w:highlight w:val="none"/>
          <w14:textFill>
            <w14:solidFill>
              <w14:schemeClr w14:val="tx1"/>
            </w14:solidFill>
          </w14:textFill>
        </w:rPr>
      </w:pPr>
    </w:p>
    <w:p>
      <w:pPr>
        <w:spacing w:line="360" w:lineRule="auto"/>
        <w:rPr>
          <w:rFonts w:hint="eastAsia" w:ascii="宋体" w:hAnsi="宋体" w:cs="宋体"/>
          <w:b/>
          <w:bCs/>
          <w:szCs w:val="21"/>
          <w:lang w:eastAsia="zh-CN"/>
        </w:rPr>
      </w:pPr>
      <w:r>
        <w:rPr>
          <w:rFonts w:hint="eastAsia" w:ascii="宋体" w:hAnsi="宋体" w:cs="宋体"/>
          <w:b/>
          <w:bCs/>
          <w:szCs w:val="21"/>
        </w:rPr>
        <w:t>附件</w:t>
      </w:r>
      <w:r>
        <w:rPr>
          <w:rFonts w:hint="eastAsia" w:ascii="宋体" w:hAnsi="宋体" w:cs="宋体"/>
          <w:b/>
          <w:bCs/>
          <w:szCs w:val="21"/>
          <w:lang w:val="en-US" w:eastAsia="zh-CN"/>
        </w:rPr>
        <w:t>4</w:t>
      </w:r>
    </w:p>
    <w:p>
      <w:pPr>
        <w:spacing w:line="560" w:lineRule="exact"/>
        <w:rPr>
          <w:rFonts w:ascii="黑体" w:hAnsi="黑体" w:eastAsia="黑体" w:cs="Batang"/>
          <w:bCs/>
          <w:kern w:val="0"/>
          <w:sz w:val="32"/>
          <w:szCs w:val="32"/>
        </w:rPr>
      </w:pPr>
    </w:p>
    <w:p>
      <w:pPr>
        <w:spacing w:line="560" w:lineRule="exact"/>
        <w:jc w:val="center"/>
        <w:rPr>
          <w:rFonts w:ascii="黑体" w:hAnsi="Batang" w:eastAsia="黑体" w:cs="Batang"/>
          <w:bCs/>
          <w:kern w:val="0"/>
          <w:sz w:val="44"/>
          <w:szCs w:val="44"/>
        </w:rPr>
      </w:pPr>
      <w:r>
        <w:rPr>
          <w:rFonts w:hint="eastAsia" w:ascii="黑体" w:hAnsi="Batang" w:eastAsia="黑体" w:cs="Batang"/>
          <w:bCs/>
          <w:kern w:val="0"/>
          <w:sz w:val="44"/>
          <w:szCs w:val="44"/>
        </w:rPr>
        <w:t>营运场所施工安全协议书</w:t>
      </w:r>
    </w:p>
    <w:p>
      <w:pPr>
        <w:spacing w:line="560" w:lineRule="exact"/>
        <w:rPr>
          <w:rFonts w:ascii="仿宋_GB2312" w:hAnsi="宋体" w:eastAsia="仿宋_GB2312"/>
          <w:sz w:val="24"/>
        </w:rPr>
      </w:pPr>
    </w:p>
    <w:p>
      <w:pPr>
        <w:spacing w:line="560" w:lineRule="exact"/>
        <w:rPr>
          <w:rFonts w:ascii="宋体" w:hAnsi="宋体" w:cs="Arial"/>
          <w:kern w:val="0"/>
          <w:sz w:val="24"/>
        </w:rPr>
      </w:pPr>
      <w:bookmarkStart w:id="55" w:name="_Toc21391"/>
      <w:r>
        <w:rPr>
          <w:rFonts w:hint="eastAsia" w:ascii="宋体" w:hAnsi="宋体" w:cs="Arial"/>
          <w:kern w:val="0"/>
          <w:sz w:val="24"/>
        </w:rPr>
        <w:t>甲方：</w:t>
      </w:r>
      <w:r>
        <w:rPr>
          <w:rFonts w:hint="eastAsia"/>
          <w:sz w:val="24"/>
        </w:rPr>
        <w:t>广州市净水有限公司</w:t>
      </w:r>
    </w:p>
    <w:p>
      <w:pPr>
        <w:spacing w:line="560" w:lineRule="exact"/>
        <w:rPr>
          <w:rFonts w:hint="eastAsia" w:ascii="宋体" w:hAnsi="宋体" w:cs="Arial"/>
          <w:kern w:val="0"/>
          <w:sz w:val="24"/>
        </w:rPr>
      </w:pPr>
      <w:r>
        <w:rPr>
          <w:rFonts w:hint="eastAsia" w:ascii="宋体" w:hAnsi="宋体" w:cs="Arial"/>
          <w:kern w:val="0"/>
          <w:sz w:val="24"/>
        </w:rPr>
        <w:t>乙方：</w:t>
      </w:r>
    </w:p>
    <w:p>
      <w:pPr>
        <w:adjustRightInd w:val="0"/>
        <w:snapToGrid w:val="0"/>
        <w:spacing w:line="560" w:lineRule="exact"/>
        <w:jc w:val="left"/>
        <w:rPr>
          <w:rStyle w:val="28"/>
          <w:rFonts w:asciiTheme="minorEastAsia" w:hAnsiTheme="minorEastAsia" w:eastAsiaTheme="minorEastAsia"/>
          <w:b w:val="0"/>
          <w:u w:val="single"/>
        </w:rPr>
      </w:pPr>
    </w:p>
    <w:bookmarkEnd w:id="55"/>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根据《中华人民共和国安全生产法》《中华人民共和国建筑法》《建设工程安全生产管理条例》《生产安全事故报告和调查处理条例》《中华人民共和国职业病防治法》《工作场所职业卫生监督管理规定》《用人单位职业健康监护监督管理办法》《广州市职业卫生监督管理规定》等法律法规, 经双方协商，签订本协议书，以明确各自的安全生产、职业卫生责任并共同遵守。</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一、本协议与主合同的关系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本协议作为</w:t>
      </w:r>
      <w:r>
        <w:rPr>
          <w:rFonts w:hint="eastAsia" w:asciiTheme="minorEastAsia" w:hAnsiTheme="minorEastAsia" w:eastAsiaTheme="minorEastAsia"/>
          <w:sz w:val="24"/>
          <w:u w:val="single"/>
          <w:lang w:eastAsia="zh-CN"/>
        </w:rPr>
        <w:t>沥滘三期无线网络建设项目</w:t>
      </w:r>
      <w:r>
        <w:rPr>
          <w:rFonts w:hint="eastAsia" w:asciiTheme="minorEastAsia" w:hAnsiTheme="minorEastAsia" w:eastAsiaTheme="minorEastAsia"/>
          <w:sz w:val="24"/>
        </w:rPr>
        <w:t>的组成部分，与主合同具有同等法律效力。</w:t>
      </w:r>
    </w:p>
    <w:p>
      <w:pPr>
        <w:adjustRightInd w:val="0"/>
        <w:snapToGrid w:val="0"/>
        <w:spacing w:line="560" w:lineRule="exact"/>
        <w:ind w:firstLine="482" w:firstLineChars="200"/>
        <w:jc w:val="left"/>
        <w:rPr>
          <w:rFonts w:asciiTheme="minorEastAsia" w:hAnsiTheme="minorEastAsia" w:eastAsiaTheme="minorEastAsia"/>
          <w:b/>
          <w:sz w:val="24"/>
        </w:rPr>
      </w:pPr>
      <w:r>
        <w:rPr>
          <w:rFonts w:asciiTheme="minorEastAsia" w:hAnsiTheme="minorEastAsia" w:eastAsiaTheme="minorEastAsia"/>
          <w:b/>
          <w:sz w:val="24"/>
        </w:rPr>
        <w:t xml:space="preserve"> 二、</w:t>
      </w:r>
      <w:r>
        <w:rPr>
          <w:rFonts w:hint="eastAsia" w:asciiTheme="minorEastAsia" w:hAnsiTheme="minorEastAsia" w:eastAsiaTheme="minorEastAsia"/>
          <w:b/>
          <w:sz w:val="24"/>
        </w:rPr>
        <w:t>甲方权责</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（一）在甲方生产营运场所内施工的，告知乙方该场所已知存在的安全风险，并要求乙方在作业前应重新识别现场的安全风险并采取措施进行管控。</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（二）落实生产营运等相关配合措施，提供必要的施工条件。</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（三）要求乙方遵守的甲方安全管理要求。</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（四）有权对乙方安全措施投入、现场安全施工情况等进行安全监督检查，并提出整改。</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（五）按照《广州市净水有限公司工程项目安全管理规范》等办法对乙方进行施工安全管理评价。</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（六）对于乙方不服从甲方管理，违反安全生产管理规定等违约行为的，甲方有权对乙方采取以下一种或以上的方式处理：</w:t>
      </w:r>
    </w:p>
    <w:p>
      <w:pPr>
        <w:adjustRightInd w:val="0"/>
        <w:snapToGrid w:val="0"/>
        <w:spacing w:line="56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按主合同相关条款进行经济扣罚；</w:t>
      </w:r>
    </w:p>
    <w:p>
      <w:pPr>
        <w:adjustRightInd w:val="0"/>
        <w:snapToGrid w:val="0"/>
        <w:spacing w:line="56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根据《广州市水务局关于印发广州市水务工程施工和监理企业诚信评价管理办法的通知》（穗水建设〔2</w:t>
      </w:r>
      <w:r>
        <w:rPr>
          <w:rFonts w:asciiTheme="minorEastAsia" w:hAnsiTheme="minorEastAsia" w:eastAsiaTheme="minorEastAsia"/>
          <w:sz w:val="24"/>
        </w:rPr>
        <w:t>014</w:t>
      </w:r>
      <w:r>
        <w:rPr>
          <w:rFonts w:hint="eastAsia" w:asciiTheme="minorEastAsia" w:hAnsiTheme="minorEastAsia" w:eastAsiaTheme="minorEastAsia"/>
          <w:sz w:val="24"/>
        </w:rPr>
        <w:t>〕1</w:t>
      </w:r>
      <w:r>
        <w:rPr>
          <w:rFonts w:asciiTheme="minorEastAsia" w:hAnsiTheme="minorEastAsia" w:eastAsiaTheme="minorEastAsia"/>
          <w:sz w:val="24"/>
        </w:rPr>
        <w:t>0</w:t>
      </w:r>
      <w:r>
        <w:rPr>
          <w:rFonts w:hint="eastAsia" w:asciiTheme="minorEastAsia" w:hAnsiTheme="minorEastAsia" w:eastAsiaTheme="minorEastAsia"/>
          <w:sz w:val="24"/>
        </w:rPr>
        <w:t>号）、《市净水公司关于印发施工和监理企业诚信评价工作实施办法的通知》（穗净水〔201</w:t>
      </w:r>
      <w:r>
        <w:rPr>
          <w:rFonts w:asciiTheme="minorEastAsia" w:hAnsiTheme="minorEastAsia" w:eastAsiaTheme="minorEastAsia"/>
          <w:sz w:val="24"/>
        </w:rPr>
        <w:t>5</w:t>
      </w:r>
      <w:r>
        <w:rPr>
          <w:rFonts w:hint="eastAsia" w:asciiTheme="minorEastAsia" w:hAnsiTheme="minorEastAsia" w:eastAsiaTheme="minorEastAsia"/>
          <w:sz w:val="24"/>
        </w:rPr>
        <w:t>〕2</w:t>
      </w:r>
      <w:r>
        <w:rPr>
          <w:rFonts w:asciiTheme="minorEastAsia" w:hAnsiTheme="minorEastAsia" w:eastAsiaTheme="minorEastAsia"/>
          <w:sz w:val="24"/>
        </w:rPr>
        <w:t>40</w:t>
      </w:r>
      <w:r>
        <w:rPr>
          <w:rFonts w:hint="eastAsia" w:asciiTheme="minorEastAsia" w:hAnsiTheme="minorEastAsia" w:eastAsiaTheme="minorEastAsia"/>
          <w:sz w:val="24"/>
        </w:rPr>
        <w:t>号），进行诚信扣分（合同期内有新的文件印发的，按照最新的文件执行）；</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限制投保，或经其他单位承包后以分别方参与项目实施；</w:t>
      </w:r>
    </w:p>
    <w:p>
      <w:pPr>
        <w:adjustRightInd w:val="0"/>
        <w:snapToGrid w:val="0"/>
        <w:spacing w:line="56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向上级进行反映，包括但不限于广东省市政行业协会、广州市市政公路协会等。</w:t>
      </w:r>
    </w:p>
    <w:p>
      <w:pPr>
        <w:spacing w:line="560" w:lineRule="exact"/>
        <w:ind w:firstLine="480" w:firstLineChars="200"/>
        <w:rPr>
          <w:rFonts w:ascii="宋体" w:hAnsi="宋体" w:cs="Arial"/>
          <w:kern w:val="0"/>
          <w:sz w:val="24"/>
        </w:rPr>
      </w:pPr>
      <w:r>
        <w:rPr>
          <w:rFonts w:hint="eastAsia" w:ascii="宋体" w:hAnsi="宋体" w:cs="Arial"/>
          <w:kern w:val="0"/>
          <w:sz w:val="24"/>
        </w:rPr>
        <w:t>（七）乙方对存在问题拒不整改的，或存在弄虚作假情况的，视为违约，甲方有权按主合同相关条款对乙方进行违约金扣罚。如乙方拒不缴纳违约金的，甲方有权在履约保证金中扣除。</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三、乙方权责</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（一）在施工前重新识别现场的安全风险并采取措施进行管控。大型机械设备进场，需提前对设备行走、运输路线进行勘查，确保行走、运输过程中不会造成各种设施的破坏或二次事故。</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（二）严格执行国家、地方和行业主管部门关于施工的强制性标准、地方行政法规、管理要求。</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依法为施工现场作业的人员办理意外伤害保险、购买安全生产责任保险。</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（三）乙方应在合同签订后</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5</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日内制定安全生产文明施工措施费投入使用计划，并提交甲方备案，保证施工安全措施投入。</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（四）严格按照甲方制定的《广州市净水有限公司工程项目安全管理规范》要求，落实各项安全管理工作。</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根据当前国家、行业或甲方近期安全管理的突出方面，或针对项目实际，有针对性地开展安全管理工作，接受甲方的安全管理评价。</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配合甲方的安全监督检查，并立即对提出的问题隐患进行整改。</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（五）落实人员实名制，在签订主合同前提供本项目全体人员已通过三级安全教育及职业健康体检的证明，确保全员没有职业病，禁止有职业禁忌证的人员从事禁忌证相关工作。</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乙方该项目的管理人员、作业人员（包括分包人员）每年由乙方单位依法开展安全生产教育培训，并保存好相关培训证明备查。</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施工过程中，项目管理人员、作业人员（包括分包人员）需进行调整的，必须书面向甲方请示，并获得甲方批准后方可执行变更。</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（六）建立应急管理体系，编制应急预案和现场处置方案，并定期组织开展应急演练。施工现场，乙方应根据施工方案在施工现场配置应急救援物资，并做好应急救援物资的定期检查，确保完好、有效。</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（七）发生突发事件时，应立即报甲方，并同时积极主动地开展应急救援，采取有效措施将事故影响控制在最小范围内。</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（八）严格履行本协议，遵守甲方各项管理规定，服从管理。</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（九）对甲方的违章指挥，拒绝执行，但需书面明确指出甲方所违反的具体法律法规、标准规范等。</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（十）乙方委托的第三方运输单位或个人，违反本协议的，全部责任均由乙方承担。</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四、事故责任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（一）在乙方承包范围内，由于乙方责任发生生产安全事故时，造成的甲方、乙方或者第三方人身伤害事故，乙方负全部责任。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（二）乙方人员违规进入甲方或第三方承包区域，造成事故的，乙方负全部事故责任；乙方人员遭受人身伤害的，乙方负全部责任。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三）同一生产区域内有两家及以上承包单位的，发生生产安全事故，侵害方负全部责任；共同责任造成的，按事故原因划分责任，不能达成一致的，根据政府有关部门的责任划分承担相应的事故责任和经济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（四）乙方在甲方生产区域内发生生产安全事故后，必须在第一时间向甲方报告，迟报或者隐瞒不报生产安全事故，承担事故的全部责任。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（五）乙方各类人员在甲方生产区域内发生人身伤害事故和其他事故，乙方应开展调查、处理、统计、上报并向甲方报告，配合甲方及有关部门开展事故调查。</w:t>
      </w:r>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乙方造成的事故或造成事故扩大的，乙方须立即开展事故处置，并双倍赔偿甲方的全部损失（包括但不限于甲方的直接经济损失和间接经济损失、为处理事故支出的费用、为恢复正常生产产生的费用、因事故被有关单位追究的经济考核扣罚以及因造成第三方损失而支出的赔偿款、律师费、诉讼费等）。</w:t>
      </w:r>
    </w:p>
    <w:p>
      <w:pPr>
        <w:pStyle w:val="43"/>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五、补充条款：</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六、附则</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（一）本协议未尽事宜，依据有关法律、法规、规章处理。法律、法规、规章没有明确规定的，经双方协商处理解决。</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（二）本协议与主合同同时签订、同时终止、同时生效，具有相同的法律效力，自甲方、乙方双方签字、盖章生效，甲方、乙方双方执持数量与主合同一致。</w:t>
      </w:r>
    </w:p>
    <w:p>
      <w:pPr>
        <w:adjustRightInd w:val="0"/>
        <w:snapToGrid w:val="0"/>
        <w:spacing w:line="560" w:lineRule="exact"/>
        <w:rPr>
          <w:rFonts w:ascii="仿宋_GB2312" w:eastAsia="仿宋_GB2312" w:hAnsiTheme="minorEastAsia"/>
          <w:sz w:val="24"/>
        </w:rPr>
      </w:pPr>
    </w:p>
    <w:tbl>
      <w:tblPr>
        <w:tblStyle w:val="2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73"/>
        <w:gridCol w:w="4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73" w:type="dxa"/>
          </w:tcPr>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甲方：</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签约代表：</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联系电话：</w:t>
            </w:r>
          </w:p>
          <w:p>
            <w:pPr>
              <w:adjustRightInd w:val="0"/>
              <w:snapToGrid w:val="0"/>
              <w:spacing w:line="560" w:lineRule="exact"/>
              <w:ind w:firstLine="240" w:firstLineChars="100"/>
              <w:jc w:val="both"/>
              <w:rPr>
                <w:rFonts w:asciiTheme="minorEastAsia" w:hAnsiTheme="minorEastAsia" w:eastAsiaTheme="minorEastAsia"/>
                <w:sz w:val="24"/>
              </w:rPr>
            </w:pPr>
            <w:r>
              <w:rPr>
                <w:rFonts w:hint="eastAsia" w:asciiTheme="minorEastAsia" w:hAnsiTheme="minorEastAsia" w:eastAsiaTheme="minorEastAsia"/>
                <w:sz w:val="24"/>
              </w:rPr>
              <w:t>年</w:t>
            </w:r>
            <w:r>
              <w:rPr>
                <w:rFonts w:asciiTheme="minorEastAsia" w:hAnsiTheme="minorEastAsia" w:eastAsiaTheme="minorEastAsia"/>
                <w:sz w:val="24"/>
              </w:rPr>
              <w:t xml:space="preserve">    </w:t>
            </w:r>
            <w:r>
              <w:rPr>
                <w:rFonts w:hint="eastAsia" w:asciiTheme="minorEastAsia" w:hAnsiTheme="minorEastAsia" w:eastAsiaTheme="minorEastAsia"/>
                <w:sz w:val="24"/>
              </w:rPr>
              <w:t>月</w:t>
            </w:r>
            <w:r>
              <w:rPr>
                <w:rFonts w:asciiTheme="minorEastAsia" w:hAnsiTheme="minorEastAsia" w:eastAsiaTheme="minorEastAsia"/>
                <w:sz w:val="24"/>
              </w:rPr>
              <w:t xml:space="preserve">    </w:t>
            </w:r>
            <w:r>
              <w:rPr>
                <w:rFonts w:hint="eastAsia" w:asciiTheme="minorEastAsia" w:hAnsiTheme="minorEastAsia" w:eastAsiaTheme="minorEastAsia"/>
                <w:sz w:val="24"/>
              </w:rPr>
              <w:t>日</w:t>
            </w:r>
          </w:p>
        </w:tc>
        <w:tc>
          <w:tcPr>
            <w:tcW w:w="4474" w:type="dxa"/>
          </w:tcPr>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乙方：</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签约代表：</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联系电话：</w:t>
            </w:r>
          </w:p>
          <w:p>
            <w:pPr>
              <w:adjustRightInd w:val="0"/>
              <w:snapToGrid w:val="0"/>
              <w:spacing w:line="560" w:lineRule="exact"/>
              <w:jc w:val="center"/>
              <w:rPr>
                <w:rFonts w:asciiTheme="minorEastAsia" w:hAnsiTheme="minorEastAsia" w:eastAsiaTheme="minorEastAsia"/>
                <w:sz w:val="24"/>
              </w:rPr>
            </w:pPr>
            <w:r>
              <w:rPr>
                <w:rFonts w:hint="eastAsia" w:asciiTheme="minorEastAsia" w:hAnsiTheme="minorEastAsia" w:eastAsiaTheme="minorEastAsia"/>
                <w:sz w:val="24"/>
              </w:rPr>
              <w:t>年</w:t>
            </w:r>
            <w:r>
              <w:rPr>
                <w:rFonts w:asciiTheme="minorEastAsia" w:hAnsiTheme="minorEastAsia" w:eastAsiaTheme="minorEastAsia"/>
                <w:sz w:val="24"/>
              </w:rPr>
              <w:t xml:space="preserve">    </w:t>
            </w:r>
            <w:r>
              <w:rPr>
                <w:rFonts w:hint="eastAsia" w:asciiTheme="minorEastAsia" w:hAnsiTheme="minorEastAsia" w:eastAsiaTheme="minorEastAsia"/>
                <w:sz w:val="24"/>
              </w:rPr>
              <w:t>月</w:t>
            </w:r>
            <w:r>
              <w:rPr>
                <w:rFonts w:asciiTheme="minorEastAsia" w:hAnsiTheme="minorEastAsia" w:eastAsiaTheme="minorEastAsia"/>
                <w:sz w:val="24"/>
              </w:rPr>
              <w:t xml:space="preserve">    </w:t>
            </w:r>
            <w:r>
              <w:rPr>
                <w:rFonts w:hint="eastAsia" w:asciiTheme="minorEastAsia" w:hAnsiTheme="minorEastAsia" w:eastAsiaTheme="minorEastAsia"/>
                <w:sz w:val="24"/>
              </w:rPr>
              <w:t>日</w:t>
            </w:r>
          </w:p>
        </w:tc>
      </w:tr>
    </w:tbl>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spacing w:line="480" w:lineRule="exact"/>
        <w:jc w:val="both"/>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附件</w:t>
      </w:r>
      <w:r>
        <w:rPr>
          <w:rFonts w:hint="eastAsia" w:ascii="宋体" w:hAnsi="宋体" w:cs="宋体"/>
          <w:b/>
          <w:bCs/>
          <w:color w:val="000000" w:themeColor="text1"/>
          <w:sz w:val="21"/>
          <w:szCs w:val="21"/>
          <w:highlight w:val="none"/>
          <w14:textFill>
            <w14:solidFill>
              <w14:schemeClr w14:val="tx1"/>
            </w14:solidFill>
          </w14:textFill>
        </w:rPr>
        <w:t>5</w:t>
      </w:r>
      <w:r>
        <w:rPr>
          <w:rFonts w:hint="eastAsia" w:ascii="宋体" w:hAnsi="宋体" w:cs="宋体"/>
          <w:b/>
          <w:bCs/>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 xml:space="preserve"> </w:t>
      </w:r>
    </w:p>
    <w:p>
      <w:pPr>
        <w:adjustRightInd w:val="0"/>
        <w:snapToGrid w:val="0"/>
        <w:jc w:val="center"/>
        <w:rPr>
          <w:rFonts w:hint="eastAsia" w:ascii="方正小标宋简体" w:hAnsi="方正小标宋简体" w:eastAsia="方正小标宋简体" w:cs="方正小标宋简体"/>
          <w:color w:val="auto"/>
          <w:sz w:val="32"/>
          <w:szCs w:val="32"/>
          <w:highlight w:val="none"/>
        </w:rPr>
      </w:pPr>
      <w:r>
        <w:rPr>
          <w:rFonts w:hint="eastAsia" w:ascii="方正小标宋简体" w:hAnsi="方正小标宋简体" w:eastAsia="方正小标宋简体" w:cs="方正小标宋简体"/>
          <w:color w:val="auto"/>
          <w:sz w:val="32"/>
          <w:szCs w:val="32"/>
          <w:highlight w:val="none"/>
        </w:rPr>
        <w:t>服务内容/技术需求</w:t>
      </w:r>
    </w:p>
    <w:p>
      <w:pPr>
        <w:pStyle w:val="31"/>
        <w:rPr>
          <w:rFonts w:hint="eastAsia" w:ascii="宋体" w:hAnsi="宋体" w:cs="宋体"/>
          <w:color w:val="000000" w:themeColor="text1"/>
          <w:sz w:val="24"/>
          <w:szCs w:val="24"/>
          <w:highlight w:val="none"/>
          <w14:textFill>
            <w14:solidFill>
              <w14:schemeClr w14:val="tx1"/>
            </w14:solidFill>
          </w14:textFill>
        </w:rPr>
      </w:pPr>
    </w:p>
    <w:tbl>
      <w:tblPr>
        <w:tblStyle w:val="25"/>
        <w:tblW w:w="9260" w:type="dxa"/>
        <w:jc w:val="center"/>
        <w:tblLayout w:type="autofit"/>
        <w:tblCellMar>
          <w:top w:w="0" w:type="dxa"/>
          <w:left w:w="108" w:type="dxa"/>
          <w:bottom w:w="0" w:type="dxa"/>
          <w:right w:w="108" w:type="dxa"/>
        </w:tblCellMar>
      </w:tblPr>
      <w:tblGrid>
        <w:gridCol w:w="660"/>
        <w:gridCol w:w="1660"/>
        <w:gridCol w:w="5340"/>
        <w:gridCol w:w="840"/>
        <w:gridCol w:w="760"/>
      </w:tblGrid>
      <w:tr>
        <w:tblPrEx>
          <w:tblCellMar>
            <w:top w:w="0" w:type="dxa"/>
            <w:left w:w="108" w:type="dxa"/>
            <w:bottom w:w="0" w:type="dxa"/>
            <w:right w:w="108" w:type="dxa"/>
          </w:tblCellMar>
        </w:tblPrEx>
        <w:trPr>
          <w:trHeight w:val="330"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
                <w:bCs/>
                <w:color w:val="000000"/>
                <w:kern w:val="0"/>
                <w:sz w:val="22"/>
                <w:szCs w:val="22"/>
              </w:rPr>
            </w:pPr>
            <w:r>
              <w:rPr>
                <w:rFonts w:hint="eastAsia" w:ascii="仿宋_GB2312" w:hAnsi="仿宋_GB2312" w:eastAsia="仿宋_GB2312" w:cs="仿宋_GB2312"/>
                <w:b/>
                <w:bCs/>
                <w:color w:val="000000"/>
                <w:kern w:val="0"/>
                <w:sz w:val="22"/>
                <w:szCs w:val="22"/>
              </w:rPr>
              <w:t>序号</w:t>
            </w:r>
          </w:p>
        </w:tc>
        <w:tc>
          <w:tcPr>
            <w:tcW w:w="16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
                <w:bCs/>
                <w:color w:val="000000"/>
                <w:kern w:val="0"/>
                <w:sz w:val="22"/>
                <w:szCs w:val="22"/>
              </w:rPr>
            </w:pPr>
            <w:r>
              <w:rPr>
                <w:rFonts w:hint="eastAsia" w:ascii="仿宋_GB2312" w:hAnsi="仿宋_GB2312" w:eastAsia="仿宋_GB2312" w:cs="仿宋_GB2312"/>
                <w:b/>
                <w:bCs/>
                <w:color w:val="000000"/>
                <w:kern w:val="0"/>
                <w:sz w:val="22"/>
                <w:szCs w:val="22"/>
              </w:rPr>
              <w:t>项目</w:t>
            </w:r>
          </w:p>
        </w:tc>
        <w:tc>
          <w:tcPr>
            <w:tcW w:w="53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
                <w:bCs/>
                <w:color w:val="000000"/>
                <w:kern w:val="0"/>
                <w:sz w:val="22"/>
                <w:szCs w:val="22"/>
              </w:rPr>
            </w:pPr>
            <w:r>
              <w:rPr>
                <w:rFonts w:hint="eastAsia" w:ascii="仿宋_GB2312" w:hAnsi="仿宋_GB2312" w:eastAsia="仿宋_GB2312" w:cs="仿宋_GB2312"/>
                <w:b/>
                <w:bCs/>
                <w:color w:val="000000"/>
                <w:kern w:val="0"/>
                <w:sz w:val="22"/>
                <w:szCs w:val="22"/>
              </w:rPr>
              <w:t>规格参数</w:t>
            </w:r>
          </w:p>
        </w:tc>
        <w:tc>
          <w:tcPr>
            <w:tcW w:w="8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
                <w:bCs/>
                <w:color w:val="000000"/>
                <w:kern w:val="0"/>
                <w:sz w:val="22"/>
                <w:szCs w:val="22"/>
              </w:rPr>
            </w:pPr>
            <w:r>
              <w:rPr>
                <w:rFonts w:hint="eastAsia" w:ascii="仿宋_GB2312" w:hAnsi="仿宋_GB2312" w:eastAsia="仿宋_GB2312" w:cs="仿宋_GB2312"/>
                <w:b/>
                <w:bCs/>
                <w:color w:val="000000"/>
                <w:kern w:val="0"/>
                <w:sz w:val="22"/>
                <w:szCs w:val="22"/>
              </w:rPr>
              <w:t>单位</w:t>
            </w:r>
          </w:p>
        </w:tc>
        <w:tc>
          <w:tcPr>
            <w:tcW w:w="7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b/>
                <w:bCs/>
                <w:color w:val="000000"/>
                <w:kern w:val="0"/>
                <w:sz w:val="22"/>
                <w:szCs w:val="22"/>
              </w:rPr>
            </w:pPr>
            <w:r>
              <w:rPr>
                <w:rFonts w:hint="eastAsia" w:ascii="仿宋_GB2312" w:hAnsi="仿宋_GB2312" w:eastAsia="仿宋_GB2312" w:cs="仿宋_GB2312"/>
                <w:b/>
                <w:bCs/>
                <w:color w:val="000000"/>
                <w:kern w:val="0"/>
                <w:sz w:val="22"/>
                <w:szCs w:val="22"/>
              </w:rPr>
              <w:t>数量</w:t>
            </w:r>
          </w:p>
        </w:tc>
      </w:tr>
      <w:tr>
        <w:tblPrEx>
          <w:tblCellMar>
            <w:top w:w="0" w:type="dxa"/>
            <w:left w:w="108" w:type="dxa"/>
            <w:bottom w:w="0" w:type="dxa"/>
            <w:right w:w="108" w:type="dxa"/>
          </w:tblCellMar>
        </w:tblPrEx>
        <w:trPr>
          <w:trHeight w:val="9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w:t>
            </w:r>
          </w:p>
        </w:tc>
        <w:tc>
          <w:tcPr>
            <w:tcW w:w="1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0"/>
                <w:szCs w:val="20"/>
                <w:u w:val="none"/>
                <w:lang w:val="en-US" w:eastAsia="zh-CN" w:bidi="ar"/>
              </w:rPr>
              <w:t>无线NAP</w:t>
            </w:r>
          </w:p>
        </w:tc>
        <w:tc>
          <w:tcPr>
            <w:tcW w:w="5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Style w:val="55"/>
                <w:rFonts w:hint="eastAsia" w:ascii="仿宋_GB2312" w:hAnsi="仿宋_GB2312" w:eastAsia="仿宋_GB2312" w:cs="仿宋_GB2312"/>
                <w:lang w:val="en-US" w:eastAsia="zh-CN" w:bidi="ar"/>
              </w:rPr>
              <w:t>室外型</w:t>
            </w:r>
            <w:r>
              <w:rPr>
                <w:rStyle w:val="56"/>
                <w:rFonts w:hint="eastAsia" w:ascii="仿宋_GB2312" w:hAnsi="仿宋_GB2312" w:eastAsia="仿宋_GB2312" w:cs="仿宋_GB2312"/>
                <w:lang w:val="en-US" w:eastAsia="zh-CN" w:bidi="ar"/>
              </w:rPr>
              <w:t>Wi-Fi6</w:t>
            </w:r>
            <w:r>
              <w:rPr>
                <w:rStyle w:val="55"/>
                <w:rFonts w:hint="eastAsia" w:ascii="仿宋_GB2312" w:hAnsi="仿宋_GB2312" w:eastAsia="仿宋_GB2312" w:cs="仿宋_GB2312"/>
                <w:lang w:val="en-US" w:eastAsia="zh-CN" w:bidi="ar"/>
              </w:rPr>
              <w:t>无线接入点，内置定向天线，支持</w:t>
            </w:r>
            <w:r>
              <w:rPr>
                <w:rStyle w:val="56"/>
                <w:rFonts w:hint="eastAsia" w:ascii="仿宋_GB2312" w:hAnsi="仿宋_GB2312" w:eastAsia="仿宋_GB2312" w:cs="仿宋_GB2312"/>
                <w:lang w:val="en-US" w:eastAsia="zh-CN" w:bidi="ar"/>
              </w:rPr>
              <w:t>OFDMA</w:t>
            </w:r>
            <w:r>
              <w:rPr>
                <w:rStyle w:val="55"/>
                <w:rFonts w:hint="eastAsia" w:ascii="仿宋_GB2312" w:hAnsi="仿宋_GB2312" w:eastAsia="仿宋_GB2312" w:cs="仿宋_GB2312"/>
                <w:lang w:val="en-US" w:eastAsia="zh-CN" w:bidi="ar"/>
              </w:rPr>
              <w:t>、</w:t>
            </w:r>
            <w:r>
              <w:rPr>
                <w:rStyle w:val="56"/>
                <w:rFonts w:hint="eastAsia" w:ascii="仿宋_GB2312" w:hAnsi="仿宋_GB2312" w:eastAsia="仿宋_GB2312" w:cs="仿宋_GB2312"/>
                <w:lang w:val="en-US" w:eastAsia="zh-CN" w:bidi="ar"/>
              </w:rPr>
              <w:t>UL-MU-MIMO</w:t>
            </w:r>
            <w:r>
              <w:rPr>
                <w:rStyle w:val="55"/>
                <w:rFonts w:hint="eastAsia" w:ascii="仿宋_GB2312" w:hAnsi="仿宋_GB2312" w:eastAsia="仿宋_GB2312" w:cs="仿宋_GB2312"/>
                <w:lang w:val="en-US" w:eastAsia="zh-CN" w:bidi="ar"/>
              </w:rPr>
              <w:t>、空间复用技术和</w:t>
            </w:r>
            <w:r>
              <w:rPr>
                <w:rStyle w:val="56"/>
                <w:rFonts w:hint="eastAsia" w:ascii="仿宋_GB2312" w:hAnsi="仿宋_GB2312" w:eastAsia="仿宋_GB2312" w:cs="仿宋_GB2312"/>
                <w:lang w:val="en-US" w:eastAsia="zh-CN" w:bidi="ar"/>
              </w:rPr>
              <w:t>1024QAM</w:t>
            </w:r>
            <w:r>
              <w:rPr>
                <w:rStyle w:val="55"/>
                <w:rFonts w:hint="eastAsia" w:ascii="仿宋_GB2312" w:hAnsi="仿宋_GB2312" w:eastAsia="仿宋_GB2312" w:cs="仿宋_GB2312"/>
                <w:lang w:val="en-US" w:eastAsia="zh-CN" w:bidi="ar"/>
              </w:rPr>
              <w:t>调制解调算法，整机</w:t>
            </w:r>
            <w:r>
              <w:rPr>
                <w:rStyle w:val="56"/>
                <w:rFonts w:hint="eastAsia" w:ascii="仿宋_GB2312" w:hAnsi="仿宋_GB2312" w:eastAsia="仿宋_GB2312" w:cs="仿宋_GB2312"/>
                <w:lang w:val="en-US" w:eastAsia="zh-CN" w:bidi="ar"/>
              </w:rPr>
              <w:t>4</w:t>
            </w:r>
            <w:r>
              <w:rPr>
                <w:rStyle w:val="55"/>
                <w:rFonts w:hint="eastAsia" w:ascii="仿宋_GB2312" w:hAnsi="仿宋_GB2312" w:eastAsia="仿宋_GB2312" w:cs="仿宋_GB2312"/>
                <w:lang w:val="en-US" w:eastAsia="zh-CN" w:bidi="ar"/>
              </w:rPr>
              <w:t>条空间流，支持</w:t>
            </w:r>
            <w:r>
              <w:rPr>
                <w:rStyle w:val="56"/>
                <w:rFonts w:hint="eastAsia" w:ascii="仿宋_GB2312" w:hAnsi="仿宋_GB2312" w:eastAsia="仿宋_GB2312" w:cs="仿宋_GB2312"/>
                <w:lang w:val="en-US" w:eastAsia="zh-CN" w:bidi="ar"/>
              </w:rPr>
              <w:t>2.4G</w:t>
            </w:r>
            <w:r>
              <w:rPr>
                <w:rStyle w:val="55"/>
                <w:rFonts w:hint="eastAsia" w:ascii="仿宋_GB2312" w:hAnsi="仿宋_GB2312" w:eastAsia="仿宋_GB2312" w:cs="仿宋_GB2312"/>
                <w:lang w:val="en-US" w:eastAsia="zh-CN" w:bidi="ar"/>
              </w:rPr>
              <w:t>和</w:t>
            </w:r>
            <w:r>
              <w:rPr>
                <w:rStyle w:val="56"/>
                <w:rFonts w:hint="eastAsia" w:ascii="仿宋_GB2312" w:hAnsi="仿宋_GB2312" w:eastAsia="仿宋_GB2312" w:cs="仿宋_GB2312"/>
                <w:lang w:val="en-US" w:eastAsia="zh-CN" w:bidi="ar"/>
              </w:rPr>
              <w:t>5G</w:t>
            </w:r>
            <w:r>
              <w:rPr>
                <w:rStyle w:val="55"/>
                <w:rFonts w:hint="eastAsia" w:ascii="仿宋_GB2312" w:hAnsi="仿宋_GB2312" w:eastAsia="仿宋_GB2312" w:cs="仿宋_GB2312"/>
                <w:lang w:val="en-US" w:eastAsia="zh-CN" w:bidi="ar"/>
              </w:rPr>
              <w:t>同时工作，整机最大接入速率</w:t>
            </w:r>
            <w:r>
              <w:rPr>
                <w:rStyle w:val="56"/>
                <w:rFonts w:hint="eastAsia" w:ascii="仿宋_GB2312" w:hAnsi="仿宋_GB2312" w:eastAsia="仿宋_GB2312" w:cs="仿宋_GB2312"/>
                <w:lang w:val="en-US" w:eastAsia="zh-CN" w:bidi="ar"/>
              </w:rPr>
              <w:t>1775Mbps</w:t>
            </w:r>
            <w:r>
              <w:rPr>
                <w:rStyle w:val="55"/>
                <w:rFonts w:hint="eastAsia" w:ascii="仿宋_GB2312" w:hAnsi="仿宋_GB2312" w:eastAsia="仿宋_GB2312" w:cs="仿宋_GB2312"/>
                <w:lang w:val="en-US" w:eastAsia="zh-CN" w:bidi="ar"/>
              </w:rPr>
              <w:t>；一个</w:t>
            </w:r>
            <w:r>
              <w:rPr>
                <w:rStyle w:val="56"/>
                <w:rFonts w:hint="eastAsia" w:ascii="仿宋_GB2312" w:hAnsi="仿宋_GB2312" w:eastAsia="仿宋_GB2312" w:cs="仿宋_GB2312"/>
                <w:lang w:val="en-US" w:eastAsia="zh-CN" w:bidi="ar"/>
              </w:rPr>
              <w:t>SFP</w:t>
            </w:r>
            <w:r>
              <w:rPr>
                <w:rStyle w:val="55"/>
                <w:rFonts w:hint="eastAsia" w:ascii="仿宋_GB2312" w:hAnsi="仿宋_GB2312" w:eastAsia="仿宋_GB2312" w:cs="仿宋_GB2312"/>
                <w:lang w:val="en-US" w:eastAsia="zh-CN" w:bidi="ar"/>
              </w:rPr>
              <w:t>光口和两个千兆电口；内置天馈防雷器</w:t>
            </w:r>
            <w:r>
              <w:rPr>
                <w:rStyle w:val="56"/>
                <w:rFonts w:hint="eastAsia" w:ascii="仿宋_GB2312" w:hAnsi="仿宋_GB2312" w:eastAsia="仿宋_GB2312" w:cs="仿宋_GB2312"/>
                <w:lang w:val="en-US" w:eastAsia="zh-CN" w:bidi="ar"/>
              </w:rPr>
              <w:t>,</w:t>
            </w:r>
            <w:r>
              <w:rPr>
                <w:rStyle w:val="55"/>
                <w:rFonts w:hint="eastAsia" w:ascii="仿宋_GB2312" w:hAnsi="仿宋_GB2312" w:eastAsia="仿宋_GB2312" w:cs="仿宋_GB2312"/>
                <w:lang w:val="en-US" w:eastAsia="zh-CN" w:bidi="ar"/>
              </w:rPr>
              <w:t>支持</w:t>
            </w:r>
            <w:r>
              <w:rPr>
                <w:rStyle w:val="56"/>
                <w:rFonts w:hint="eastAsia" w:ascii="仿宋_GB2312" w:hAnsi="仿宋_GB2312" w:eastAsia="仿宋_GB2312" w:cs="仿宋_GB2312"/>
                <w:lang w:val="en-US" w:eastAsia="zh-CN" w:bidi="ar"/>
              </w:rPr>
              <w:t>POE</w:t>
            </w:r>
            <w:r>
              <w:rPr>
                <w:rStyle w:val="55"/>
                <w:rFonts w:hint="eastAsia" w:ascii="仿宋_GB2312" w:hAnsi="仿宋_GB2312" w:eastAsia="仿宋_GB2312" w:cs="仿宋_GB2312"/>
                <w:lang w:val="en-US" w:eastAsia="zh-CN" w:bidi="ar"/>
              </w:rPr>
              <w:t>供电；支持</w:t>
            </w:r>
            <w:r>
              <w:rPr>
                <w:rStyle w:val="56"/>
                <w:rFonts w:hint="eastAsia" w:ascii="仿宋_GB2312" w:hAnsi="仿宋_GB2312" w:eastAsia="仿宋_GB2312" w:cs="仿宋_GB2312"/>
                <w:lang w:val="en-US" w:eastAsia="zh-CN" w:bidi="ar"/>
              </w:rPr>
              <w:t>802.1X/CA</w:t>
            </w:r>
            <w:r>
              <w:rPr>
                <w:rStyle w:val="55"/>
                <w:rFonts w:hint="eastAsia" w:ascii="仿宋_GB2312" w:hAnsi="仿宋_GB2312" w:eastAsia="仿宋_GB2312" w:cs="仿宋_GB2312"/>
                <w:lang w:val="en-US" w:eastAsia="zh-CN" w:bidi="ar"/>
              </w:rPr>
              <w:t>证书</w:t>
            </w:r>
            <w:r>
              <w:rPr>
                <w:rStyle w:val="56"/>
                <w:rFonts w:hint="eastAsia" w:ascii="仿宋_GB2312" w:hAnsi="仿宋_GB2312" w:eastAsia="仿宋_GB2312" w:cs="仿宋_GB2312"/>
                <w:lang w:val="en-US" w:eastAsia="zh-CN" w:bidi="ar"/>
              </w:rPr>
              <w:t>/</w:t>
            </w:r>
            <w:r>
              <w:rPr>
                <w:rStyle w:val="55"/>
                <w:rFonts w:hint="eastAsia" w:ascii="仿宋_GB2312" w:hAnsi="仿宋_GB2312" w:eastAsia="仿宋_GB2312" w:cs="仿宋_GB2312"/>
                <w:lang w:val="en-US" w:eastAsia="zh-CN" w:bidi="ar"/>
              </w:rPr>
              <w:t>阿里钉钉</w:t>
            </w:r>
            <w:r>
              <w:rPr>
                <w:rStyle w:val="56"/>
                <w:rFonts w:hint="eastAsia" w:ascii="仿宋_GB2312" w:hAnsi="仿宋_GB2312" w:eastAsia="仿宋_GB2312" w:cs="仿宋_GB2312"/>
                <w:lang w:val="en-US" w:eastAsia="zh-CN" w:bidi="ar"/>
              </w:rPr>
              <w:t>/</w:t>
            </w:r>
            <w:r>
              <w:rPr>
                <w:rStyle w:val="55"/>
                <w:rFonts w:hint="eastAsia" w:ascii="仿宋_GB2312" w:hAnsi="仿宋_GB2312" w:eastAsia="仿宋_GB2312" w:cs="仿宋_GB2312"/>
                <w:lang w:val="en-US" w:eastAsia="zh-CN" w:bidi="ar"/>
              </w:rPr>
              <w:t>企业微信</w:t>
            </w:r>
            <w:r>
              <w:rPr>
                <w:rStyle w:val="56"/>
                <w:rFonts w:hint="eastAsia" w:ascii="仿宋_GB2312" w:hAnsi="仿宋_GB2312" w:eastAsia="仿宋_GB2312" w:cs="仿宋_GB2312"/>
                <w:lang w:val="en-US" w:eastAsia="zh-CN" w:bidi="ar"/>
              </w:rPr>
              <w:t>/</w:t>
            </w:r>
            <w:r>
              <w:rPr>
                <w:rStyle w:val="55"/>
                <w:rFonts w:hint="eastAsia" w:ascii="仿宋_GB2312" w:hAnsi="仿宋_GB2312" w:eastAsia="仿宋_GB2312" w:cs="仿宋_GB2312"/>
                <w:lang w:val="en-US" w:eastAsia="zh-CN" w:bidi="ar"/>
              </w:rPr>
              <w:t>微信小程序</w:t>
            </w:r>
            <w:r>
              <w:rPr>
                <w:rStyle w:val="56"/>
                <w:rFonts w:hint="eastAsia" w:ascii="仿宋_GB2312" w:hAnsi="仿宋_GB2312" w:eastAsia="仿宋_GB2312" w:cs="仿宋_GB2312"/>
                <w:lang w:val="en-US" w:eastAsia="zh-CN" w:bidi="ar"/>
              </w:rPr>
              <w:t>/</w:t>
            </w:r>
            <w:r>
              <w:rPr>
                <w:rStyle w:val="55"/>
                <w:rFonts w:hint="eastAsia" w:ascii="仿宋_GB2312" w:hAnsi="仿宋_GB2312" w:eastAsia="仿宋_GB2312" w:cs="仿宋_GB2312"/>
                <w:lang w:val="en-US" w:eastAsia="zh-CN" w:bidi="ar"/>
              </w:rPr>
              <w:t>短信</w:t>
            </w:r>
            <w:r>
              <w:rPr>
                <w:rStyle w:val="56"/>
                <w:rFonts w:hint="eastAsia" w:ascii="仿宋_GB2312" w:hAnsi="仿宋_GB2312" w:eastAsia="仿宋_GB2312" w:cs="仿宋_GB2312"/>
                <w:lang w:val="en-US" w:eastAsia="zh-CN" w:bidi="ar"/>
              </w:rPr>
              <w:t>/</w:t>
            </w:r>
            <w:r>
              <w:rPr>
                <w:rStyle w:val="55"/>
                <w:rFonts w:hint="eastAsia" w:ascii="仿宋_GB2312" w:hAnsi="仿宋_GB2312" w:eastAsia="仿宋_GB2312" w:cs="仿宋_GB2312"/>
                <w:lang w:val="en-US" w:eastAsia="zh-CN" w:bidi="ar"/>
              </w:rPr>
              <w:t>多因素等多种认证方式、</w:t>
            </w:r>
            <w:r>
              <w:rPr>
                <w:rStyle w:val="56"/>
                <w:rFonts w:hint="eastAsia" w:ascii="仿宋_GB2312" w:hAnsi="仿宋_GB2312" w:eastAsia="仿宋_GB2312" w:cs="仿宋_GB2312"/>
                <w:lang w:val="en-US" w:eastAsia="zh-CN" w:bidi="ar"/>
              </w:rPr>
              <w:t>APP</w:t>
            </w:r>
            <w:r>
              <w:rPr>
                <w:rStyle w:val="55"/>
                <w:rFonts w:hint="eastAsia" w:ascii="仿宋_GB2312" w:hAnsi="仿宋_GB2312" w:eastAsia="仿宋_GB2312" w:cs="仿宋_GB2312"/>
                <w:lang w:val="en-US" w:eastAsia="zh-CN" w:bidi="ar"/>
              </w:rPr>
              <w:t>缓存、数据探针、智能负载均衡、网关、</w:t>
            </w:r>
            <w:r>
              <w:rPr>
                <w:rStyle w:val="56"/>
                <w:rFonts w:hint="eastAsia" w:ascii="仿宋_GB2312" w:hAnsi="仿宋_GB2312" w:eastAsia="仿宋_GB2312" w:cs="仿宋_GB2312"/>
                <w:lang w:val="en-US" w:eastAsia="zh-CN" w:bidi="ar"/>
              </w:rPr>
              <w:t>VPN</w:t>
            </w:r>
            <w:r>
              <w:rPr>
                <w:rStyle w:val="55"/>
                <w:rFonts w:hint="eastAsia" w:ascii="仿宋_GB2312" w:hAnsi="仿宋_GB2312" w:eastAsia="仿宋_GB2312" w:cs="仿宋_GB2312"/>
                <w:lang w:val="en-US" w:eastAsia="zh-CN" w:bidi="ar"/>
              </w:rPr>
              <w:t>、</w:t>
            </w:r>
            <w:r>
              <w:rPr>
                <w:rStyle w:val="56"/>
                <w:rFonts w:hint="eastAsia" w:ascii="仿宋_GB2312" w:hAnsi="仿宋_GB2312" w:eastAsia="仿宋_GB2312" w:cs="仿宋_GB2312"/>
                <w:lang w:val="en-US" w:eastAsia="zh-CN" w:bidi="ar"/>
              </w:rPr>
              <w:t>QoS</w:t>
            </w:r>
            <w:r>
              <w:rPr>
                <w:rStyle w:val="55"/>
                <w:rFonts w:hint="eastAsia" w:ascii="仿宋_GB2312" w:hAnsi="仿宋_GB2312" w:eastAsia="仿宋_GB2312" w:cs="仿宋_GB2312"/>
                <w:lang w:val="en-US" w:eastAsia="zh-CN" w:bidi="ar"/>
              </w:rPr>
              <w:t>、潜在风险终端和网络访问流量的识别与封堵、胖瘦一体化</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台</w:t>
            </w:r>
          </w:p>
        </w:tc>
        <w:tc>
          <w:tcPr>
            <w:tcW w:w="7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16"/>
                <w:szCs w:val="16"/>
                <w:u w:val="none"/>
                <w:lang w:val="en-US" w:eastAsia="zh-CN" w:bidi="ar"/>
              </w:rPr>
              <w:t>89</w:t>
            </w:r>
          </w:p>
        </w:tc>
      </w:tr>
      <w:tr>
        <w:tblPrEx>
          <w:tblCellMar>
            <w:top w:w="0" w:type="dxa"/>
            <w:left w:w="108" w:type="dxa"/>
            <w:bottom w:w="0" w:type="dxa"/>
            <w:right w:w="108" w:type="dxa"/>
          </w:tblCellMar>
        </w:tblPrEx>
        <w:trPr>
          <w:trHeight w:val="555"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w:t>
            </w:r>
          </w:p>
        </w:tc>
        <w:tc>
          <w:tcPr>
            <w:tcW w:w="1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0"/>
                <w:szCs w:val="20"/>
                <w:u w:val="none"/>
                <w:lang w:val="en-US" w:eastAsia="zh-CN" w:bidi="ar"/>
              </w:rPr>
              <w:t>无线NAP</w:t>
            </w:r>
          </w:p>
        </w:tc>
        <w:tc>
          <w:tcPr>
            <w:tcW w:w="5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0"/>
                <w:szCs w:val="20"/>
                <w:u w:val="none"/>
                <w:lang w:val="en-US" w:eastAsia="zh-CN" w:bidi="ar"/>
              </w:rPr>
              <w:t>室内Wi-Fi 6 高性能无线接入点，支持802.11ax协议，支持OFDMA、UL-MU-MIMO、空间复用技术和1024QAM调制解调算法，整机4条空间流，内置天线，整机最大接入速率1775Mbps，支持USB口；支持802.1X/CA证书/移动OA/微信小程序/短信/多因素等多种认证方式、APP缓存、数据探针、智能负载均衡、网关、VPN、QoS、潜在风险终端和网络访问流量的识别与封堵、胖瘦一体化； 支持1个千兆以太网口，支持PoE和12V/2A本地供电。</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台</w:t>
            </w:r>
          </w:p>
        </w:tc>
        <w:tc>
          <w:tcPr>
            <w:tcW w:w="7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16"/>
                <w:szCs w:val="16"/>
                <w:u w:val="none"/>
                <w:lang w:val="en-US" w:eastAsia="zh-CN" w:bidi="ar"/>
              </w:rPr>
              <w:t>69</w:t>
            </w:r>
          </w:p>
        </w:tc>
      </w:tr>
      <w:tr>
        <w:tblPrEx>
          <w:tblCellMar>
            <w:top w:w="0" w:type="dxa"/>
            <w:left w:w="108" w:type="dxa"/>
            <w:bottom w:w="0" w:type="dxa"/>
            <w:right w:w="108" w:type="dxa"/>
          </w:tblCellMar>
        </w:tblPrEx>
        <w:trPr>
          <w:trHeight w:val="462"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w:t>
            </w:r>
          </w:p>
        </w:tc>
        <w:tc>
          <w:tcPr>
            <w:tcW w:w="1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0"/>
                <w:szCs w:val="20"/>
                <w:u w:val="none"/>
                <w:lang w:val="en-US" w:eastAsia="zh-CN" w:bidi="ar"/>
              </w:rPr>
              <w:t>无线控制器NAC</w:t>
            </w:r>
          </w:p>
        </w:tc>
        <w:tc>
          <w:tcPr>
            <w:tcW w:w="5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0"/>
                <w:szCs w:val="20"/>
                <w:u w:val="none"/>
                <w:lang w:val="en-US" w:eastAsia="zh-CN" w:bidi="ar"/>
              </w:rPr>
              <w:t>下一代千兆无线控制器， 自带6个千兆电口，默认管理16个AP，集中转发最大支持144个AP，本地转发最大支持900个AP，支持在线用户数8K，支持身份认证、行为管理、行为审计、应用层流控、VPN、AP统一管理、有线无线一体化、集群管理、可视化网管、微信认证、营销推广、用户画像、客流分析，内置128G固态硬盘</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台</w:t>
            </w:r>
          </w:p>
        </w:tc>
        <w:tc>
          <w:tcPr>
            <w:tcW w:w="7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16"/>
                <w:szCs w:val="16"/>
                <w:u w:val="none"/>
                <w:lang w:val="en-US" w:eastAsia="zh-CN" w:bidi="ar"/>
              </w:rPr>
              <w:t>1</w:t>
            </w:r>
          </w:p>
        </w:tc>
      </w:tr>
      <w:tr>
        <w:tblPrEx>
          <w:tblCellMar>
            <w:top w:w="0" w:type="dxa"/>
            <w:left w:w="108" w:type="dxa"/>
            <w:bottom w:w="0" w:type="dxa"/>
            <w:right w:w="108" w:type="dxa"/>
          </w:tblCellMar>
        </w:tblPrEx>
        <w:trPr>
          <w:trHeight w:val="57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w:t>
            </w:r>
          </w:p>
        </w:tc>
        <w:tc>
          <w:tcPr>
            <w:tcW w:w="1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0"/>
                <w:szCs w:val="20"/>
                <w:u w:val="none"/>
                <w:lang w:val="en-US" w:eastAsia="zh-CN" w:bidi="ar"/>
              </w:rPr>
              <w:t>管理AP数Lic</w:t>
            </w:r>
          </w:p>
        </w:tc>
        <w:tc>
          <w:tcPr>
            <w:tcW w:w="5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0"/>
                <w:szCs w:val="20"/>
                <w:u w:val="none"/>
                <w:lang w:val="en-US" w:eastAsia="zh-CN" w:bidi="ar"/>
              </w:rPr>
              <w:t>NAP接入授权，每增加一个管理的AP数量</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val="en-US" w:eastAsia="zh-CN"/>
              </w:rPr>
              <w:t>个</w:t>
            </w:r>
          </w:p>
        </w:tc>
        <w:tc>
          <w:tcPr>
            <w:tcW w:w="7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16"/>
                <w:szCs w:val="16"/>
                <w:u w:val="none"/>
                <w:lang w:val="en-US" w:eastAsia="zh-CN" w:bidi="ar"/>
              </w:rPr>
              <w:t>126</w:t>
            </w:r>
          </w:p>
        </w:tc>
      </w:tr>
      <w:tr>
        <w:tblPrEx>
          <w:tblCellMar>
            <w:top w:w="0" w:type="dxa"/>
            <w:left w:w="108" w:type="dxa"/>
            <w:bottom w:w="0" w:type="dxa"/>
            <w:right w:w="108" w:type="dxa"/>
          </w:tblCellMar>
        </w:tblPrEx>
        <w:trPr>
          <w:trHeight w:val="60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5</w:t>
            </w:r>
          </w:p>
        </w:tc>
        <w:tc>
          <w:tcPr>
            <w:tcW w:w="1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0"/>
                <w:szCs w:val="20"/>
                <w:u w:val="none"/>
                <w:lang w:val="en-US" w:eastAsia="zh-CN" w:bidi="ar"/>
              </w:rPr>
              <w:t>8口POE交换机</w:t>
            </w:r>
          </w:p>
        </w:tc>
        <w:tc>
          <w:tcPr>
            <w:tcW w:w="5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0"/>
                <w:szCs w:val="20"/>
                <w:u w:val="none"/>
                <w:lang w:val="en-US" w:eastAsia="zh-CN" w:bidi="ar"/>
              </w:rPr>
              <w:t>POE交换机，8个千兆POE电口，4个 1G/2.5G SFP光口；交换容量≥256Gbps/2.56Tbps，包转发率≥27Mpps/102Mpps，支持全端口线速转发；支持IEEE 802.3af/at供电标准，单端口最大输出PoE功率30W，整机最大输出PoE功率135W；支持NAC统一管理、统一查看状态、VLAN等配置管理；支持终端识别、终端准入、安全防护及安全画像可视；支持胖瘦一体化</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台</w:t>
            </w:r>
          </w:p>
        </w:tc>
        <w:tc>
          <w:tcPr>
            <w:tcW w:w="7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16"/>
                <w:szCs w:val="16"/>
                <w:u w:val="none"/>
                <w:lang w:val="en-US" w:eastAsia="zh-CN" w:bidi="ar"/>
              </w:rPr>
              <w:t>14</w:t>
            </w:r>
          </w:p>
        </w:tc>
      </w:tr>
      <w:tr>
        <w:tblPrEx>
          <w:tblCellMar>
            <w:top w:w="0" w:type="dxa"/>
            <w:left w:w="108" w:type="dxa"/>
            <w:bottom w:w="0" w:type="dxa"/>
            <w:right w:w="108" w:type="dxa"/>
          </w:tblCellMar>
        </w:tblPrEx>
        <w:trPr>
          <w:trHeight w:val="840"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6</w:t>
            </w:r>
          </w:p>
        </w:tc>
        <w:tc>
          <w:tcPr>
            <w:tcW w:w="1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0"/>
                <w:szCs w:val="20"/>
                <w:u w:val="none"/>
                <w:lang w:val="en-US" w:eastAsia="zh-CN" w:bidi="ar"/>
              </w:rPr>
              <w:t>24口POE交换机</w:t>
            </w:r>
          </w:p>
        </w:tc>
        <w:tc>
          <w:tcPr>
            <w:tcW w:w="5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0"/>
                <w:szCs w:val="20"/>
                <w:u w:val="none"/>
                <w:lang w:val="en-US" w:eastAsia="zh-CN" w:bidi="ar"/>
              </w:rPr>
              <w:t>POE交换机，24个千兆POE电口，4个 1G/2.5G SFP光口；交换容量≥336Gbps/3.36Tbps，包转发率≥108Mpps/126Mpps，支持全端口线速转发；支持IEEE 802.3af/at供电标准，单端口最大输出PoE功率30W，整机最大输出PoE功率370W；支持NAC统一管理、统一查看状态、VLAN等配置管理；支持终端识别、终端准入、安全防护及安全画像可视；支持胖瘦一体化</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台</w:t>
            </w:r>
          </w:p>
        </w:tc>
        <w:tc>
          <w:tcPr>
            <w:tcW w:w="7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16"/>
                <w:szCs w:val="16"/>
                <w:u w:val="none"/>
                <w:lang w:val="en-US" w:eastAsia="zh-CN" w:bidi="ar"/>
              </w:rPr>
              <w:t>7</w:t>
            </w:r>
          </w:p>
        </w:tc>
      </w:tr>
      <w:tr>
        <w:tblPrEx>
          <w:tblCellMar>
            <w:top w:w="0" w:type="dxa"/>
            <w:left w:w="108" w:type="dxa"/>
            <w:bottom w:w="0" w:type="dxa"/>
            <w:right w:w="108" w:type="dxa"/>
          </w:tblCellMar>
        </w:tblPrEx>
        <w:trPr>
          <w:trHeight w:val="825"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7</w:t>
            </w:r>
          </w:p>
        </w:tc>
        <w:tc>
          <w:tcPr>
            <w:tcW w:w="1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0"/>
                <w:szCs w:val="20"/>
                <w:u w:val="none"/>
                <w:lang w:val="en-US" w:eastAsia="zh-CN" w:bidi="ar"/>
              </w:rPr>
              <w:t>24口汇聚交换机</w:t>
            </w:r>
          </w:p>
        </w:tc>
        <w:tc>
          <w:tcPr>
            <w:tcW w:w="5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0"/>
                <w:szCs w:val="20"/>
                <w:u w:val="none"/>
                <w:lang w:val="en-US" w:eastAsia="zh-CN" w:bidi="ar"/>
              </w:rPr>
              <w:t>光交换机，24个千兆SFP光口，16个千兆电口（复用），4个10G SFP+万兆光口，2个20 G QSFP光口；交换容量≥598Gbps/5.98Tbps，包转发率≥222Mpps，支持全端口线速转发；支持NAC统一管理、统一查看状态、VLAN等配置管理；支持终端识别、终端准入、安全防护及安全画像可视；支持胖瘦一体化；支持双电源模块，默认含1个 150W 交流电源。</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台</w:t>
            </w:r>
          </w:p>
        </w:tc>
        <w:tc>
          <w:tcPr>
            <w:tcW w:w="7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16"/>
                <w:szCs w:val="16"/>
                <w:u w:val="none"/>
                <w:lang w:val="en-US" w:eastAsia="zh-CN" w:bidi="ar"/>
              </w:rPr>
              <w:t>1</w:t>
            </w:r>
          </w:p>
        </w:tc>
      </w:tr>
      <w:tr>
        <w:tblPrEx>
          <w:tblCellMar>
            <w:top w:w="0" w:type="dxa"/>
            <w:left w:w="108" w:type="dxa"/>
            <w:bottom w:w="0" w:type="dxa"/>
            <w:right w:w="108" w:type="dxa"/>
          </w:tblCellMar>
        </w:tblPrEx>
        <w:trPr>
          <w:trHeight w:val="439"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w:t>
            </w:r>
          </w:p>
        </w:tc>
        <w:tc>
          <w:tcPr>
            <w:tcW w:w="1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0"/>
                <w:szCs w:val="20"/>
                <w:u w:val="none"/>
                <w:lang w:val="en-US" w:eastAsia="zh-CN" w:bidi="ar"/>
              </w:rPr>
              <w:t>光纤模块</w:t>
            </w:r>
          </w:p>
        </w:tc>
        <w:tc>
          <w:tcPr>
            <w:tcW w:w="5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0"/>
                <w:szCs w:val="20"/>
                <w:u w:val="none"/>
                <w:lang w:val="en-US" w:eastAsia="zh-CN" w:bidi="ar"/>
              </w:rPr>
              <w:t>SFP 千兆单模光模块，单模，1310nm，最大传输距离 10km，接头类型：LC</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1"/>
                <w:szCs w:val="21"/>
                <w:lang w:bidi="ar"/>
              </w:rPr>
              <w:t>块</w:t>
            </w:r>
          </w:p>
        </w:tc>
        <w:tc>
          <w:tcPr>
            <w:tcW w:w="7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16"/>
                <w:szCs w:val="16"/>
                <w:u w:val="none"/>
                <w:lang w:val="en-US" w:eastAsia="zh-CN" w:bidi="ar"/>
              </w:rPr>
              <w:t>46</w:t>
            </w:r>
          </w:p>
        </w:tc>
      </w:tr>
      <w:tr>
        <w:tblPrEx>
          <w:tblCellMar>
            <w:top w:w="0" w:type="dxa"/>
            <w:left w:w="108" w:type="dxa"/>
            <w:bottom w:w="0" w:type="dxa"/>
            <w:right w:w="108" w:type="dxa"/>
          </w:tblCellMar>
        </w:tblPrEx>
        <w:trPr>
          <w:trHeight w:val="439"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9</w:t>
            </w:r>
          </w:p>
        </w:tc>
        <w:tc>
          <w:tcPr>
            <w:tcW w:w="1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0"/>
                <w:szCs w:val="20"/>
                <w:u w:val="none"/>
                <w:lang w:val="en-US" w:eastAsia="zh-CN" w:bidi="ar"/>
              </w:rPr>
              <w:t>辅材</w:t>
            </w:r>
          </w:p>
        </w:tc>
        <w:tc>
          <w:tcPr>
            <w:tcW w:w="5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0"/>
                <w:szCs w:val="20"/>
                <w:u w:val="none"/>
                <w:lang w:val="en-US" w:eastAsia="zh-CN" w:bidi="ar"/>
              </w:rPr>
              <w:t xml:space="preserve"> 线材、管材、电源线、设备工具、标签、配件等材料</w:t>
            </w:r>
          </w:p>
        </w:tc>
        <w:tc>
          <w:tcPr>
            <w:tcW w:w="8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1"/>
                <w:szCs w:val="21"/>
                <w:lang w:bidi="ar"/>
              </w:rPr>
              <w:t>批</w:t>
            </w:r>
          </w:p>
        </w:tc>
        <w:tc>
          <w:tcPr>
            <w:tcW w:w="7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16"/>
                <w:szCs w:val="16"/>
                <w:u w:val="none"/>
                <w:lang w:val="en-US" w:eastAsia="zh-CN" w:bidi="ar"/>
              </w:rPr>
              <w:t>1</w:t>
            </w:r>
          </w:p>
        </w:tc>
      </w:tr>
      <w:tr>
        <w:tblPrEx>
          <w:tblCellMar>
            <w:top w:w="0" w:type="dxa"/>
            <w:left w:w="108" w:type="dxa"/>
            <w:bottom w:w="0" w:type="dxa"/>
            <w:right w:w="108" w:type="dxa"/>
          </w:tblCellMar>
        </w:tblPrEx>
        <w:trPr>
          <w:trHeight w:val="439" w:hRule="atLeast"/>
          <w:jc w:val="center"/>
        </w:trPr>
        <w:tc>
          <w:tcPr>
            <w:tcW w:w="6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10</w:t>
            </w:r>
          </w:p>
        </w:tc>
        <w:tc>
          <w:tcPr>
            <w:tcW w:w="16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0"/>
                <w:szCs w:val="20"/>
                <w:u w:val="none"/>
                <w:lang w:val="en-US" w:eastAsia="zh-CN" w:bidi="ar"/>
              </w:rPr>
              <w:t>技术服务</w:t>
            </w:r>
          </w:p>
        </w:tc>
        <w:tc>
          <w:tcPr>
            <w:tcW w:w="5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20"/>
                <w:szCs w:val="20"/>
                <w:u w:val="none"/>
                <w:lang w:val="en-US" w:eastAsia="zh-CN" w:bidi="ar"/>
              </w:rPr>
              <w:t xml:space="preserve"> 施工安装调试、技术服务等</w:t>
            </w:r>
          </w:p>
        </w:tc>
        <w:tc>
          <w:tcPr>
            <w:tcW w:w="8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1"/>
                <w:szCs w:val="21"/>
                <w:lang w:bidi="ar"/>
              </w:rPr>
              <w:t>项</w:t>
            </w:r>
          </w:p>
        </w:tc>
        <w:tc>
          <w:tcPr>
            <w:tcW w:w="7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i w:val="0"/>
                <w:color w:val="000000"/>
                <w:kern w:val="0"/>
                <w:sz w:val="16"/>
                <w:szCs w:val="16"/>
                <w:u w:val="none"/>
                <w:lang w:val="en-US" w:eastAsia="zh-CN" w:bidi="ar"/>
              </w:rPr>
              <w:t>1</w:t>
            </w:r>
          </w:p>
        </w:tc>
      </w:tr>
    </w:tbl>
    <w:p>
      <w:pPr>
        <w:pStyle w:val="31"/>
        <w:rPr>
          <w:rFonts w:hint="eastAsia" w:ascii="宋体" w:hAnsi="宋体" w:cs="宋体"/>
          <w:color w:val="000000" w:themeColor="text1"/>
          <w:sz w:val="24"/>
          <w:szCs w:val="24"/>
          <w:highlight w:val="none"/>
          <w14:textFill>
            <w14:solidFill>
              <w14:schemeClr w14:val="tx1"/>
            </w14:solidFill>
          </w14:textFill>
        </w:rPr>
      </w:pPr>
    </w:p>
    <w:p>
      <w:pPr>
        <w:spacing w:line="480" w:lineRule="exact"/>
        <w:ind w:firstLine="1320" w:firstLineChars="550"/>
        <w:rPr>
          <w:rFonts w:hint="eastAsia" w:ascii="宋体" w:hAnsi="宋体" w:cs="宋体"/>
          <w:color w:val="000000" w:themeColor="text1"/>
          <w:sz w:val="24"/>
          <w:szCs w:val="24"/>
          <w:highlight w:val="none"/>
          <w14:textFill>
            <w14:solidFill>
              <w14:schemeClr w14:val="tx1"/>
            </w14:solidFill>
          </w14:textFill>
        </w:rPr>
      </w:pPr>
    </w:p>
    <w:p>
      <w:pPr>
        <w:spacing w:line="480" w:lineRule="exact"/>
        <w:ind w:firstLine="1320" w:firstLineChars="550"/>
        <w:rPr>
          <w:rFonts w:hint="eastAsia" w:ascii="宋体" w:hAnsi="宋体" w:cs="宋体"/>
          <w:color w:val="000000" w:themeColor="text1"/>
          <w:sz w:val="24"/>
          <w:szCs w:val="24"/>
          <w:highlight w:val="none"/>
          <w14:textFill>
            <w14:solidFill>
              <w14:schemeClr w14:val="tx1"/>
            </w14:solidFill>
          </w14:textFill>
        </w:rPr>
      </w:pPr>
    </w:p>
    <w:p>
      <w:pPr>
        <w:spacing w:line="480" w:lineRule="exact"/>
        <w:ind w:firstLine="1320" w:firstLineChars="550"/>
        <w:rPr>
          <w:rFonts w:hint="eastAsia" w:ascii="宋体" w:hAnsi="宋体" w:cs="宋体"/>
          <w:color w:val="000000" w:themeColor="text1"/>
          <w:sz w:val="24"/>
          <w:szCs w:val="24"/>
          <w:highlight w:val="none"/>
          <w14:textFill>
            <w14:solidFill>
              <w14:schemeClr w14:val="tx1"/>
            </w14:solidFill>
          </w14:textFill>
        </w:rPr>
      </w:pPr>
    </w:p>
    <w:p>
      <w:pPr>
        <w:spacing w:line="480" w:lineRule="exact"/>
        <w:ind w:firstLine="1320" w:firstLineChars="550"/>
        <w:rPr>
          <w:rFonts w:hint="eastAsia" w:ascii="宋体" w:hAnsi="宋体" w:cs="宋体"/>
          <w:color w:val="000000" w:themeColor="text1"/>
          <w:sz w:val="24"/>
          <w:szCs w:val="24"/>
          <w:highlight w:val="none"/>
          <w14:textFill>
            <w14:solidFill>
              <w14:schemeClr w14:val="tx1"/>
            </w14:solidFill>
          </w14:textFill>
        </w:rPr>
      </w:pPr>
    </w:p>
    <w:p>
      <w:pPr>
        <w:spacing w:line="480" w:lineRule="exact"/>
        <w:ind w:firstLine="1320" w:firstLineChars="550"/>
        <w:rPr>
          <w:rFonts w:hint="eastAsia" w:ascii="宋体" w:hAnsi="宋体" w:cs="宋体"/>
          <w:color w:val="000000" w:themeColor="text1"/>
          <w:sz w:val="24"/>
          <w:szCs w:val="24"/>
          <w:highlight w:val="none"/>
          <w14:textFill>
            <w14:solidFill>
              <w14:schemeClr w14:val="tx1"/>
            </w14:solidFill>
          </w14:textFill>
        </w:rPr>
      </w:pPr>
    </w:p>
    <w:p>
      <w:pPr>
        <w:spacing w:line="480" w:lineRule="exact"/>
        <w:ind w:firstLine="1320" w:firstLineChars="550"/>
        <w:rPr>
          <w:rFonts w:hint="eastAsia" w:ascii="宋体" w:hAnsi="宋体" w:cs="宋体"/>
          <w:color w:val="000000" w:themeColor="text1"/>
          <w:sz w:val="24"/>
          <w:szCs w:val="24"/>
          <w:highlight w:val="none"/>
          <w14:textFill>
            <w14:solidFill>
              <w14:schemeClr w14:val="tx1"/>
            </w14:solidFill>
          </w14:textFill>
        </w:rPr>
      </w:pPr>
    </w:p>
    <w:p>
      <w:pPr>
        <w:spacing w:line="480" w:lineRule="exact"/>
        <w:ind w:firstLine="1320" w:firstLineChars="550"/>
        <w:rPr>
          <w:rFonts w:hint="eastAsia" w:ascii="宋体" w:hAnsi="宋体" w:cs="宋体"/>
          <w:color w:val="000000" w:themeColor="text1"/>
          <w:sz w:val="24"/>
          <w:szCs w:val="24"/>
          <w:highlight w:val="none"/>
          <w14:textFill>
            <w14:solidFill>
              <w14:schemeClr w14:val="tx1"/>
            </w14:solidFill>
          </w14:textFill>
        </w:rPr>
      </w:pPr>
    </w:p>
    <w:p>
      <w:pPr>
        <w:spacing w:line="480" w:lineRule="exact"/>
        <w:ind w:firstLine="1320" w:firstLineChars="550"/>
        <w:rPr>
          <w:rFonts w:hint="eastAsia" w:ascii="宋体" w:hAnsi="宋体" w:cs="宋体"/>
          <w:color w:val="000000" w:themeColor="text1"/>
          <w:sz w:val="24"/>
          <w:szCs w:val="24"/>
          <w:highlight w:val="none"/>
          <w14:textFill>
            <w14:solidFill>
              <w14:schemeClr w14:val="tx1"/>
            </w14:solidFill>
          </w14:textFill>
        </w:rPr>
      </w:pPr>
    </w:p>
    <w:p>
      <w:pPr>
        <w:spacing w:line="480" w:lineRule="exact"/>
        <w:ind w:firstLine="1320" w:firstLineChars="550"/>
        <w:rPr>
          <w:rFonts w:hint="eastAsia" w:ascii="宋体" w:hAnsi="宋体" w:cs="宋体"/>
          <w:color w:val="000000" w:themeColor="text1"/>
          <w:sz w:val="24"/>
          <w:szCs w:val="24"/>
          <w:highlight w:val="none"/>
          <w14:textFill>
            <w14:solidFill>
              <w14:schemeClr w14:val="tx1"/>
            </w14:solidFill>
          </w14:textFill>
        </w:rPr>
      </w:pPr>
    </w:p>
    <w:p>
      <w:pPr>
        <w:spacing w:line="480" w:lineRule="exact"/>
        <w:ind w:firstLine="1320" w:firstLineChars="550"/>
        <w:rPr>
          <w:rFonts w:hint="eastAsia" w:ascii="宋体" w:hAnsi="宋体" w:cs="宋体"/>
          <w:color w:val="000000" w:themeColor="text1"/>
          <w:sz w:val="24"/>
          <w:szCs w:val="24"/>
          <w:highlight w:val="none"/>
          <w14:textFill>
            <w14:solidFill>
              <w14:schemeClr w14:val="tx1"/>
            </w14:solidFill>
          </w14:textFill>
        </w:rPr>
      </w:pPr>
    </w:p>
    <w:p>
      <w:pPr>
        <w:spacing w:line="480" w:lineRule="exact"/>
        <w:ind w:firstLine="1320" w:firstLineChars="550"/>
        <w:rPr>
          <w:rFonts w:hint="eastAsia" w:ascii="宋体" w:hAnsi="宋体" w:cs="宋体"/>
          <w:color w:val="000000" w:themeColor="text1"/>
          <w:sz w:val="24"/>
          <w:szCs w:val="24"/>
          <w:highlight w:val="none"/>
          <w14:textFill>
            <w14:solidFill>
              <w14:schemeClr w14:val="tx1"/>
            </w14:solidFill>
          </w14:textFill>
        </w:rPr>
      </w:pPr>
    </w:p>
    <w:p>
      <w:pPr>
        <w:spacing w:line="480" w:lineRule="exact"/>
        <w:ind w:firstLine="1320" w:firstLineChars="550"/>
        <w:rPr>
          <w:rFonts w:hint="eastAsia" w:ascii="宋体" w:hAnsi="宋体" w:cs="宋体"/>
          <w:color w:val="000000" w:themeColor="text1"/>
          <w:sz w:val="24"/>
          <w:szCs w:val="24"/>
          <w:highlight w:val="none"/>
          <w14:textFill>
            <w14:solidFill>
              <w14:schemeClr w14:val="tx1"/>
            </w14:solidFill>
          </w14:textFill>
        </w:rPr>
      </w:pPr>
    </w:p>
    <w:p>
      <w:pPr>
        <w:spacing w:line="480" w:lineRule="exact"/>
        <w:ind w:firstLine="1320" w:firstLineChars="550"/>
        <w:rPr>
          <w:rFonts w:hint="eastAsia" w:ascii="宋体" w:hAnsi="宋体" w:cs="宋体"/>
          <w:color w:val="000000" w:themeColor="text1"/>
          <w:sz w:val="24"/>
          <w:szCs w:val="24"/>
          <w:highlight w:val="none"/>
          <w14:textFill>
            <w14:solidFill>
              <w14:schemeClr w14:val="tx1"/>
            </w14:solidFill>
          </w14:textFill>
        </w:rPr>
      </w:pPr>
    </w:p>
    <w:p>
      <w:pPr>
        <w:spacing w:line="480" w:lineRule="exact"/>
        <w:ind w:firstLine="1320" w:firstLineChars="550"/>
        <w:rPr>
          <w:rFonts w:hint="eastAsia" w:ascii="宋体" w:hAnsi="宋体" w:cs="宋体"/>
          <w:color w:val="000000" w:themeColor="text1"/>
          <w:sz w:val="24"/>
          <w:szCs w:val="24"/>
          <w:highlight w:val="none"/>
          <w14:textFill>
            <w14:solidFill>
              <w14:schemeClr w14:val="tx1"/>
            </w14:solidFill>
          </w14:textFill>
        </w:rPr>
      </w:pPr>
    </w:p>
    <w:p>
      <w:pPr>
        <w:spacing w:line="480" w:lineRule="exact"/>
        <w:ind w:firstLine="1320" w:firstLineChars="550"/>
        <w:rPr>
          <w:rFonts w:hint="eastAsia" w:ascii="宋体" w:hAnsi="宋体" w:cs="宋体"/>
          <w:color w:val="000000" w:themeColor="text1"/>
          <w:sz w:val="24"/>
          <w:szCs w:val="24"/>
          <w:highlight w:val="none"/>
          <w14:textFill>
            <w14:solidFill>
              <w14:schemeClr w14:val="tx1"/>
            </w14:solidFill>
          </w14:textFill>
        </w:rPr>
      </w:pPr>
    </w:p>
    <w:p>
      <w:pPr>
        <w:spacing w:line="480" w:lineRule="exact"/>
        <w:ind w:firstLine="1320" w:firstLineChars="550"/>
        <w:rPr>
          <w:rFonts w:hint="eastAsia" w:ascii="宋体" w:hAnsi="宋体" w:cs="宋体"/>
          <w:color w:val="000000" w:themeColor="text1"/>
          <w:sz w:val="24"/>
          <w:szCs w:val="24"/>
          <w:highlight w:val="none"/>
          <w14:textFill>
            <w14:solidFill>
              <w14:schemeClr w14:val="tx1"/>
            </w14:solidFill>
          </w14:textFill>
        </w:rPr>
      </w:pPr>
    </w:p>
    <w:p>
      <w:pPr>
        <w:spacing w:line="480" w:lineRule="exact"/>
        <w:ind w:firstLine="1320" w:firstLineChars="550"/>
        <w:rPr>
          <w:rFonts w:hint="eastAsia" w:ascii="宋体" w:hAnsi="宋体" w:cs="宋体"/>
          <w:color w:val="000000" w:themeColor="text1"/>
          <w:sz w:val="24"/>
          <w:szCs w:val="24"/>
          <w:highlight w:val="none"/>
          <w14:textFill>
            <w14:solidFill>
              <w14:schemeClr w14:val="tx1"/>
            </w14:solidFill>
          </w14:textFill>
        </w:rPr>
      </w:pPr>
    </w:p>
    <w:p>
      <w:pPr>
        <w:spacing w:line="480" w:lineRule="exact"/>
        <w:ind w:firstLine="1320" w:firstLineChars="550"/>
        <w:rPr>
          <w:rFonts w:hint="eastAsia" w:ascii="宋体" w:hAnsi="宋体" w:cs="宋体"/>
          <w:color w:val="000000" w:themeColor="text1"/>
          <w:sz w:val="24"/>
          <w:szCs w:val="24"/>
          <w:highlight w:val="none"/>
          <w14:textFill>
            <w14:solidFill>
              <w14:schemeClr w14:val="tx1"/>
            </w14:solidFill>
          </w14:textFill>
        </w:rPr>
      </w:pPr>
    </w:p>
    <w:p>
      <w:pPr>
        <w:pStyle w:val="31"/>
        <w:rPr>
          <w:rFonts w:hint="eastAsia" w:ascii="宋体" w:hAnsi="宋体" w:cs="宋体"/>
          <w:color w:val="000000" w:themeColor="text1"/>
          <w:sz w:val="24"/>
          <w:szCs w:val="24"/>
          <w:highlight w:val="none"/>
          <w14:textFill>
            <w14:solidFill>
              <w14:schemeClr w14:val="tx1"/>
            </w14:solidFill>
          </w14:textFill>
        </w:rPr>
      </w:pPr>
    </w:p>
    <w:p>
      <w:pPr>
        <w:pStyle w:val="31"/>
        <w:rPr>
          <w:rFonts w:hint="eastAsia" w:ascii="宋体" w:hAnsi="宋体" w:cs="宋体"/>
          <w:color w:val="000000" w:themeColor="text1"/>
          <w:sz w:val="24"/>
          <w:szCs w:val="24"/>
          <w:highlight w:val="none"/>
          <w14:textFill>
            <w14:solidFill>
              <w14:schemeClr w14:val="tx1"/>
            </w14:solidFill>
          </w14:textFill>
        </w:rPr>
      </w:pPr>
    </w:p>
    <w:p>
      <w:pPr>
        <w:pStyle w:val="31"/>
        <w:rPr>
          <w:rFonts w:hint="eastAsia" w:ascii="宋体" w:hAnsi="宋体" w:cs="宋体"/>
          <w:color w:val="000000" w:themeColor="text1"/>
          <w:sz w:val="24"/>
          <w:szCs w:val="24"/>
          <w:highlight w:val="none"/>
          <w14:textFill>
            <w14:solidFill>
              <w14:schemeClr w14:val="tx1"/>
            </w14:solidFill>
          </w14:textFill>
        </w:rPr>
      </w:pPr>
    </w:p>
    <w:p>
      <w:pPr>
        <w:pStyle w:val="31"/>
        <w:rPr>
          <w:rFonts w:hint="eastAsia" w:ascii="宋体" w:hAnsi="宋体" w:cs="宋体"/>
          <w:color w:val="000000" w:themeColor="text1"/>
          <w:sz w:val="24"/>
          <w:szCs w:val="24"/>
          <w:highlight w:val="none"/>
          <w14:textFill>
            <w14:solidFill>
              <w14:schemeClr w14:val="tx1"/>
            </w14:solidFill>
          </w14:textFill>
        </w:rPr>
      </w:pPr>
    </w:p>
    <w:p>
      <w:pPr>
        <w:pStyle w:val="31"/>
        <w:rPr>
          <w:rFonts w:hint="eastAsia" w:ascii="宋体" w:hAnsi="宋体" w:cs="宋体"/>
          <w:color w:val="000000" w:themeColor="text1"/>
          <w:sz w:val="24"/>
          <w:szCs w:val="24"/>
          <w:highlight w:val="none"/>
          <w14:textFill>
            <w14:solidFill>
              <w14:schemeClr w14:val="tx1"/>
            </w14:solidFill>
          </w14:textFill>
        </w:rPr>
      </w:pPr>
    </w:p>
    <w:p>
      <w:pPr>
        <w:pStyle w:val="31"/>
        <w:rPr>
          <w:rFonts w:hint="eastAsia" w:ascii="宋体" w:hAnsi="宋体" w:cs="宋体"/>
          <w:color w:val="000000" w:themeColor="text1"/>
          <w:sz w:val="24"/>
          <w:szCs w:val="24"/>
          <w:highlight w:val="none"/>
          <w14:textFill>
            <w14:solidFill>
              <w14:schemeClr w14:val="tx1"/>
            </w14:solidFill>
          </w14:textFill>
        </w:rPr>
      </w:pPr>
    </w:p>
    <w:p>
      <w:pPr>
        <w:spacing w:line="480" w:lineRule="exact"/>
        <w:rPr>
          <w:rFonts w:hint="eastAsia" w:ascii="宋体" w:hAnsi="宋体" w:cs="宋体"/>
          <w:color w:val="000000" w:themeColor="text1"/>
          <w:sz w:val="24"/>
          <w:szCs w:val="24"/>
          <w:highlight w:val="none"/>
          <w14:textFill>
            <w14:solidFill>
              <w14:schemeClr w14:val="tx1"/>
            </w14:solidFill>
          </w14:textFill>
        </w:rPr>
      </w:pPr>
    </w:p>
    <w:p>
      <w:pPr>
        <w:spacing w:line="480" w:lineRule="exact"/>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附件</w:t>
      </w:r>
      <w:r>
        <w:rPr>
          <w:rFonts w:hint="eastAsia" w:ascii="宋体" w:hAnsi="宋体" w:cs="宋体"/>
          <w:color w:val="000000" w:themeColor="text1"/>
          <w:sz w:val="24"/>
          <w:szCs w:val="24"/>
          <w:highlight w:val="none"/>
          <w14:textFill>
            <w14:solidFill>
              <w14:schemeClr w14:val="tx1"/>
            </w14:solidFill>
          </w14:textFill>
        </w:rPr>
        <w:t>6</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 xml:space="preserve"> </w:t>
      </w:r>
    </w:p>
    <w:p>
      <w:pPr>
        <w:adjustRightInd w:val="0"/>
        <w:snapToGrid w:val="0"/>
        <w:jc w:val="center"/>
        <w:rPr>
          <w:rFonts w:hint="eastAsia" w:ascii="方正小标宋简体" w:hAnsi="方正小标宋简体" w:eastAsia="方正小标宋简体" w:cs="方正小标宋简体"/>
          <w:color w:val="auto"/>
          <w:sz w:val="32"/>
          <w:szCs w:val="32"/>
          <w:highlight w:val="none"/>
        </w:rPr>
      </w:pPr>
      <w:r>
        <w:rPr>
          <w:rFonts w:hint="eastAsia" w:ascii="方正小标宋简体" w:hAnsi="方正小标宋简体" w:eastAsia="方正小标宋简体" w:cs="方正小标宋简体"/>
          <w:color w:val="auto"/>
          <w:sz w:val="32"/>
          <w:szCs w:val="32"/>
          <w:highlight w:val="none"/>
        </w:rPr>
        <w:t>项目投入人员架构表</w:t>
      </w:r>
    </w:p>
    <w:tbl>
      <w:tblPr>
        <w:tblStyle w:val="25"/>
        <w:tblpPr w:leftFromText="180" w:rightFromText="180" w:vertAnchor="text" w:horzAnchor="page" w:tblpX="1390" w:tblpY="403"/>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885"/>
        <w:gridCol w:w="945"/>
        <w:gridCol w:w="2310"/>
        <w:gridCol w:w="3090"/>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cs="宋体"/>
                <w:szCs w:val="21"/>
              </w:rPr>
              <w:t>岗位</w:t>
            </w:r>
          </w:p>
        </w:tc>
        <w:tc>
          <w:tcPr>
            <w:tcW w:w="8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cs="宋体"/>
                <w:szCs w:val="21"/>
              </w:rPr>
              <w:t>姓名</w:t>
            </w: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cs="宋体"/>
                <w:szCs w:val="21"/>
              </w:rPr>
              <w:t>性别</w:t>
            </w:r>
          </w:p>
        </w:tc>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cs="宋体"/>
                <w:szCs w:val="21"/>
              </w:rPr>
              <w:t>身份证号</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cs="宋体"/>
                <w:szCs w:val="21"/>
              </w:rPr>
              <w:t>执业或职业资格证明</w:t>
            </w: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4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Cs w:val="21"/>
                <w:lang w:eastAsia="zh-CN"/>
              </w:rPr>
            </w:pPr>
            <w:r>
              <w:rPr>
                <w:rFonts w:hint="eastAsia" w:ascii="宋体" w:hAnsi="宋体"/>
                <w:szCs w:val="21"/>
                <w:lang w:eastAsia="zh-CN"/>
              </w:rPr>
              <w:t>项目负责人</w:t>
            </w:r>
          </w:p>
        </w:tc>
        <w:tc>
          <w:tcPr>
            <w:tcW w:w="8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Cs w:val="21"/>
                <w:lang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Cs w:val="21"/>
                <w:lang w:eastAsia="zh-CN"/>
              </w:rPr>
            </w:pPr>
          </w:p>
        </w:tc>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Cs w:val="21"/>
                <w:lang w:val="en-US" w:eastAsia="zh-CN"/>
              </w:rPr>
            </w:pP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Cs w:val="21"/>
                <w:lang w:val="en-US" w:eastAsia="zh-CN"/>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Cs w:val="21"/>
                <w:lang w:eastAsia="zh-CN"/>
              </w:rPr>
            </w:pPr>
            <w:r>
              <w:rPr>
                <w:rFonts w:hint="eastAsia" w:ascii="宋体" w:hAnsi="宋体"/>
                <w:szCs w:val="21"/>
                <w:lang w:eastAsia="zh-CN"/>
              </w:rPr>
              <w:t>安全员</w:t>
            </w:r>
          </w:p>
        </w:tc>
        <w:tc>
          <w:tcPr>
            <w:tcW w:w="8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Cs w:val="21"/>
                <w:lang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Cs w:val="21"/>
                <w:lang w:eastAsia="zh-CN"/>
              </w:rPr>
            </w:pPr>
          </w:p>
        </w:tc>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Cs w:val="21"/>
                <w:lang w:val="en-US" w:eastAsia="zh-CN"/>
              </w:rPr>
            </w:pP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Cs w:val="21"/>
                <w:lang w:val="en-US" w:eastAsia="zh-CN"/>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施工人员</w:t>
            </w:r>
          </w:p>
        </w:tc>
        <w:tc>
          <w:tcPr>
            <w:tcW w:w="8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Cs w:val="21"/>
                <w:lang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Cs w:val="21"/>
                <w:lang w:eastAsia="zh-CN"/>
              </w:rPr>
            </w:pPr>
          </w:p>
        </w:tc>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Cs w:val="21"/>
                <w:lang w:val="en-US" w:eastAsia="zh-CN"/>
              </w:rPr>
            </w:pP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Cs w:val="21"/>
                <w:lang w:eastAsia="zh-CN"/>
              </w:rPr>
            </w:pPr>
            <w:r>
              <w:rPr>
                <w:rFonts w:hint="eastAsia" w:ascii="宋体" w:hAnsi="宋体"/>
                <w:szCs w:val="21"/>
                <w:lang w:eastAsia="zh-CN"/>
              </w:rPr>
              <w:t>施工人员</w:t>
            </w:r>
          </w:p>
        </w:tc>
        <w:tc>
          <w:tcPr>
            <w:tcW w:w="8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Cs w:val="21"/>
                <w:lang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Cs w:val="21"/>
                <w:lang w:eastAsia="zh-CN"/>
              </w:rPr>
            </w:pPr>
          </w:p>
        </w:tc>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Cs w:val="21"/>
                <w:lang w:val="en-US" w:eastAsia="zh-CN"/>
              </w:rPr>
            </w:pP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szCs w:val="21"/>
                <w:lang w:eastAsia="zh-CN"/>
              </w:rPr>
            </w:pPr>
            <w:r>
              <w:rPr>
                <w:rFonts w:hint="eastAsia" w:ascii="宋体" w:hAnsi="宋体"/>
                <w:szCs w:val="21"/>
                <w:lang w:val="en-US" w:eastAsia="zh-CN"/>
              </w:rPr>
              <w:t>施工人员</w:t>
            </w:r>
          </w:p>
        </w:tc>
        <w:tc>
          <w:tcPr>
            <w:tcW w:w="8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Cs w:val="21"/>
                <w:lang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Cs w:val="21"/>
                <w:lang w:eastAsia="zh-CN"/>
              </w:rPr>
            </w:pPr>
          </w:p>
        </w:tc>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Cs w:val="21"/>
                <w:lang w:val="en-US" w:eastAsia="zh-CN"/>
              </w:rPr>
            </w:pP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szCs w:val="21"/>
                <w:lang w:eastAsia="zh-CN"/>
              </w:rPr>
            </w:pPr>
            <w:r>
              <w:rPr>
                <w:rFonts w:hint="eastAsia" w:ascii="宋体" w:hAnsi="宋体"/>
                <w:szCs w:val="21"/>
                <w:lang w:eastAsia="zh-CN"/>
              </w:rPr>
              <w:t>施工人员</w:t>
            </w:r>
          </w:p>
        </w:tc>
        <w:tc>
          <w:tcPr>
            <w:tcW w:w="8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Cs w:val="21"/>
                <w:lang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Cs w:val="21"/>
                <w:lang w:eastAsia="zh-CN"/>
              </w:rPr>
            </w:pPr>
          </w:p>
        </w:tc>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Cs w:val="21"/>
                <w:lang w:val="en-US" w:eastAsia="zh-CN"/>
              </w:rPr>
            </w:pP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szCs w:val="21"/>
                <w:lang w:eastAsia="zh-CN"/>
              </w:rPr>
            </w:pPr>
            <w:r>
              <w:rPr>
                <w:rFonts w:hint="eastAsia" w:ascii="宋体" w:hAnsi="宋体"/>
                <w:szCs w:val="21"/>
                <w:lang w:val="en-US" w:eastAsia="zh-CN"/>
              </w:rPr>
              <w:t>施工人员</w:t>
            </w:r>
          </w:p>
        </w:tc>
        <w:tc>
          <w:tcPr>
            <w:tcW w:w="8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Cs w:val="21"/>
                <w:lang w:eastAsia="zh-CN"/>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Cs w:val="21"/>
                <w:lang w:eastAsia="zh-CN"/>
              </w:rPr>
            </w:pPr>
          </w:p>
        </w:tc>
        <w:tc>
          <w:tcPr>
            <w:tcW w:w="23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Cs w:val="21"/>
                <w:lang w:val="en-US" w:eastAsia="zh-CN"/>
              </w:rPr>
            </w:pP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bl>
    <w:p>
      <w:pPr>
        <w:spacing w:line="540" w:lineRule="exact"/>
        <w:rPr>
          <w:rFonts w:ascii="宋体" w:hAnsi="宋体" w:cs="宋体"/>
          <w:color w:val="000000" w:themeColor="text1"/>
          <w:szCs w:val="21"/>
          <w:highlight w:val="none"/>
          <w14:textFill>
            <w14:solidFill>
              <w14:schemeClr w14:val="tx1"/>
            </w14:solidFill>
          </w14:textFill>
        </w:rPr>
      </w:pPr>
    </w:p>
    <w:p>
      <w:pPr>
        <w:pStyle w:val="31"/>
        <w:rPr>
          <w:rFonts w:ascii="宋体" w:hAnsi="宋体" w:cs="宋体"/>
          <w:color w:val="000000" w:themeColor="text1"/>
          <w:szCs w:val="21"/>
          <w:highlight w:val="none"/>
          <w14:textFill>
            <w14:solidFill>
              <w14:schemeClr w14:val="tx1"/>
            </w14:solidFill>
          </w14:textFill>
        </w:rPr>
      </w:pPr>
    </w:p>
    <w:p>
      <w:pPr>
        <w:pStyle w:val="31"/>
        <w:rPr>
          <w:rFonts w:ascii="宋体" w:hAnsi="宋体" w:cs="宋体"/>
          <w:color w:val="000000" w:themeColor="text1"/>
          <w:szCs w:val="21"/>
          <w:highlight w:val="none"/>
          <w14:textFill>
            <w14:solidFill>
              <w14:schemeClr w14:val="tx1"/>
            </w14:solidFill>
          </w14:textFill>
        </w:rPr>
      </w:pPr>
    </w:p>
    <w:p>
      <w:pPr>
        <w:pStyle w:val="31"/>
        <w:rPr>
          <w:rFonts w:ascii="宋体" w:hAnsi="宋体" w:cs="宋体"/>
          <w:color w:val="000000" w:themeColor="text1"/>
          <w:szCs w:val="21"/>
          <w:highlight w:val="none"/>
          <w14:textFill>
            <w14:solidFill>
              <w14:schemeClr w14:val="tx1"/>
            </w14:solidFill>
          </w14:textFill>
        </w:rPr>
      </w:pPr>
    </w:p>
    <w:p>
      <w:pPr>
        <w:pStyle w:val="31"/>
        <w:rPr>
          <w:rFonts w:ascii="宋体" w:hAnsi="宋体" w:cs="宋体"/>
          <w:color w:val="000000" w:themeColor="text1"/>
          <w:szCs w:val="21"/>
          <w:highlight w:val="none"/>
          <w14:textFill>
            <w14:solidFill>
              <w14:schemeClr w14:val="tx1"/>
            </w14:solidFill>
          </w14:textFill>
        </w:rPr>
      </w:pPr>
    </w:p>
    <w:p>
      <w:pPr>
        <w:pStyle w:val="31"/>
        <w:rPr>
          <w:rFonts w:ascii="宋体" w:hAnsi="宋体" w:cs="宋体"/>
          <w:color w:val="000000" w:themeColor="text1"/>
          <w:szCs w:val="21"/>
          <w:highlight w:val="none"/>
          <w14:textFill>
            <w14:solidFill>
              <w14:schemeClr w14:val="tx1"/>
            </w14:solidFill>
          </w14:textFill>
        </w:rPr>
      </w:pPr>
    </w:p>
    <w:p>
      <w:pPr>
        <w:pStyle w:val="31"/>
        <w:rPr>
          <w:rFonts w:ascii="宋体" w:hAnsi="宋体" w:cs="宋体"/>
          <w:color w:val="000000" w:themeColor="text1"/>
          <w:szCs w:val="21"/>
          <w:highlight w:val="none"/>
          <w14:textFill>
            <w14:solidFill>
              <w14:schemeClr w14:val="tx1"/>
            </w14:solidFill>
          </w14:textFill>
        </w:rPr>
      </w:pPr>
    </w:p>
    <w:p>
      <w:pPr>
        <w:pStyle w:val="31"/>
        <w:rPr>
          <w:rFonts w:ascii="宋体" w:hAnsi="宋体" w:cs="宋体"/>
          <w:color w:val="000000" w:themeColor="text1"/>
          <w:szCs w:val="21"/>
          <w:highlight w:val="none"/>
          <w14:textFill>
            <w14:solidFill>
              <w14:schemeClr w14:val="tx1"/>
            </w14:solidFill>
          </w14:textFill>
        </w:rPr>
      </w:pPr>
    </w:p>
    <w:p>
      <w:pPr>
        <w:pStyle w:val="31"/>
        <w:rPr>
          <w:rFonts w:ascii="宋体" w:hAnsi="宋体" w:cs="宋体"/>
          <w:color w:val="000000" w:themeColor="text1"/>
          <w:szCs w:val="21"/>
          <w:highlight w:val="none"/>
          <w14:textFill>
            <w14:solidFill>
              <w14:schemeClr w14:val="tx1"/>
            </w14:solidFill>
          </w14:textFill>
        </w:rPr>
      </w:pPr>
    </w:p>
    <w:p>
      <w:pPr>
        <w:pStyle w:val="31"/>
        <w:rPr>
          <w:rFonts w:ascii="宋体" w:hAnsi="宋体" w:cs="宋体"/>
          <w:color w:val="000000" w:themeColor="text1"/>
          <w:szCs w:val="21"/>
          <w:highlight w:val="none"/>
          <w14:textFill>
            <w14:solidFill>
              <w14:schemeClr w14:val="tx1"/>
            </w14:solidFill>
          </w14:textFill>
        </w:rPr>
      </w:pPr>
    </w:p>
    <w:p>
      <w:pPr>
        <w:pStyle w:val="31"/>
        <w:rPr>
          <w:rFonts w:ascii="宋体" w:hAnsi="宋体" w:cs="宋体"/>
          <w:color w:val="000000" w:themeColor="text1"/>
          <w:szCs w:val="21"/>
          <w:highlight w:val="none"/>
          <w14:textFill>
            <w14:solidFill>
              <w14:schemeClr w14:val="tx1"/>
            </w14:solidFill>
          </w14:textFill>
        </w:rPr>
      </w:pPr>
    </w:p>
    <w:p>
      <w:pPr>
        <w:pStyle w:val="31"/>
        <w:rPr>
          <w:rFonts w:ascii="宋体" w:hAnsi="宋体" w:cs="宋体"/>
          <w:color w:val="000000" w:themeColor="text1"/>
          <w:szCs w:val="21"/>
          <w:highlight w:val="none"/>
          <w14:textFill>
            <w14:solidFill>
              <w14:schemeClr w14:val="tx1"/>
            </w14:solidFill>
          </w14:textFill>
        </w:rPr>
      </w:pPr>
    </w:p>
    <w:p>
      <w:pPr>
        <w:pStyle w:val="31"/>
        <w:rPr>
          <w:rFonts w:ascii="宋体" w:hAnsi="宋体" w:cs="宋体"/>
          <w:color w:val="000000" w:themeColor="text1"/>
          <w:szCs w:val="21"/>
          <w:highlight w:val="none"/>
          <w14:textFill>
            <w14:solidFill>
              <w14:schemeClr w14:val="tx1"/>
            </w14:solidFill>
          </w14:textFill>
        </w:rPr>
      </w:pPr>
    </w:p>
    <w:p>
      <w:pPr>
        <w:pStyle w:val="31"/>
        <w:rPr>
          <w:rFonts w:ascii="宋体" w:hAnsi="宋体" w:cs="宋体"/>
          <w:color w:val="000000" w:themeColor="text1"/>
          <w:szCs w:val="21"/>
          <w:highlight w:val="none"/>
          <w14:textFill>
            <w14:solidFill>
              <w14:schemeClr w14:val="tx1"/>
            </w14:solidFill>
          </w14:textFill>
        </w:rPr>
      </w:pPr>
    </w:p>
    <w:p>
      <w:pPr>
        <w:pStyle w:val="31"/>
        <w:rPr>
          <w:rFonts w:ascii="宋体" w:hAnsi="宋体" w:cs="宋体"/>
          <w:color w:val="000000" w:themeColor="text1"/>
          <w:szCs w:val="21"/>
          <w:highlight w:val="none"/>
          <w14:textFill>
            <w14:solidFill>
              <w14:schemeClr w14:val="tx1"/>
            </w14:solidFill>
          </w14:textFill>
        </w:rPr>
      </w:pPr>
    </w:p>
    <w:p>
      <w:pPr>
        <w:pStyle w:val="31"/>
        <w:rPr>
          <w:rFonts w:ascii="宋体" w:hAnsi="宋体" w:cs="宋体"/>
          <w:color w:val="000000" w:themeColor="text1"/>
          <w:szCs w:val="21"/>
          <w:highlight w:val="none"/>
          <w14:textFill>
            <w14:solidFill>
              <w14:schemeClr w14:val="tx1"/>
            </w14:solidFill>
          </w14:textFill>
        </w:rPr>
      </w:pPr>
    </w:p>
    <w:p>
      <w:pPr>
        <w:pStyle w:val="31"/>
        <w:rPr>
          <w:rFonts w:ascii="宋体" w:hAnsi="宋体" w:cs="宋体"/>
          <w:color w:val="000000" w:themeColor="text1"/>
          <w:szCs w:val="21"/>
          <w:highlight w:val="none"/>
          <w14:textFill>
            <w14:solidFill>
              <w14:schemeClr w14:val="tx1"/>
            </w14:solidFill>
          </w14:textFill>
        </w:rPr>
      </w:pPr>
    </w:p>
    <w:p>
      <w:pPr>
        <w:pStyle w:val="31"/>
        <w:rPr>
          <w:rFonts w:ascii="宋体" w:hAnsi="宋体" w:cs="宋体"/>
          <w:color w:val="000000" w:themeColor="text1"/>
          <w:szCs w:val="21"/>
          <w:highlight w:val="none"/>
          <w14:textFill>
            <w14:solidFill>
              <w14:schemeClr w14:val="tx1"/>
            </w14:solidFill>
          </w14:textFill>
        </w:rPr>
      </w:pPr>
    </w:p>
    <w:p>
      <w:pPr>
        <w:pStyle w:val="31"/>
        <w:rPr>
          <w:rFonts w:ascii="宋体" w:hAnsi="宋体" w:cs="宋体"/>
          <w:color w:val="000000" w:themeColor="text1"/>
          <w:szCs w:val="21"/>
          <w:highlight w:val="none"/>
          <w14:textFill>
            <w14:solidFill>
              <w14:schemeClr w14:val="tx1"/>
            </w14:solidFill>
          </w14:textFill>
        </w:rPr>
      </w:pPr>
    </w:p>
    <w:p>
      <w:pPr>
        <w:pStyle w:val="31"/>
        <w:rPr>
          <w:rFonts w:ascii="宋体" w:hAnsi="宋体" w:cs="宋体"/>
          <w:color w:val="000000" w:themeColor="text1"/>
          <w:szCs w:val="21"/>
          <w:highlight w:val="none"/>
          <w14:textFill>
            <w14:solidFill>
              <w14:schemeClr w14:val="tx1"/>
            </w14:solidFill>
          </w14:textFill>
        </w:rPr>
      </w:pPr>
    </w:p>
    <w:p>
      <w:pPr>
        <w:pStyle w:val="31"/>
        <w:rPr>
          <w:rFonts w:ascii="宋体" w:hAnsi="宋体" w:cs="宋体"/>
          <w:color w:val="000000" w:themeColor="text1"/>
          <w:szCs w:val="21"/>
          <w:highlight w:val="none"/>
          <w14:textFill>
            <w14:solidFill>
              <w14:schemeClr w14:val="tx1"/>
            </w14:solidFill>
          </w14:textFill>
        </w:rPr>
      </w:pPr>
    </w:p>
    <w:p>
      <w:pPr>
        <w:pStyle w:val="31"/>
        <w:rPr>
          <w:rFonts w:ascii="宋体" w:hAnsi="宋体" w:cs="宋体"/>
          <w:color w:val="000000" w:themeColor="text1"/>
          <w:szCs w:val="21"/>
          <w:highlight w:val="none"/>
          <w14:textFill>
            <w14:solidFill>
              <w14:schemeClr w14:val="tx1"/>
            </w14:solidFill>
          </w14:textFill>
        </w:rPr>
      </w:pPr>
    </w:p>
    <w:p>
      <w:pPr>
        <w:pStyle w:val="31"/>
        <w:rPr>
          <w:rFonts w:ascii="宋体" w:hAnsi="宋体" w:cs="宋体"/>
          <w:color w:val="000000" w:themeColor="text1"/>
          <w:szCs w:val="21"/>
          <w:highlight w:val="none"/>
          <w14:textFill>
            <w14:solidFill>
              <w14:schemeClr w14:val="tx1"/>
            </w14:solidFill>
          </w14:textFill>
        </w:rPr>
      </w:pPr>
    </w:p>
    <w:p>
      <w:pPr>
        <w:pStyle w:val="31"/>
        <w:rPr>
          <w:rFonts w:ascii="宋体" w:hAnsi="宋体" w:cs="宋体"/>
          <w:color w:val="000000" w:themeColor="text1"/>
          <w:szCs w:val="21"/>
          <w:highlight w:val="none"/>
          <w14:textFill>
            <w14:solidFill>
              <w14:schemeClr w14:val="tx1"/>
            </w14:solidFill>
          </w14:textFill>
        </w:rPr>
      </w:pPr>
    </w:p>
    <w:p>
      <w:pPr>
        <w:pStyle w:val="31"/>
        <w:rPr>
          <w:rFonts w:ascii="宋体" w:hAnsi="宋体" w:cs="宋体"/>
          <w:color w:val="000000" w:themeColor="text1"/>
          <w:szCs w:val="21"/>
          <w:highlight w:val="none"/>
          <w14:textFill>
            <w14:solidFill>
              <w14:schemeClr w14:val="tx1"/>
            </w14:solidFill>
          </w14:textFill>
        </w:rPr>
      </w:pPr>
    </w:p>
    <w:p>
      <w:pPr>
        <w:pStyle w:val="31"/>
        <w:rPr>
          <w:rFonts w:ascii="宋体" w:hAnsi="宋体" w:cs="宋体"/>
          <w:color w:val="000000" w:themeColor="text1"/>
          <w:szCs w:val="21"/>
          <w:highlight w:val="none"/>
          <w14:textFill>
            <w14:solidFill>
              <w14:schemeClr w14:val="tx1"/>
            </w14:solidFill>
          </w14:textFill>
        </w:rPr>
      </w:pPr>
    </w:p>
    <w:p>
      <w:pPr>
        <w:widowControl/>
        <w:jc w:val="left"/>
        <w:rPr>
          <w:rFonts w:ascii="宋体" w:hAnsi="宋体" w:cs="宋体"/>
          <w:color w:val="000000" w:themeColor="text1"/>
          <w:szCs w:val="21"/>
          <w:highlight w:val="none"/>
          <w14:textFill>
            <w14:solidFill>
              <w14:schemeClr w14:val="tx1"/>
            </w14:solidFill>
          </w14:textFill>
        </w:rPr>
      </w:pPr>
    </w:p>
    <w:p>
      <w:pPr>
        <w:pStyle w:val="31"/>
        <w:rPr>
          <w:rFonts w:hint="eastAsia" w:ascii="宋体" w:hAnsi="宋体" w:cs="宋体"/>
          <w:b/>
          <w:bCs/>
          <w:color w:val="000000" w:themeColor="text1"/>
          <w:szCs w:val="21"/>
          <w:highlight w:val="none"/>
          <w14:textFill>
            <w14:solidFill>
              <w14:schemeClr w14:val="tx1"/>
            </w14:solidFill>
          </w14:textFill>
        </w:rPr>
      </w:pPr>
    </w:p>
    <w:p>
      <w:pPr>
        <w:pStyle w:val="31"/>
        <w:rPr>
          <w:rFonts w:hint="eastAsia" w:ascii="宋体" w:hAnsi="宋体" w:cs="宋体"/>
          <w:b/>
          <w:bCs/>
          <w:color w:val="000000" w:themeColor="text1"/>
          <w:szCs w:val="21"/>
          <w:highlight w:val="none"/>
          <w14:textFill>
            <w14:solidFill>
              <w14:schemeClr w14:val="tx1"/>
            </w14:solidFill>
          </w14:textFill>
        </w:rPr>
      </w:pPr>
    </w:p>
    <w:p>
      <w:pPr>
        <w:pStyle w:val="31"/>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附件7：</w:t>
      </w:r>
    </w:p>
    <w:p>
      <w:pPr>
        <w:pStyle w:val="31"/>
        <w:rPr>
          <w:rFonts w:hint="eastAsia" w:ascii="宋体" w:hAnsi="宋体" w:cs="宋体"/>
          <w:color w:val="000000" w:themeColor="text1"/>
          <w:szCs w:val="21"/>
          <w:highlight w:val="none"/>
          <w14:textFill>
            <w14:solidFill>
              <w14:schemeClr w14:val="tx1"/>
            </w14:solidFill>
          </w14:textFill>
        </w:rPr>
      </w:pPr>
    </w:p>
    <w:p>
      <w:pPr>
        <w:adjustRightInd w:val="0"/>
        <w:snapToGrid w:val="0"/>
        <w:jc w:val="center"/>
        <w:rPr>
          <w:rFonts w:hint="eastAsia" w:ascii="方正小标宋简体" w:hAnsi="方正小标宋简体" w:eastAsia="方正小标宋简体" w:cs="方正小标宋简体"/>
          <w:color w:val="auto"/>
          <w:sz w:val="32"/>
          <w:szCs w:val="32"/>
          <w:highlight w:val="none"/>
        </w:rPr>
      </w:pPr>
      <w:r>
        <w:rPr>
          <w:rFonts w:hint="eastAsia" w:ascii="方正小标宋简体" w:hAnsi="方正小标宋简体" w:eastAsia="方正小标宋简体" w:cs="方正小标宋简体"/>
          <w:color w:val="auto"/>
          <w:sz w:val="32"/>
          <w:szCs w:val="32"/>
          <w:highlight w:val="none"/>
        </w:rPr>
        <w:t>不诚信行为的情形及相应被暂停参与投标活动的处理标准</w:t>
      </w:r>
    </w:p>
    <w:tbl>
      <w:tblPr>
        <w:tblStyle w:val="25"/>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426"/>
        <w:gridCol w:w="5245"/>
        <w:gridCol w:w="850"/>
        <w:gridCol w:w="198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序号</w:t>
            </w:r>
          </w:p>
        </w:tc>
        <w:tc>
          <w:tcPr>
            <w:tcW w:w="5671"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不诚信行为的情形</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处理</w:t>
            </w:r>
          </w:p>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期限</w:t>
            </w:r>
          </w:p>
        </w:tc>
        <w:tc>
          <w:tcPr>
            <w:tcW w:w="19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情节严重或拒不改正的延长处理期限</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w:t>
            </w:r>
          </w:p>
        </w:tc>
        <w:tc>
          <w:tcPr>
            <w:tcW w:w="42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安全不诚信行为</w:t>
            </w: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（一）建设生产现场发生人员</w:t>
            </w:r>
            <w:r>
              <w:rPr>
                <w:rFonts w:hint="eastAsia" w:ascii="仿宋_GB2312" w:hAnsi="仿宋_GB2312" w:eastAsia="仿宋_GB2312" w:cs="仿宋_GB2312"/>
                <w:color w:val="auto"/>
                <w:szCs w:val="24"/>
                <w:highlight w:val="none"/>
                <w:lang w:eastAsia="zh-CN"/>
              </w:rPr>
              <w:t>重伤或</w:t>
            </w:r>
            <w:r>
              <w:rPr>
                <w:rFonts w:hint="eastAsia" w:ascii="仿宋_GB2312" w:hAnsi="仿宋_GB2312" w:eastAsia="仿宋_GB2312" w:cs="仿宋_GB2312"/>
                <w:color w:val="auto"/>
                <w:szCs w:val="24"/>
                <w:highlight w:val="none"/>
              </w:rPr>
              <w:t>死亡的。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发生</w:t>
            </w:r>
            <w:r>
              <w:rPr>
                <w:rFonts w:hint="eastAsia" w:ascii="仿宋_GB2312" w:hAnsi="仿宋_GB2312" w:eastAsia="仿宋_GB2312" w:cs="仿宋_GB2312"/>
                <w:color w:val="auto"/>
                <w:szCs w:val="24"/>
                <w:highlight w:val="none"/>
                <w:lang w:eastAsia="zh-CN"/>
              </w:rPr>
              <w:t>重伤或</w:t>
            </w:r>
            <w:r>
              <w:rPr>
                <w:rFonts w:hint="eastAsia" w:ascii="仿宋_GB2312" w:hAnsi="仿宋_GB2312" w:eastAsia="仿宋_GB2312" w:cs="仿宋_GB2312"/>
                <w:color w:val="auto"/>
                <w:szCs w:val="24"/>
                <w:highlight w:val="none"/>
              </w:rPr>
              <w:t>死亡1～2人的，暂停投标1年至2年（含）。</w:t>
            </w:r>
          </w:p>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发生</w:t>
            </w:r>
            <w:r>
              <w:rPr>
                <w:rFonts w:hint="eastAsia" w:ascii="仿宋_GB2312" w:hAnsi="仿宋_GB2312" w:eastAsia="仿宋_GB2312" w:cs="仿宋_GB2312"/>
                <w:color w:val="auto"/>
                <w:szCs w:val="24"/>
                <w:highlight w:val="none"/>
                <w:lang w:eastAsia="zh-CN"/>
              </w:rPr>
              <w:t>重伤或</w:t>
            </w:r>
            <w:r>
              <w:rPr>
                <w:rFonts w:hint="eastAsia" w:ascii="仿宋_GB2312" w:hAnsi="仿宋_GB2312" w:eastAsia="仿宋_GB2312" w:cs="仿宋_GB2312"/>
                <w:color w:val="auto"/>
                <w:szCs w:val="24"/>
                <w:highlight w:val="none"/>
              </w:rPr>
              <w:t>死亡3～9人的，暂停投标2年以上至4年。</w:t>
            </w:r>
          </w:p>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发生</w:t>
            </w:r>
            <w:r>
              <w:rPr>
                <w:rFonts w:hint="eastAsia" w:ascii="仿宋_GB2312" w:hAnsi="仿宋_GB2312" w:eastAsia="仿宋_GB2312" w:cs="仿宋_GB2312"/>
                <w:color w:val="auto"/>
                <w:sz w:val="21"/>
                <w:szCs w:val="24"/>
                <w:highlight w:val="none"/>
                <w:lang w:val="en-US" w:eastAsia="zh-CN"/>
              </w:rPr>
              <w:t>重伤10人以上（含）、或</w:t>
            </w:r>
            <w:r>
              <w:rPr>
                <w:rFonts w:hint="eastAsia" w:ascii="仿宋_GB2312" w:hAnsi="仿宋_GB2312" w:eastAsia="仿宋_GB2312" w:cs="仿宋_GB2312"/>
                <w:color w:val="auto"/>
                <w:szCs w:val="24"/>
                <w:highlight w:val="none"/>
              </w:rPr>
              <w:t>重大及以上事故的，暂停投标4年或以上</w:t>
            </w:r>
            <w:r>
              <w:rPr>
                <w:rFonts w:hint="eastAsia" w:ascii="仿宋_GB2312" w:hAnsi="仿宋_GB2312" w:eastAsia="仿宋_GB2312" w:cs="仿宋_GB2312"/>
                <w:color w:val="auto"/>
                <w:szCs w:val="24"/>
                <w:highlight w:val="none"/>
                <w:lang w:eastAsia="zh-CN"/>
              </w:rPr>
              <w:t>。</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政府认定责任事故增加6个月。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2</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二）发生基坑坍塌、高支模坍塌、结构坍塌、周边建筑物沉降、管线损坏、火灾、爆炸等，虽无人员伤亡但造成重大社会负面影响的事件。重大社会负面影响包括但不限于交通中断、大面积停水停电停气、大范围通信中断、人员紧急疏散、中断行车2小时以上，</w:t>
            </w:r>
            <w:r>
              <w:rPr>
                <w:rFonts w:hint="eastAsia" w:ascii="仿宋_GB2312" w:hAnsi="仿宋_GB2312" w:eastAsia="仿宋_GB2312" w:cs="仿宋_GB2312"/>
                <w:color w:val="auto"/>
                <w:szCs w:val="24"/>
                <w:highlight w:val="none"/>
                <w:lang w:eastAsia="zh-CN"/>
              </w:rPr>
              <w:t>大面积运营晚点，</w:t>
            </w:r>
            <w:r>
              <w:rPr>
                <w:rFonts w:hint="eastAsia" w:ascii="仿宋_GB2312" w:hAnsi="仿宋_GB2312" w:eastAsia="仿宋_GB2312" w:cs="仿宋_GB2312"/>
                <w:color w:val="auto"/>
                <w:szCs w:val="24"/>
                <w:highlight w:val="none"/>
              </w:rPr>
              <w:t>或群体性事件等。</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视情况暂停投标1至2年。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3</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（三）</w:t>
            </w:r>
            <w:r>
              <w:rPr>
                <w:rFonts w:hint="eastAsia" w:ascii="仿宋_GB2312" w:hAnsi="仿宋_GB2312" w:eastAsia="仿宋_GB2312" w:cs="仿宋_GB2312"/>
                <w:color w:val="auto"/>
                <w:sz w:val="21"/>
                <w:szCs w:val="24"/>
                <w:highlight w:val="none"/>
                <w:lang w:val="en-US" w:eastAsia="zh-CN"/>
              </w:rPr>
              <w:t>根据《广州市净水有限公司工程项目承包单位考评细则》安全管理未达标且符合限制投标处罚标准的。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暂停投标1年。若至下一个自然年度项目尚未完结，仍出现该款情形的，继续暂停投标1年；同理执行至工程建设项目完工验收完成。</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4</w:t>
            </w:r>
          </w:p>
        </w:tc>
        <w:tc>
          <w:tcPr>
            <w:tcW w:w="42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质量不诚信行为</w:t>
            </w: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（一）由于质量问题对建设项目的使用功能造成影响且无法挽回的。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暂停投标1年。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5</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w:t>
            </w:r>
            <w:r>
              <w:rPr>
                <w:rFonts w:hint="eastAsia" w:ascii="仿宋_GB2312" w:hAnsi="仿宋_GB2312" w:eastAsia="仿宋_GB2312" w:cs="仿宋_GB2312"/>
                <w:color w:val="auto"/>
                <w:szCs w:val="24"/>
                <w:highlight w:val="none"/>
                <w:lang w:eastAsia="zh-CN"/>
              </w:rPr>
              <w:t>二</w:t>
            </w:r>
            <w:r>
              <w:rPr>
                <w:rFonts w:hint="eastAsia" w:ascii="仿宋_GB2312" w:hAnsi="仿宋_GB2312" w:eastAsia="仿宋_GB2312" w:cs="仿宋_GB2312"/>
                <w:color w:val="auto"/>
                <w:szCs w:val="24"/>
                <w:highlight w:val="none"/>
              </w:rPr>
              <w:t>）</w:t>
            </w:r>
            <w:r>
              <w:rPr>
                <w:rFonts w:hint="eastAsia" w:ascii="仿宋_GB2312" w:hAnsi="仿宋_GB2312" w:eastAsia="仿宋_GB2312" w:cs="仿宋_GB2312"/>
                <w:color w:val="auto"/>
                <w:sz w:val="21"/>
                <w:szCs w:val="24"/>
                <w:highlight w:val="none"/>
                <w:lang w:val="en-US" w:eastAsia="zh-CN"/>
              </w:rPr>
              <w:t>根据《广州市净水有限公司工程项目承包单位考评细则》质量管理未达标且符合限制投标处罚标准的。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暂停投标</w:t>
            </w:r>
            <w:r>
              <w:rPr>
                <w:rFonts w:hint="eastAsia" w:ascii="仿宋_GB2312" w:hAnsi="仿宋_GB2312" w:eastAsia="仿宋_GB2312" w:cs="仿宋_GB2312"/>
                <w:color w:val="auto"/>
                <w:szCs w:val="24"/>
                <w:highlight w:val="none"/>
                <w:lang w:val="en-US" w:eastAsia="zh-CN"/>
              </w:rPr>
              <w:t>1</w:t>
            </w:r>
            <w:r>
              <w:rPr>
                <w:rFonts w:hint="eastAsia" w:ascii="仿宋_GB2312" w:hAnsi="仿宋_GB2312" w:eastAsia="仿宋_GB2312" w:cs="仿宋_GB2312"/>
                <w:color w:val="auto"/>
                <w:szCs w:val="24"/>
                <w:highlight w:val="none"/>
                <w:lang w:eastAsia="zh-CN"/>
              </w:rPr>
              <w:t>年</w:t>
            </w:r>
            <w:r>
              <w:rPr>
                <w:rFonts w:hint="eastAsia" w:ascii="仿宋_GB2312" w:hAnsi="仿宋_GB2312" w:eastAsia="仿宋_GB2312" w:cs="仿宋_GB2312"/>
                <w:color w:val="auto"/>
                <w:szCs w:val="24"/>
                <w:highlight w:val="none"/>
              </w:rPr>
              <w:t>。若至下一个自然年度项目尚未完结，仍出现该款情形的，继续暂停投标</w:t>
            </w:r>
            <w:r>
              <w:rPr>
                <w:rFonts w:hint="eastAsia" w:ascii="仿宋_GB2312" w:hAnsi="仿宋_GB2312" w:eastAsia="仿宋_GB2312" w:cs="仿宋_GB2312"/>
                <w:color w:val="auto"/>
                <w:szCs w:val="24"/>
                <w:highlight w:val="none"/>
                <w:lang w:val="en-US" w:eastAsia="zh-CN"/>
              </w:rPr>
              <w:t>1</w:t>
            </w:r>
            <w:r>
              <w:rPr>
                <w:rFonts w:hint="eastAsia" w:ascii="仿宋_GB2312" w:hAnsi="仿宋_GB2312" w:eastAsia="仿宋_GB2312" w:cs="仿宋_GB2312"/>
                <w:color w:val="auto"/>
                <w:szCs w:val="24"/>
                <w:highlight w:val="none"/>
                <w:lang w:eastAsia="zh-CN"/>
              </w:rPr>
              <w:t>年</w:t>
            </w:r>
            <w:r>
              <w:rPr>
                <w:rFonts w:hint="eastAsia" w:ascii="仿宋_GB2312" w:hAnsi="仿宋_GB2312" w:eastAsia="仿宋_GB2312" w:cs="仿宋_GB2312"/>
                <w:color w:val="auto"/>
                <w:szCs w:val="24"/>
                <w:highlight w:val="none"/>
              </w:rPr>
              <w:t>；同理执行至工程建设项目完工验收完成。</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6</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（三）发生其他由质量问题而引起的重大社会负面影响事件的。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7</w:t>
            </w:r>
          </w:p>
        </w:tc>
        <w:tc>
          <w:tcPr>
            <w:tcW w:w="42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其他不诚信</w:t>
            </w:r>
          </w:p>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行为</w:t>
            </w: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（一）</w:t>
            </w:r>
            <w:r>
              <w:rPr>
                <w:rFonts w:hint="eastAsia" w:ascii="仿宋_GB2312" w:hAnsi="仿宋_GB2312" w:eastAsia="仿宋_GB2312" w:cs="仿宋_GB2312"/>
                <w:color w:val="auto"/>
                <w:sz w:val="21"/>
                <w:szCs w:val="24"/>
                <w:highlight w:val="none"/>
                <w:lang w:val="en-US" w:eastAsia="zh-CN"/>
              </w:rPr>
              <w:t>投标、询价过程弄虚作假、串通报价投标、任意弃标</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8</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（二）发生质量事故或安全事故造成社会负面影响需要面对媒体和进行危机公关，参建企业法定代表人在规定的时间内未到现场面对媒体进行危机公关的。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9</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（三）因参建企业原因造成信访、维稳事件，造成较大社会影响。</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10</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（四）中标后转包工程、非法分包工程、非法转让业务的。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11</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（五）因人员、机械投入及配套服务投入不足，主要管理人员未按照投标文件响应到位，导致严重影响工期，被市水投集团相关部门及发包人督办、警告和约谈3次的。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12</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（六）未经批准擅自更换项目经理的。</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6个月</w:t>
            </w:r>
          </w:p>
        </w:tc>
        <w:tc>
          <w:tcPr>
            <w:tcW w:w="19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13</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（七）严重违反合同约定的，具体包括但不限于以下行为：</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14</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1.提供或使用假冒伪劣或以次充好产品、不符合国家规范规定材料的。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6个月</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15</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2.工程竣工验收后，不出具质量保修书的，或质量保修的内容、期限违反规定的。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6个月</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16</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3.不履行保修义务或者拖延履行保修义务的。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6个月</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17</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4.其他经认定为严重违反合同规定的。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18</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（八）违反廉洁协议约定的。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19</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（九）拖欠农民工工资，造成不良后果的。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20</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（十）为谋取非法利益，给市水投集团或发包人造成损失的。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21</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（十一）因参建企业原因造成第三者财产重大损失的。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22</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numPr>
                <w:ilvl w:val="0"/>
                <w:numId w:val="0"/>
              </w:numPr>
              <w:adjustRightInd w:val="0"/>
              <w:snapToGrid w:val="0"/>
              <w:jc w:val="left"/>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（十二）</w:t>
            </w:r>
            <w:r>
              <w:rPr>
                <w:rFonts w:hint="eastAsia" w:ascii="仿宋_GB2312" w:hAnsi="仿宋_GB2312" w:eastAsia="仿宋_GB2312" w:cs="仿宋_GB2312"/>
                <w:color w:val="auto"/>
                <w:sz w:val="21"/>
                <w:szCs w:val="24"/>
                <w:highlight w:val="none"/>
                <w:lang w:val="en-US" w:eastAsia="zh-CN"/>
              </w:rPr>
              <w:t>经发包人认定的其他不诚信行为</w:t>
            </w:r>
            <w:r>
              <w:rPr>
                <w:rFonts w:hint="eastAsia" w:ascii="仿宋_GB2312" w:hAnsi="仿宋_GB2312" w:eastAsia="仿宋_GB2312" w:cs="仿宋_GB2312"/>
                <w:color w:val="auto"/>
                <w:szCs w:val="24"/>
                <w:highlight w:val="none"/>
              </w:rPr>
              <w:t>。</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bl>
    <w:p>
      <w:pPr>
        <w:numPr>
          <w:ilvl w:val="0"/>
          <w:numId w:val="0"/>
        </w:numPr>
        <w:ind w:firstLine="0" w:firstLineChars="0"/>
        <w:contextualSpacing/>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备注：本处罚标准出自</w:t>
      </w:r>
      <w:r>
        <w:rPr>
          <w:rFonts w:hint="eastAsia" w:ascii="仿宋_GB2312" w:hAnsi="仿宋_GB2312" w:eastAsia="仿宋_GB2312" w:cs="仿宋_GB2312"/>
          <w:color w:val="000000" w:themeColor="text1"/>
          <w:sz w:val="24"/>
          <w:szCs w:val="24"/>
          <w:highlight w:val="none"/>
          <w14:textFill>
            <w14:solidFill>
              <w14:schemeClr w14:val="tx1"/>
            </w14:solidFill>
          </w14:textFill>
        </w:rPr>
        <w:t>《广州市净水有限公司经营建设项目参建企业不诚信行为管理办法》</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p>
    <w:p>
      <w:pPr>
        <w:widowControl/>
        <w:jc w:val="left"/>
        <w:rPr>
          <w:rFonts w:hint="eastAsia" w:ascii="宋体" w:hAnsi="宋体" w:cs="宋体"/>
          <w:color w:val="000000" w:themeColor="text1"/>
          <w:szCs w:val="21"/>
          <w:highlight w:val="none"/>
          <w:lang w:eastAsia="zh-CN"/>
          <w14:textFill>
            <w14:solidFill>
              <w14:schemeClr w14:val="tx1"/>
            </w14:solidFill>
          </w14:textFill>
        </w:rPr>
      </w:pPr>
    </w:p>
    <w:p>
      <w:pPr>
        <w:widowControl/>
        <w:jc w:val="left"/>
        <w:rPr>
          <w:rFonts w:hint="eastAsia" w:ascii="宋体" w:hAnsi="宋体" w:cs="宋体"/>
          <w:color w:val="000000" w:themeColor="text1"/>
          <w:szCs w:val="21"/>
          <w:highlight w:val="none"/>
          <w:lang w:eastAsia="zh-CN"/>
          <w14:textFill>
            <w14:solidFill>
              <w14:schemeClr w14:val="tx1"/>
            </w14:solidFill>
          </w14:textFill>
        </w:rPr>
      </w:pPr>
    </w:p>
    <w:p>
      <w:pPr>
        <w:widowControl/>
        <w:jc w:val="left"/>
        <w:rPr>
          <w:rFonts w:hint="eastAsia" w:ascii="宋体" w:hAnsi="宋体" w:cs="宋体"/>
          <w:color w:val="000000" w:themeColor="text1"/>
          <w:szCs w:val="21"/>
          <w:highlight w:val="none"/>
          <w:lang w:eastAsia="zh-CN"/>
          <w14:textFill>
            <w14:solidFill>
              <w14:schemeClr w14:val="tx1"/>
            </w14:solidFill>
          </w14:textFill>
        </w:rPr>
      </w:pPr>
    </w:p>
    <w:p>
      <w:pPr>
        <w:widowControl/>
        <w:jc w:val="left"/>
        <w:rPr>
          <w:rFonts w:hint="eastAsia" w:ascii="宋体" w:hAnsi="宋体" w:cs="宋体"/>
          <w:color w:val="000000" w:themeColor="text1"/>
          <w:szCs w:val="21"/>
          <w:highlight w:val="none"/>
          <w:lang w:eastAsia="zh-CN"/>
          <w14:textFill>
            <w14:solidFill>
              <w14:schemeClr w14:val="tx1"/>
            </w14:solidFill>
          </w14:textFill>
        </w:rPr>
      </w:pPr>
    </w:p>
    <w:p>
      <w:pPr>
        <w:widowControl/>
        <w:jc w:val="left"/>
        <w:rPr>
          <w:rFonts w:hint="eastAsia" w:ascii="宋体" w:hAnsi="宋体" w:cs="宋体"/>
          <w:color w:val="000000" w:themeColor="text1"/>
          <w:szCs w:val="21"/>
          <w:highlight w:val="none"/>
          <w:lang w:eastAsia="zh-CN"/>
          <w14:textFill>
            <w14:solidFill>
              <w14:schemeClr w14:val="tx1"/>
            </w14:solidFill>
          </w14:textFill>
        </w:rPr>
      </w:pPr>
    </w:p>
    <w:p>
      <w:pPr>
        <w:widowControl/>
        <w:jc w:val="left"/>
        <w:rPr>
          <w:rFonts w:hint="eastAsia" w:ascii="宋体" w:hAnsi="宋体" w:cs="宋体"/>
          <w:color w:val="000000" w:themeColor="text1"/>
          <w:szCs w:val="21"/>
          <w:highlight w:val="none"/>
          <w:lang w:eastAsia="zh-CN"/>
          <w14:textFill>
            <w14:solidFill>
              <w14:schemeClr w14:val="tx1"/>
            </w14:solidFill>
          </w14:textFill>
        </w:rPr>
      </w:pPr>
    </w:p>
    <w:p>
      <w:pPr>
        <w:pStyle w:val="7"/>
        <w:spacing w:line="360" w:lineRule="auto"/>
        <w:jc w:val="center"/>
        <w:rPr>
          <w:rFonts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28"/>
          <w:szCs w:val="28"/>
          <w14:textFill>
            <w14:solidFill>
              <w14:schemeClr w14:val="tx1"/>
            </w14:solidFill>
          </w14:textFill>
        </w:rPr>
      </w:pPr>
    </w:p>
    <w:p>
      <w:pPr>
        <w:pStyle w:val="31"/>
        <w:rPr>
          <w:rFonts w:ascii="仿宋_GB2312" w:hAnsi="仿宋_GB2312" w:eastAsia="仿宋_GB2312" w:cs="仿宋_GB2312"/>
          <w:color w:val="000000" w:themeColor="text1"/>
          <w:sz w:val="28"/>
          <w:szCs w:val="28"/>
          <w14:textFill>
            <w14:solidFill>
              <w14:schemeClr w14:val="tx1"/>
            </w14:solidFill>
          </w14:textFill>
        </w:rPr>
      </w:pPr>
    </w:p>
    <w:p>
      <w:pPr>
        <w:pStyle w:val="31"/>
        <w:rPr>
          <w:rFonts w:ascii="仿宋_GB2312" w:hAnsi="仿宋_GB2312" w:eastAsia="仿宋_GB2312" w:cs="仿宋_GB2312"/>
          <w:color w:val="000000" w:themeColor="text1"/>
          <w:sz w:val="28"/>
          <w:szCs w:val="28"/>
          <w14:textFill>
            <w14:solidFill>
              <w14:schemeClr w14:val="tx1"/>
            </w14:solidFill>
          </w14:textFill>
        </w:rPr>
      </w:pPr>
    </w:p>
    <w:p>
      <w:pPr>
        <w:pStyle w:val="31"/>
        <w:rPr>
          <w:rFonts w:ascii="仿宋_GB2312" w:hAnsi="仿宋_GB2312" w:eastAsia="仿宋_GB2312" w:cs="仿宋_GB2312"/>
          <w:color w:val="000000" w:themeColor="text1"/>
          <w:sz w:val="28"/>
          <w:szCs w:val="28"/>
          <w14:textFill>
            <w14:solidFill>
              <w14:schemeClr w14:val="tx1"/>
            </w14:solidFill>
          </w14:textFill>
        </w:rPr>
      </w:pPr>
    </w:p>
    <w:p>
      <w:pPr>
        <w:pStyle w:val="31"/>
        <w:rPr>
          <w:rFonts w:ascii="仿宋_GB2312" w:hAnsi="仿宋_GB2312" w:eastAsia="仿宋_GB2312" w:cs="仿宋_GB2312"/>
          <w:color w:val="000000" w:themeColor="text1"/>
          <w:sz w:val="28"/>
          <w:szCs w:val="28"/>
          <w14:textFill>
            <w14:solidFill>
              <w14:schemeClr w14:val="tx1"/>
            </w14:solidFill>
          </w14:textFill>
        </w:rPr>
      </w:pPr>
    </w:p>
    <w:p>
      <w:pPr>
        <w:pStyle w:val="7"/>
        <w:spacing w:line="360" w:lineRule="auto"/>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第五部分　响应文件格式</w:t>
      </w:r>
    </w:p>
    <w:p>
      <w:pPr>
        <w:pStyle w:val="15"/>
        <w:spacing w:line="360" w:lineRule="auto"/>
        <w:rPr>
          <w:rFonts w:ascii="仿宋_GB2312" w:hAnsi="仿宋_GB2312" w:eastAsia="仿宋_GB2312" w:cs="仿宋_GB2312"/>
          <w:b/>
          <w:color w:val="000000" w:themeColor="text1"/>
          <w:sz w:val="28"/>
          <w:szCs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szCs w:val="28"/>
          <w14:textFill>
            <w14:solidFill>
              <w14:schemeClr w14:val="tx1"/>
            </w14:solidFill>
          </w14:textFill>
        </w:rPr>
      </w:pPr>
    </w:p>
    <w:p>
      <w:pPr>
        <w:pStyle w:val="15"/>
        <w:tabs>
          <w:tab w:val="left" w:pos="1260"/>
        </w:tabs>
        <w:jc w:val="center"/>
        <w:rPr>
          <w:rFonts w:ascii="仿宋_GB2312" w:hAnsi="仿宋_GB2312" w:eastAsia="仿宋_GB2312" w:cs="仿宋_GB2312"/>
          <w:b/>
          <w:color w:val="000000" w:themeColor="text1"/>
          <w:kern w:val="0"/>
          <w:sz w:val="28"/>
          <w:szCs w:val="28"/>
          <w14:textFill>
            <w14:solidFill>
              <w14:schemeClr w14:val="tx1"/>
            </w14:solidFill>
          </w14:textFill>
        </w:rPr>
      </w:pPr>
    </w:p>
    <w:p>
      <w:pPr>
        <w:pStyle w:val="15"/>
        <w:tabs>
          <w:tab w:val="left" w:pos="1260"/>
        </w:tabs>
        <w:jc w:val="center"/>
        <w:rPr>
          <w:rFonts w:hint="eastAsia" w:ascii="仿宋_GB2312" w:hAnsi="仿宋_GB2312" w:eastAsia="仿宋_GB2312" w:cs="仿宋_GB2312"/>
          <w:b/>
          <w:color w:val="000000" w:themeColor="text1"/>
          <w:spacing w:val="100"/>
          <w:w w:val="110"/>
          <w:kern w:val="0"/>
          <w:sz w:val="28"/>
          <w:szCs w:val="28"/>
          <w:lang w:eastAsia="zh-CN"/>
          <w14:textFill>
            <w14:solidFill>
              <w14:schemeClr w14:val="tx1"/>
            </w14:solidFill>
          </w14:textFill>
        </w:rPr>
      </w:pPr>
      <w:r>
        <w:rPr>
          <w:rFonts w:hint="eastAsia" w:ascii="仿宋_GB2312" w:hAnsi="仿宋_GB2312" w:eastAsia="仿宋_GB2312" w:cs="仿宋_GB2312"/>
          <w:b/>
          <w:color w:val="000000" w:themeColor="text1"/>
          <w:spacing w:val="100"/>
          <w:w w:val="110"/>
          <w:kern w:val="0"/>
          <w:sz w:val="28"/>
          <w:szCs w:val="28"/>
          <w:lang w:val="en-US" w:eastAsia="zh-CN"/>
          <w14:textFill>
            <w14:solidFill>
              <w14:schemeClr w14:val="tx1"/>
            </w14:solidFill>
          </w14:textFill>
        </w:rPr>
        <w:t>广州市净水有限公司</w:t>
      </w:r>
      <w:r>
        <w:rPr>
          <w:rFonts w:hint="eastAsia" w:ascii="仿宋_GB2312" w:hAnsi="仿宋_GB2312" w:eastAsia="仿宋_GB2312" w:cs="仿宋_GB2312"/>
          <w:b/>
          <w:color w:val="000000" w:themeColor="text1"/>
          <w:spacing w:val="100"/>
          <w:w w:val="110"/>
          <w:kern w:val="0"/>
          <w:sz w:val="28"/>
          <w:szCs w:val="28"/>
          <w:lang w:eastAsia="zh-CN"/>
          <w14:textFill>
            <w14:solidFill>
              <w14:schemeClr w14:val="tx1"/>
            </w14:solidFill>
          </w14:textFill>
        </w:rPr>
        <w:t>沥滘三期无线</w:t>
      </w:r>
    </w:p>
    <w:p>
      <w:pPr>
        <w:pStyle w:val="15"/>
        <w:tabs>
          <w:tab w:val="left" w:pos="1260"/>
        </w:tabs>
        <w:jc w:val="center"/>
        <w:rPr>
          <w:rFonts w:hint="eastAsia" w:ascii="仿宋_GB2312" w:hAnsi="仿宋_GB2312" w:eastAsia="仿宋_GB2312" w:cs="仿宋_GB2312"/>
          <w:b/>
          <w:color w:val="000000" w:themeColor="text1"/>
          <w:spacing w:val="100"/>
          <w:w w:val="110"/>
          <w:kern w:val="0"/>
          <w:sz w:val="28"/>
          <w:szCs w:val="28"/>
          <w:lang w:eastAsia="zh-CN"/>
          <w14:textFill>
            <w14:solidFill>
              <w14:schemeClr w14:val="tx1"/>
            </w14:solidFill>
          </w14:textFill>
        </w:rPr>
      </w:pPr>
      <w:r>
        <w:rPr>
          <w:rFonts w:hint="eastAsia" w:ascii="仿宋_GB2312" w:hAnsi="仿宋_GB2312" w:eastAsia="仿宋_GB2312" w:cs="仿宋_GB2312"/>
          <w:b/>
          <w:color w:val="000000" w:themeColor="text1"/>
          <w:spacing w:val="100"/>
          <w:w w:val="110"/>
          <w:kern w:val="0"/>
          <w:sz w:val="28"/>
          <w:szCs w:val="28"/>
          <w:lang w:eastAsia="zh-CN"/>
          <w14:textFill>
            <w14:solidFill>
              <w14:schemeClr w14:val="tx1"/>
            </w14:solidFill>
          </w14:textFill>
        </w:rPr>
        <w:t>网络建设项目</w:t>
      </w:r>
    </w:p>
    <w:p>
      <w:pPr>
        <w:pStyle w:val="15"/>
        <w:jc w:val="center"/>
        <w:rPr>
          <w:rFonts w:ascii="仿宋_GB2312" w:hAnsi="仿宋_GB2312" w:eastAsia="仿宋_GB2312" w:cs="仿宋_GB2312"/>
          <w:b/>
          <w:color w:val="000000" w:themeColor="text1"/>
          <w:sz w:val="28"/>
          <w:szCs w:val="28"/>
          <w14:textFill>
            <w14:solidFill>
              <w14:schemeClr w14:val="tx1"/>
            </w14:solidFill>
          </w14:textFill>
        </w:rPr>
      </w:pPr>
    </w:p>
    <w:p>
      <w:pPr>
        <w:pStyle w:val="15"/>
        <w:tabs>
          <w:tab w:val="left" w:pos="1260"/>
        </w:tabs>
        <w:jc w:val="center"/>
        <w:rPr>
          <w:rFonts w:ascii="仿宋_GB2312" w:hAnsi="仿宋_GB2312" w:eastAsia="仿宋_GB2312" w:cs="仿宋_GB2312"/>
          <w:b/>
          <w:color w:val="000000" w:themeColor="text1"/>
          <w:spacing w:val="100"/>
          <w:w w:val="110"/>
          <w:sz w:val="28"/>
          <w:szCs w:val="28"/>
          <w14:textFill>
            <w14:solidFill>
              <w14:schemeClr w14:val="tx1"/>
            </w14:solidFill>
          </w14:textFill>
        </w:rPr>
      </w:pPr>
      <w:r>
        <w:rPr>
          <w:rFonts w:hint="eastAsia" w:ascii="仿宋_GB2312" w:hAnsi="仿宋_GB2312" w:eastAsia="仿宋_GB2312" w:cs="仿宋_GB2312"/>
          <w:b/>
          <w:color w:val="000000" w:themeColor="text1"/>
          <w:spacing w:val="100"/>
          <w:w w:val="110"/>
          <w:kern w:val="0"/>
          <w:sz w:val="28"/>
          <w:szCs w:val="28"/>
          <w14:textFill>
            <w14:solidFill>
              <w14:schemeClr w14:val="tx1"/>
            </w14:solidFill>
          </w14:textFill>
        </w:rPr>
        <w:t>询价响应文件</w:t>
      </w:r>
    </w:p>
    <w:p>
      <w:pPr>
        <w:pStyle w:val="15"/>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（正本/副本）</w:t>
      </w:r>
    </w:p>
    <w:p>
      <w:pPr>
        <w:pStyle w:val="15"/>
        <w:jc w:val="center"/>
        <w:rPr>
          <w:rFonts w:ascii="仿宋_GB2312" w:hAnsi="仿宋_GB2312" w:eastAsia="仿宋_GB2312" w:cs="仿宋_GB2312"/>
          <w:b/>
          <w:color w:val="000000" w:themeColor="text1"/>
          <w:sz w:val="28"/>
          <w:szCs w:val="28"/>
          <w14:textFill>
            <w14:solidFill>
              <w14:schemeClr w14:val="tx1"/>
            </w14:solidFill>
          </w14:textFill>
        </w:rPr>
      </w:pPr>
    </w:p>
    <w:p>
      <w:pPr>
        <w:pStyle w:val="15"/>
        <w:jc w:val="center"/>
        <w:rPr>
          <w:rFonts w:ascii="仿宋_GB2312" w:hAnsi="仿宋_GB2312" w:eastAsia="仿宋_GB2312" w:cs="仿宋_GB2312"/>
          <w:b/>
          <w:color w:val="000000" w:themeColor="text1"/>
          <w:sz w:val="28"/>
          <w:szCs w:val="28"/>
          <w14:textFill>
            <w14:solidFill>
              <w14:schemeClr w14:val="tx1"/>
            </w14:solidFill>
          </w14:textFill>
        </w:rPr>
      </w:pPr>
    </w:p>
    <w:p>
      <w:pPr>
        <w:pStyle w:val="15"/>
        <w:spacing w:line="360" w:lineRule="auto"/>
        <w:ind w:firstLine="1820" w:firstLineChars="650"/>
        <w:jc w:val="left"/>
        <w:rPr>
          <w:rFonts w:ascii="仿宋_GB2312" w:hAnsi="仿宋_GB2312" w:eastAsia="仿宋_GB2312" w:cs="仿宋_GB2312"/>
          <w:color w:val="000000" w:themeColor="text1"/>
          <w:sz w:val="28"/>
          <w:szCs w:val="28"/>
          <w:u w:val="singl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项目编号：</w:t>
      </w:r>
    </w:p>
    <w:p>
      <w:pPr>
        <w:pStyle w:val="15"/>
        <w:tabs>
          <w:tab w:val="left" w:pos="1260"/>
        </w:tabs>
        <w:spacing w:line="360" w:lineRule="auto"/>
        <w:ind w:left="829" w:leftChars="395" w:firstLine="1120" w:firstLineChars="400"/>
        <w:jc w:val="both"/>
        <w:rPr>
          <w:rFonts w:hint="eastAsia" w:hAnsi="仿宋_GB2312" w:eastAsia="宋体" w:cs="仿宋_GB2312"/>
          <w:color w:val="000000" w:themeColor="text1"/>
          <w:sz w:val="28"/>
          <w:szCs w:val="28"/>
          <w:u w:val="single"/>
          <w:lang w:eastAsia="zh-CN"/>
          <w14:textFill>
            <w14:solidFill>
              <w14:schemeClr w14:val="tx1"/>
            </w14:solidFill>
          </w14:textFill>
        </w:rPr>
      </w:pPr>
      <w:r>
        <w:rPr>
          <w:rFonts w:hint="eastAsia" w:hAnsi="仿宋_GB2312" w:cs="仿宋_GB2312"/>
          <w:color w:val="000000" w:themeColor="text1"/>
          <w:sz w:val="28"/>
          <w:szCs w:val="28"/>
          <w14:textFill>
            <w14:solidFill>
              <w14:schemeClr w14:val="tx1"/>
            </w14:solidFill>
          </w14:textFill>
        </w:rPr>
        <w:t>项目名称：</w:t>
      </w:r>
      <w:r>
        <w:rPr>
          <w:rFonts w:hint="eastAsia" w:hAnsi="仿宋_GB2312" w:cs="仿宋_GB2312"/>
          <w:color w:val="000000" w:themeColor="text1"/>
          <w:sz w:val="28"/>
          <w:szCs w:val="28"/>
          <w:u w:val="single"/>
          <w:lang w:val="en-US" w:eastAsia="zh-CN"/>
          <w14:textFill>
            <w14:solidFill>
              <w14:schemeClr w14:val="tx1"/>
            </w14:solidFill>
          </w14:textFill>
        </w:rPr>
        <w:t>广州市净水有限公司</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沥滘三期无线网络建设项目</w:t>
      </w:r>
    </w:p>
    <w:p>
      <w:pPr>
        <w:pStyle w:val="14"/>
        <w:spacing w:line="360" w:lineRule="auto"/>
        <w:ind w:left="829" w:leftChars="395" w:firstLine="0" w:firstLineChars="0"/>
        <w:rPr>
          <w:rFonts w:hAnsi="仿宋_GB2312" w:cs="仿宋_GB2312"/>
          <w:color w:val="000000" w:themeColor="text1"/>
          <w:sz w:val="28"/>
          <w:szCs w:val="28"/>
          <w:u w:val="single"/>
          <w14:textFill>
            <w14:solidFill>
              <w14:schemeClr w14:val="tx1"/>
            </w14:solidFill>
          </w14:textFill>
        </w:rPr>
      </w:pPr>
    </w:p>
    <w:p>
      <w:pPr>
        <w:pStyle w:val="15"/>
        <w:ind w:firstLine="843" w:firstLineChars="300"/>
        <w:rPr>
          <w:rFonts w:ascii="仿宋_GB2312" w:hAnsi="仿宋_GB2312" w:eastAsia="仿宋_GB2312" w:cs="仿宋_GB2312"/>
          <w:b/>
          <w:color w:val="000000" w:themeColor="text1"/>
          <w:sz w:val="28"/>
          <w:szCs w:val="28"/>
          <w14:textFill>
            <w14:solidFill>
              <w14:schemeClr w14:val="tx1"/>
            </w14:solidFill>
          </w14:textFill>
        </w:rPr>
      </w:pPr>
    </w:p>
    <w:p>
      <w:pPr>
        <w:pStyle w:val="15"/>
        <w:ind w:firstLine="843" w:firstLineChars="300"/>
        <w:rPr>
          <w:rFonts w:ascii="仿宋_GB2312" w:hAnsi="仿宋_GB2312" w:eastAsia="仿宋_GB2312" w:cs="仿宋_GB2312"/>
          <w:b/>
          <w:color w:val="000000" w:themeColor="text1"/>
          <w:sz w:val="28"/>
          <w:szCs w:val="28"/>
          <w14:textFill>
            <w14:solidFill>
              <w14:schemeClr w14:val="tx1"/>
            </w14:solidFill>
          </w14:textFill>
        </w:rPr>
      </w:pPr>
    </w:p>
    <w:p>
      <w:pPr>
        <w:pStyle w:val="15"/>
        <w:ind w:firstLine="843" w:firstLineChars="300"/>
        <w:rPr>
          <w:rFonts w:ascii="仿宋_GB2312" w:hAnsi="仿宋_GB2312" w:eastAsia="仿宋_GB2312" w:cs="仿宋_GB2312"/>
          <w:b/>
          <w:color w:val="000000" w:themeColor="text1"/>
          <w:sz w:val="28"/>
          <w:szCs w:val="28"/>
          <w14:textFill>
            <w14:solidFill>
              <w14:schemeClr w14:val="tx1"/>
            </w14:solidFill>
          </w14:textFill>
        </w:rPr>
      </w:pPr>
    </w:p>
    <w:p>
      <w:pPr>
        <w:pStyle w:val="15"/>
        <w:spacing w:line="360" w:lineRule="auto"/>
        <w:ind w:firstLine="2249" w:firstLineChars="800"/>
        <w:rPr>
          <w:rFonts w:ascii="仿宋_GB2312" w:hAnsi="仿宋_GB2312" w:eastAsia="仿宋_GB2312" w:cs="仿宋_GB2312"/>
          <w:b/>
          <w:color w:val="000000" w:themeColor="text1"/>
          <w:sz w:val="28"/>
          <w:szCs w:val="28"/>
          <w:u w:val="single"/>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报价单位名称：</w:t>
      </w:r>
    </w:p>
    <w:p>
      <w:pPr>
        <w:autoSpaceDE w:val="0"/>
        <w:autoSpaceDN w:val="0"/>
        <w:spacing w:line="240" w:lineRule="atLeast"/>
        <w:ind w:firstLine="2249" w:firstLineChars="800"/>
        <w:rPr>
          <w:rFonts w:ascii="仿宋_GB2312" w:hAnsi="仿宋_GB2312" w:eastAsia="仿宋_GB2312" w:cs="仿宋_GB2312"/>
          <w:b/>
          <w:color w:val="000000" w:themeColor="text1"/>
          <w:sz w:val="28"/>
          <w:szCs w:val="28"/>
          <w:u w:val="single"/>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日期：</w:t>
      </w:r>
      <w:r>
        <w:rPr>
          <w:rFonts w:hint="eastAsia" w:ascii="仿宋_GB2312" w:hAnsi="仿宋_GB2312" w:eastAsia="仿宋_GB2312" w:cs="仿宋_GB2312"/>
          <w:b/>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z w:val="28"/>
          <w:szCs w:val="28"/>
          <w14:textFill>
            <w14:solidFill>
              <w14:schemeClr w14:val="tx1"/>
            </w14:solidFill>
          </w14:textFill>
        </w:rPr>
        <w:t>年</w:t>
      </w:r>
      <w:r>
        <w:rPr>
          <w:rFonts w:hint="eastAsia" w:ascii="仿宋_GB2312" w:hAnsi="仿宋_GB2312" w:eastAsia="仿宋_GB2312" w:cs="仿宋_GB2312"/>
          <w:b/>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z w:val="28"/>
          <w:szCs w:val="28"/>
          <w14:textFill>
            <w14:solidFill>
              <w14:schemeClr w14:val="tx1"/>
            </w14:solidFill>
          </w14:textFill>
        </w:rPr>
        <w:t>月</w:t>
      </w:r>
      <w:r>
        <w:rPr>
          <w:rFonts w:hint="eastAsia" w:ascii="仿宋_GB2312" w:hAnsi="仿宋_GB2312" w:eastAsia="仿宋_GB2312" w:cs="仿宋_GB2312"/>
          <w:b/>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z w:val="28"/>
          <w:szCs w:val="28"/>
          <w14:textFill>
            <w14:solidFill>
              <w14:schemeClr w14:val="tx1"/>
            </w14:solidFill>
          </w14:textFill>
        </w:rPr>
        <w:t>日</w:t>
      </w:r>
    </w:p>
    <w:p>
      <w:pPr>
        <w:autoSpaceDE w:val="0"/>
        <w:autoSpaceDN w:val="0"/>
        <w:adjustRightInd w:val="0"/>
        <w:jc w:val="center"/>
        <w:rPr>
          <w:rFonts w:ascii="仿宋_GB2312" w:hAnsi="仿宋_GB2312" w:eastAsia="仿宋_GB2312" w:cs="仿宋_GB2312"/>
          <w:color w:val="000000" w:themeColor="text1"/>
          <w:szCs w:val="21"/>
          <w14:textFill>
            <w14:solidFill>
              <w14:schemeClr w14:val="tx1"/>
            </w14:solidFill>
          </w14:textFill>
        </w:rPr>
        <w:sectPr>
          <w:headerReference r:id="rId3" w:type="default"/>
          <w:footerReference r:id="rId4" w:type="default"/>
          <w:pgSz w:w="11906" w:h="16838"/>
          <w:pgMar w:top="1089" w:right="1466" w:bottom="1089" w:left="1077" w:header="851" w:footer="992" w:gutter="0"/>
          <w:cols w:space="720" w:num="1"/>
          <w:docGrid w:type="lines" w:linePitch="312" w:charSpace="0"/>
        </w:sectPr>
      </w:pPr>
    </w:p>
    <w:p>
      <w:pPr>
        <w:pStyle w:val="8"/>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1、法定代表人/负责人资格证明书及授权委托书</w:t>
      </w:r>
    </w:p>
    <w:p>
      <w:pPr>
        <w:spacing w:line="48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（1）法定代表人/负责人资格证明书</w:t>
      </w:r>
    </w:p>
    <w:p>
      <w:pPr>
        <w:spacing w:line="480" w:lineRule="exact"/>
        <w:rPr>
          <w:rFonts w:ascii="仿宋" w:hAnsi="仿宋" w:eastAsia="仿宋" w:cs="仿宋_GB2312"/>
          <w:color w:val="000000" w:themeColor="text1"/>
          <w:sz w:val="28"/>
          <w:szCs w:val="28"/>
          <w14:textFill>
            <w14:solidFill>
              <w14:schemeClr w14:val="tx1"/>
            </w14:solidFill>
          </w14:textFill>
        </w:rPr>
      </w:pPr>
    </w:p>
    <w:p>
      <w:pPr>
        <w:spacing w:line="480" w:lineRule="exact"/>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致：（项目实施单位）</w:t>
      </w:r>
    </w:p>
    <w:p>
      <w:pPr>
        <w:rPr>
          <w:rFonts w:ascii="仿宋" w:hAnsi="仿宋" w:eastAsia="仿宋" w:cs="仿宋_GB2312"/>
          <w:color w:val="auto"/>
          <w:sz w:val="28"/>
          <w:szCs w:val="28"/>
          <w:highlight w:val="none"/>
        </w:rPr>
      </w:pPr>
    </w:p>
    <w:p>
      <w:pPr>
        <w:spacing w:line="440" w:lineRule="exact"/>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 xml:space="preserve">     </w:t>
      </w:r>
      <w:r>
        <w:rPr>
          <w:rFonts w:hint="eastAsia" w:ascii="仿宋" w:hAnsi="仿宋" w:eastAsia="仿宋" w:cs="仿宋_GB2312"/>
          <w:color w:val="auto"/>
          <w:sz w:val="28"/>
          <w:szCs w:val="28"/>
          <w:highlight w:val="none"/>
          <w:u w:val="single"/>
        </w:rPr>
        <w:t xml:space="preserve">          </w:t>
      </w:r>
      <w:r>
        <w:rPr>
          <w:rFonts w:hint="eastAsia" w:ascii="仿宋" w:hAnsi="仿宋" w:eastAsia="仿宋" w:cs="仿宋_GB2312"/>
          <w:color w:val="auto"/>
          <w:sz w:val="28"/>
          <w:szCs w:val="28"/>
          <w:highlight w:val="none"/>
        </w:rPr>
        <w:t>同志为本单位法定代表人，特此证明。</w:t>
      </w:r>
    </w:p>
    <w:p>
      <w:pPr>
        <w:spacing w:line="440" w:lineRule="exact"/>
        <w:ind w:firstLine="280" w:firstLineChars="10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签发日期：           单位：           （盖单位公章）</w:t>
      </w:r>
    </w:p>
    <w:p>
      <w:pPr>
        <w:spacing w:line="440" w:lineRule="exact"/>
        <w:ind w:firstLine="280" w:firstLineChars="10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附：代表人性别：            年龄：           身份证号码：</w:t>
      </w:r>
    </w:p>
    <w:p>
      <w:pPr>
        <w:spacing w:line="440" w:lineRule="exact"/>
        <w:ind w:firstLine="280" w:firstLineChars="10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联系电话：</w:t>
      </w:r>
    </w:p>
    <w:p>
      <w:pPr>
        <w:spacing w:line="440" w:lineRule="exact"/>
        <w:ind w:firstLine="280" w:firstLineChars="10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营业执照号码：                       经济性质：</w:t>
      </w:r>
    </w:p>
    <w:p>
      <w:pPr>
        <w:spacing w:line="440" w:lineRule="exact"/>
        <w:ind w:firstLine="280" w:firstLineChars="10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机构代码：                           机构性质：</w:t>
      </w:r>
    </w:p>
    <w:p>
      <w:pPr>
        <w:spacing w:line="440" w:lineRule="exact"/>
        <w:ind w:firstLine="280" w:firstLineChars="10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主营：</w:t>
      </w:r>
    </w:p>
    <w:p>
      <w:pPr>
        <w:spacing w:line="440" w:lineRule="exact"/>
        <w:ind w:firstLine="280" w:firstLineChars="10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兼营：</w:t>
      </w:r>
    </w:p>
    <w:p>
      <w:pPr>
        <w:spacing w:line="440" w:lineRule="exact"/>
        <w:ind w:firstLine="0" w:firstLineChars="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法定代表人</w:t>
      </w:r>
      <w:r>
        <w:rPr>
          <w:rFonts w:hint="eastAsia" w:ascii="宋体" w:hAnsi="宋体"/>
          <w:color w:val="auto"/>
          <w:sz w:val="24"/>
          <w:szCs w:val="24"/>
        </w:rPr>
        <w:t>身份证复印件</w:t>
      </w:r>
      <w:r>
        <w:rPr>
          <w:rFonts w:hint="eastAsia" w:ascii="宋体" w:hAnsi="宋体"/>
          <w:color w:val="auto"/>
          <w:sz w:val="24"/>
          <w:szCs w:val="24"/>
          <w:lang w:eastAsia="zh-CN"/>
        </w:rPr>
        <w:t>：</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2" w:hRule="atLeast"/>
        </w:trPr>
        <w:tc>
          <w:tcPr>
            <w:tcW w:w="4814" w:type="dxa"/>
          </w:tcPr>
          <w:p>
            <w:pPr>
              <w:spacing w:line="360" w:lineRule="auto"/>
              <w:jc w:val="both"/>
              <w:rPr>
                <w:rFonts w:hint="eastAsia" w:ascii="宋体" w:hAnsi="宋体"/>
                <w:color w:val="auto"/>
                <w:sz w:val="24"/>
                <w:szCs w:val="24"/>
              </w:rPr>
            </w:pPr>
          </w:p>
          <w:p>
            <w:pPr>
              <w:spacing w:line="360" w:lineRule="auto"/>
              <w:jc w:val="center"/>
              <w:rPr>
                <w:rFonts w:hint="eastAsia" w:ascii="宋体" w:hAnsi="宋体" w:eastAsia="宋体" w:cs="Times New Roman"/>
                <w:color w:val="auto"/>
                <w:sz w:val="24"/>
                <w:szCs w:val="24"/>
              </w:rPr>
            </w:pPr>
          </w:p>
          <w:p>
            <w:pPr>
              <w:spacing w:line="360" w:lineRule="auto"/>
              <w:jc w:val="center"/>
              <w:rPr>
                <w:rFonts w:hint="eastAsia" w:ascii="宋体" w:hAnsi="宋体" w:eastAsia="宋体" w:cs="Times New Roman"/>
                <w:color w:val="auto"/>
                <w:sz w:val="24"/>
                <w:szCs w:val="24"/>
              </w:rPr>
            </w:pPr>
          </w:p>
          <w:p>
            <w:pPr>
              <w:spacing w:line="360" w:lineRule="auto"/>
              <w:jc w:val="center"/>
              <w:rPr>
                <w:rFonts w:hint="default" w:ascii="宋体" w:hAnsi="宋体" w:eastAsia="宋体"/>
                <w:color w:val="auto"/>
                <w:sz w:val="24"/>
                <w:szCs w:val="24"/>
                <w:lang w:val="en-US" w:eastAsia="zh-CN"/>
              </w:rPr>
            </w:pPr>
            <w:r>
              <w:rPr>
                <w:rFonts w:hint="eastAsia" w:ascii="宋体" w:hAnsi="宋体" w:eastAsia="宋体" w:cs="Times New Roman"/>
                <w:color w:val="auto"/>
                <w:sz w:val="24"/>
                <w:szCs w:val="24"/>
                <w:highlight w:val="none"/>
              </w:rPr>
              <w:t>人像面</w:t>
            </w:r>
            <w:r>
              <w:rPr>
                <w:rFonts w:hint="eastAsia" w:ascii="宋体" w:hAnsi="宋体" w:cs="Times New Roman"/>
                <w:color w:val="auto"/>
                <w:sz w:val="24"/>
                <w:szCs w:val="24"/>
                <w:lang w:eastAsia="zh-CN"/>
              </w:rPr>
              <w:t>，</w:t>
            </w:r>
            <w:r>
              <w:rPr>
                <w:rFonts w:hint="eastAsia" w:ascii="宋体" w:hAnsi="宋体"/>
                <w:color w:val="auto"/>
                <w:sz w:val="24"/>
                <w:szCs w:val="24"/>
                <w:lang w:val="en-US" w:eastAsia="zh-CN"/>
              </w:rPr>
              <w:t>盖单位公章</w:t>
            </w:r>
          </w:p>
          <w:p>
            <w:pPr>
              <w:spacing w:line="360" w:lineRule="auto"/>
              <w:jc w:val="left"/>
              <w:rPr>
                <w:rFonts w:ascii="宋体" w:hAnsi="宋体"/>
                <w:color w:val="auto"/>
                <w:sz w:val="24"/>
                <w:szCs w:val="24"/>
              </w:rPr>
            </w:pPr>
          </w:p>
          <w:p>
            <w:pPr>
              <w:spacing w:line="360" w:lineRule="auto"/>
              <w:jc w:val="left"/>
              <w:rPr>
                <w:rFonts w:ascii="宋体" w:hAnsi="宋体"/>
                <w:color w:val="auto"/>
                <w:sz w:val="24"/>
                <w:szCs w:val="24"/>
              </w:rPr>
            </w:pPr>
          </w:p>
          <w:p>
            <w:pPr>
              <w:spacing w:line="360" w:lineRule="auto"/>
              <w:jc w:val="left"/>
              <w:rPr>
                <w:rFonts w:ascii="宋体" w:hAnsi="宋体"/>
                <w:color w:val="auto"/>
                <w:sz w:val="24"/>
                <w:szCs w:val="24"/>
              </w:rPr>
            </w:pPr>
          </w:p>
        </w:tc>
        <w:tc>
          <w:tcPr>
            <w:tcW w:w="4814" w:type="dxa"/>
          </w:tcPr>
          <w:p>
            <w:pPr>
              <w:widowControl/>
              <w:spacing w:line="440" w:lineRule="exact"/>
              <w:ind w:firstLine="0" w:firstLineChars="0"/>
              <w:jc w:val="both"/>
              <w:rPr>
                <w:rFonts w:hint="eastAsia" w:ascii="仿宋" w:hAnsi="仿宋" w:eastAsia="仿宋" w:cs="仿宋_GB2312"/>
                <w:color w:val="auto"/>
                <w:sz w:val="24"/>
                <w:szCs w:val="24"/>
                <w:highlight w:val="none"/>
              </w:rPr>
            </w:pPr>
          </w:p>
          <w:p>
            <w:pPr>
              <w:spacing w:line="360" w:lineRule="auto"/>
              <w:jc w:val="center"/>
              <w:rPr>
                <w:rFonts w:hint="eastAsia" w:ascii="宋体" w:hAnsi="宋体" w:eastAsia="宋体" w:cs="Times New Roman"/>
                <w:color w:val="auto"/>
                <w:sz w:val="24"/>
                <w:szCs w:val="24"/>
              </w:rPr>
            </w:pPr>
          </w:p>
          <w:p>
            <w:pPr>
              <w:spacing w:line="360" w:lineRule="auto"/>
              <w:jc w:val="center"/>
              <w:rPr>
                <w:rFonts w:hint="eastAsia" w:ascii="宋体" w:hAnsi="宋体" w:eastAsia="宋体" w:cs="Times New Roman"/>
                <w:color w:val="auto"/>
                <w:sz w:val="24"/>
                <w:szCs w:val="24"/>
              </w:rPr>
            </w:pPr>
          </w:p>
          <w:p>
            <w:pPr>
              <w:spacing w:line="360" w:lineRule="auto"/>
              <w:jc w:val="center"/>
              <w:rPr>
                <w:rFonts w:hint="eastAsia" w:ascii="宋体" w:hAnsi="宋体" w:eastAsia="宋体"/>
                <w:color w:val="auto"/>
                <w:sz w:val="24"/>
                <w:szCs w:val="24"/>
                <w:lang w:val="en-US" w:eastAsia="zh-CN"/>
              </w:rPr>
            </w:pPr>
            <w:r>
              <w:rPr>
                <w:rFonts w:hint="eastAsia" w:ascii="宋体" w:hAnsi="宋体" w:eastAsia="宋体" w:cs="Times New Roman"/>
                <w:color w:val="auto"/>
                <w:sz w:val="24"/>
                <w:szCs w:val="24"/>
                <w:highlight w:val="none"/>
              </w:rPr>
              <w:t>国徽面</w:t>
            </w:r>
            <w:r>
              <w:rPr>
                <w:rFonts w:hint="eastAsia" w:ascii="宋体" w:hAnsi="宋体" w:cs="Times New Roman"/>
                <w:color w:val="auto"/>
                <w:sz w:val="24"/>
                <w:szCs w:val="24"/>
                <w:lang w:eastAsia="zh-CN"/>
              </w:rPr>
              <w:t>，</w:t>
            </w:r>
            <w:r>
              <w:rPr>
                <w:rFonts w:hint="eastAsia" w:ascii="宋体" w:hAnsi="宋体"/>
                <w:color w:val="auto"/>
                <w:sz w:val="24"/>
                <w:szCs w:val="24"/>
                <w:lang w:val="en-US" w:eastAsia="zh-CN"/>
              </w:rPr>
              <w:t>盖单位公章</w:t>
            </w:r>
          </w:p>
          <w:p>
            <w:pPr>
              <w:pStyle w:val="31"/>
              <w:rPr>
                <w:rFonts w:hint="eastAsia"/>
                <w:color w:val="auto"/>
              </w:rPr>
            </w:pPr>
          </w:p>
          <w:p>
            <w:pPr>
              <w:spacing w:line="360" w:lineRule="auto"/>
              <w:jc w:val="left"/>
              <w:rPr>
                <w:rFonts w:ascii="宋体" w:hAnsi="宋体"/>
                <w:color w:val="auto"/>
                <w:sz w:val="24"/>
                <w:szCs w:val="24"/>
              </w:rPr>
            </w:pPr>
          </w:p>
        </w:tc>
      </w:tr>
    </w:tbl>
    <w:p>
      <w:pPr>
        <w:rPr>
          <w:rFonts w:ascii="仿宋" w:hAnsi="仿宋" w:eastAsia="仿宋" w:cs="仿宋_GB2312"/>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pStyle w:val="31"/>
        <w:rPr>
          <w:color w:val="000000" w:themeColor="text1"/>
          <w14:textFill>
            <w14:solidFill>
              <w14:schemeClr w14:val="tx1"/>
            </w14:solidFill>
          </w14:textFill>
        </w:rPr>
      </w:pPr>
    </w:p>
    <w:p>
      <w:pPr>
        <w:tabs>
          <w:tab w:val="left" w:pos="654"/>
          <w:tab w:val="left" w:pos="1734"/>
          <w:tab w:val="left" w:pos="2814"/>
          <w:tab w:val="left" w:pos="3894"/>
          <w:tab w:val="left" w:pos="5334"/>
          <w:tab w:val="left" w:pos="6414"/>
          <w:tab w:val="left" w:pos="7254"/>
          <w:tab w:val="left" w:pos="8574"/>
          <w:tab w:val="left" w:pos="9654"/>
        </w:tabs>
        <w:rPr>
          <w:rFonts w:ascii="仿宋" w:hAnsi="仿宋" w:eastAsia="仿宋" w:cs="仿宋_GB2312"/>
          <w:color w:val="000000" w:themeColor="text1"/>
          <w:sz w:val="28"/>
          <w:szCs w:val="28"/>
          <w14:textFill>
            <w14:solidFill>
              <w14:schemeClr w14:val="tx1"/>
            </w14:solidFill>
          </w14:textFill>
        </w:rPr>
      </w:pPr>
    </w:p>
    <w:p>
      <w:pPr>
        <w:spacing w:line="480" w:lineRule="exact"/>
        <w:jc w:val="center"/>
        <w:rPr>
          <w:rFonts w:ascii="仿宋" w:hAnsi="仿宋" w:eastAsia="仿宋" w:cs="仿宋_GB2312"/>
          <w:b/>
          <w:color w:val="000000" w:themeColor="text1"/>
          <w:sz w:val="28"/>
          <w:szCs w:val="28"/>
          <w14:textFill>
            <w14:solidFill>
              <w14:schemeClr w14:val="tx1"/>
            </w14:solidFill>
          </w14:textFill>
        </w:rPr>
      </w:pPr>
    </w:p>
    <w:p>
      <w:pPr>
        <w:spacing w:line="48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（2）法定代表人/负责人授权委托书</w:t>
      </w:r>
    </w:p>
    <w:p>
      <w:pPr>
        <w:spacing w:line="360" w:lineRule="auto"/>
        <w:rPr>
          <w:rFonts w:ascii="仿宋" w:hAnsi="仿宋" w:eastAsia="仿宋" w:cs="仿宋_GB2312"/>
          <w:color w:val="000000" w:themeColor="text1"/>
          <w:sz w:val="28"/>
          <w:szCs w:val="28"/>
          <w14:textFill>
            <w14:solidFill>
              <w14:schemeClr w14:val="tx1"/>
            </w14:solidFill>
          </w14:textFill>
        </w:rPr>
      </w:pPr>
    </w:p>
    <w:p>
      <w:pPr>
        <w:spacing w:line="36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致：（项目实施单位）</w:t>
      </w:r>
    </w:p>
    <w:p>
      <w:pPr>
        <w:spacing w:line="480" w:lineRule="exact"/>
        <w:ind w:firstLine="562" w:firstLineChars="200"/>
        <w:rPr>
          <w:rFonts w:ascii="仿宋" w:hAnsi="仿宋" w:eastAsia="仿宋" w:cs="仿宋_GB2312"/>
          <w:b/>
          <w:color w:val="000000" w:themeColor="text1"/>
          <w:sz w:val="28"/>
          <w:szCs w:val="28"/>
          <w14:textFill>
            <w14:solidFill>
              <w14:schemeClr w14:val="tx1"/>
            </w14:solidFill>
          </w14:textFill>
        </w:rPr>
      </w:pPr>
    </w:p>
    <w:p>
      <w:pPr>
        <w:spacing w:line="480" w:lineRule="exact"/>
        <w:ind w:firstLine="560" w:firstLine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本人</w:t>
      </w:r>
      <w:r>
        <w:rPr>
          <w:rFonts w:hint="eastAsia" w:ascii="仿宋" w:hAnsi="仿宋" w:eastAsia="仿宋" w:cs="仿宋_GB2312"/>
          <w:color w:val="000000" w:themeColor="text1"/>
          <w:sz w:val="28"/>
          <w:szCs w:val="28"/>
          <w:u w:val="single"/>
          <w14:textFill>
            <w14:solidFill>
              <w14:schemeClr w14:val="tx1"/>
            </w14:solidFill>
          </w14:textFill>
        </w:rPr>
        <w:t>（法人姓名）（法人签字或盖私章）</w:t>
      </w:r>
      <w:r>
        <w:rPr>
          <w:rFonts w:hint="eastAsia" w:ascii="仿宋" w:hAnsi="仿宋" w:eastAsia="仿宋" w:cs="仿宋_GB2312"/>
          <w:color w:val="000000" w:themeColor="text1"/>
          <w:sz w:val="28"/>
          <w:szCs w:val="28"/>
          <w14:textFill>
            <w14:solidFill>
              <w14:schemeClr w14:val="tx1"/>
            </w14:solidFill>
          </w14:textFill>
        </w:rPr>
        <w:t>系</w:t>
      </w:r>
      <w:r>
        <w:rPr>
          <w:rFonts w:hint="eastAsia" w:ascii="仿宋" w:hAnsi="仿宋" w:eastAsia="仿宋" w:cs="仿宋_GB2312"/>
          <w:color w:val="000000" w:themeColor="text1"/>
          <w:sz w:val="28"/>
          <w:szCs w:val="28"/>
          <w:u w:val="single"/>
          <w14:textFill>
            <w14:solidFill>
              <w14:schemeClr w14:val="tx1"/>
            </w14:solidFill>
          </w14:textFill>
        </w:rPr>
        <w:t>（供应商名称）（盖单位公章）</w:t>
      </w:r>
      <w:r>
        <w:rPr>
          <w:rFonts w:hint="eastAsia" w:ascii="仿宋" w:hAnsi="仿宋" w:eastAsia="仿宋" w:cs="仿宋_GB2312"/>
          <w:color w:val="000000" w:themeColor="text1"/>
          <w:sz w:val="28"/>
          <w:szCs w:val="28"/>
          <w14:textFill>
            <w14:solidFill>
              <w14:schemeClr w14:val="tx1"/>
            </w14:solidFill>
          </w14:textFill>
        </w:rPr>
        <w:t>法定代表人，现授权</w:t>
      </w:r>
      <w:r>
        <w:rPr>
          <w:rFonts w:hint="eastAsia" w:ascii="仿宋" w:hAnsi="仿宋" w:eastAsia="仿宋" w:cs="仿宋_GB2312"/>
          <w:color w:val="000000" w:themeColor="text1"/>
          <w:sz w:val="28"/>
          <w:szCs w:val="28"/>
          <w:u w:val="single"/>
          <w14:textFill>
            <w14:solidFill>
              <w14:schemeClr w14:val="tx1"/>
            </w14:solidFill>
          </w14:textFill>
        </w:rPr>
        <w:t>（委托代理人姓名）</w:t>
      </w:r>
      <w:r>
        <w:rPr>
          <w:rFonts w:hint="eastAsia" w:ascii="仿宋" w:hAnsi="仿宋" w:eastAsia="仿宋" w:cs="仿宋_GB2312"/>
          <w:color w:val="000000" w:themeColor="text1"/>
          <w:sz w:val="28"/>
          <w:szCs w:val="28"/>
          <w14:textFill>
            <w14:solidFill>
              <w14:schemeClr w14:val="tx1"/>
            </w14:solidFill>
          </w14:textFill>
        </w:rPr>
        <w:t>为我方合法委托代理人，参加项目(项目编号：)询价活动及相关事宜。该授权代表在本询价活动过程中所签署的一切文件和处理与之有关的一切事务，均代表我方的行为，与本人的行为具有同等的法律效力。我方将承担授权代表行为的一切法律责任后果。本授权书有效期与本公司采购须知中标注的采购有效期相同。</w:t>
      </w:r>
    </w:p>
    <w:p>
      <w:pPr>
        <w:spacing w:line="48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 xml:space="preserve">附：签发日期：   年 月 日       有效期限：签发日期起至   年 月 日   </w:t>
      </w:r>
    </w:p>
    <w:p>
      <w:pPr>
        <w:spacing w:line="480" w:lineRule="exact"/>
        <w:ind w:firstLine="840" w:firstLineChars="3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代理人性别：   年龄：   职务：</w:t>
      </w:r>
    </w:p>
    <w:p>
      <w:pPr>
        <w:spacing w:line="480" w:lineRule="exact"/>
        <w:ind w:firstLine="280" w:firstLineChars="100"/>
        <w:rPr>
          <w:rFonts w:hint="eastAsia"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　　身份证号码：</w:t>
      </w:r>
    </w:p>
    <w:p>
      <w:pPr>
        <w:pStyle w:val="2"/>
        <w:spacing w:line="480" w:lineRule="exact"/>
        <w:ind w:firstLine="840" w:firstLineChars="3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联系电话：</w:t>
      </w:r>
    </w:p>
    <w:p>
      <w:pPr>
        <w:spacing w:line="480" w:lineRule="exact"/>
        <w:ind w:firstLine="280" w:firstLineChars="100"/>
        <w:rPr>
          <w:rFonts w:ascii="仿宋" w:hAnsi="仿宋" w:eastAsia="仿宋" w:cs="仿宋_GB2312"/>
          <w:color w:val="000000" w:themeColor="text1"/>
          <w:sz w:val="28"/>
          <w:szCs w:val="28"/>
          <w:highlight w:val="none"/>
          <w14:textFill>
            <w14:solidFill>
              <w14:schemeClr w14:val="tx1"/>
            </w14:solidFill>
          </w14:textFill>
        </w:rPr>
      </w:pPr>
    </w:p>
    <w:p>
      <w:pPr>
        <w:spacing w:line="480" w:lineRule="exact"/>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说明：1.法定代表人为企业事业单位、国家机关、社会团体的主要行政负责人。</w:t>
      </w:r>
    </w:p>
    <w:p>
      <w:pPr>
        <w:spacing w:line="480" w:lineRule="exact"/>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highlight w:val="none"/>
          <w14:textFill>
            <w14:solidFill>
              <w14:schemeClr w14:val="tx1"/>
            </w14:solidFill>
          </w14:textFill>
        </w:rPr>
        <w:t xml:space="preserve">      2.内容必须填写真实、清楚、涂改无效，不得转让、买卖。</w:t>
      </w:r>
    </w:p>
    <w:p>
      <w:pPr>
        <w:spacing w:line="480" w:lineRule="exact"/>
        <w:ind w:firstLine="720" w:firstLineChars="300"/>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3.将此证明书提交对方作为合同附件</w:t>
      </w:r>
      <w:r>
        <w:rPr>
          <w:rFonts w:hint="eastAsia" w:ascii="仿宋" w:hAnsi="仿宋" w:eastAsia="仿宋" w:cs="仿宋_GB2312"/>
          <w:b/>
          <w:color w:val="000000" w:themeColor="text1"/>
          <w:sz w:val="24"/>
          <w14:textFill>
            <w14:solidFill>
              <w14:schemeClr w14:val="tx1"/>
            </w14:solidFill>
          </w14:textFill>
        </w:rPr>
        <w:t>。</w:t>
      </w:r>
    </w:p>
    <w:p>
      <w:pPr>
        <w:pStyle w:val="31"/>
        <w:ind w:firstLine="720" w:firstLineChars="300"/>
        <w:rPr>
          <w:rFonts w:ascii="仿宋" w:hAnsi="仿宋" w:eastAsia="仿宋" w:cs="仿宋_GB2312"/>
          <w:color w:val="000000" w:themeColor="text1"/>
          <w:kern w:val="2"/>
          <w14:textFill>
            <w14:solidFill>
              <w14:schemeClr w14:val="tx1"/>
            </w14:solidFill>
          </w14:textFill>
        </w:rPr>
      </w:pPr>
      <w:r>
        <w:rPr>
          <w:rFonts w:hint="eastAsia" w:ascii="仿宋" w:hAnsi="仿宋" w:eastAsia="仿宋" w:cs="仿宋_GB2312"/>
          <w:color w:val="000000" w:themeColor="text1"/>
          <w:kern w:val="2"/>
          <w14:textFill>
            <w14:solidFill>
              <w14:schemeClr w14:val="tx1"/>
            </w14:solidFill>
          </w14:textFill>
        </w:rPr>
        <w:t>4.授权权限：全权代表本公司参与上述项目的谈判，负责提供与签署确认一切文书资料，以及向贵方递交的任何补充承诺。</w:t>
      </w:r>
    </w:p>
    <w:p>
      <w:pPr>
        <w:spacing w:line="440" w:lineRule="exact"/>
        <w:ind w:firstLine="736" w:firstLineChars="307"/>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5.有效期限：与本公司响应文件成交注的谈判有效期相同，自本单位盖公章之日起生效。</w:t>
      </w:r>
    </w:p>
    <w:p>
      <w:pPr>
        <w:spacing w:line="440" w:lineRule="exact"/>
        <w:ind w:firstLine="736" w:firstLineChars="307"/>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6.谈判签字代表为法定代表人，则本表不适用。</w:t>
      </w:r>
    </w:p>
    <w:p>
      <w:pPr>
        <w:widowControl/>
        <w:spacing w:line="440" w:lineRule="exact"/>
        <w:ind w:firstLine="736" w:firstLineChars="307"/>
        <w:jc w:val="left"/>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7.提供授权代理人在本单位近三个月社保记录（以加盖社会保险基金管理中心印章的《缴费历史明细表》或《社会保险参保人员证明》为准），否则为无效代理人，询价响应文件无效。</w:t>
      </w:r>
    </w:p>
    <w:p>
      <w:pPr>
        <w:widowControl/>
        <w:spacing w:line="440" w:lineRule="exact"/>
        <w:jc w:val="left"/>
        <w:rPr>
          <w:rFonts w:ascii="仿宋" w:hAnsi="仿宋" w:eastAsia="仿宋" w:cs="仿宋_GB2312"/>
          <w:color w:val="000000" w:themeColor="text1"/>
          <w:sz w:val="24"/>
          <w14:textFill>
            <w14:solidFill>
              <w14:schemeClr w14:val="tx1"/>
            </w14:solidFill>
          </w14:textFill>
        </w:rPr>
      </w:pPr>
    </w:p>
    <w:p>
      <w:pPr>
        <w:widowControl/>
        <w:spacing w:line="440" w:lineRule="exact"/>
        <w:jc w:val="left"/>
        <w:rPr>
          <w:rFonts w:ascii="仿宋" w:hAnsi="仿宋" w:eastAsia="仿宋" w:cs="仿宋_GB2312"/>
          <w:color w:val="000000" w:themeColor="text1"/>
          <w:sz w:val="24"/>
          <w14:textFill>
            <w14:solidFill>
              <w14:schemeClr w14:val="tx1"/>
            </w14:solidFill>
          </w14:textFill>
        </w:rPr>
      </w:pPr>
    </w:p>
    <w:p>
      <w:pPr>
        <w:pStyle w:val="2"/>
      </w:pPr>
    </w:p>
    <w:p>
      <w:pPr>
        <w:widowControl/>
        <w:spacing w:line="440" w:lineRule="exact"/>
        <w:jc w:val="left"/>
        <w:rPr>
          <w:rFonts w:ascii="仿宋" w:hAnsi="仿宋" w:eastAsia="仿宋" w:cs="仿宋_GB2312"/>
          <w:color w:val="000000" w:themeColor="text1"/>
          <w:sz w:val="24"/>
          <w14:textFill>
            <w14:solidFill>
              <w14:schemeClr w14:val="tx1"/>
            </w14:solidFill>
          </w14:textFill>
        </w:rPr>
      </w:pPr>
    </w:p>
    <w:p>
      <w:pPr>
        <w:spacing w:line="440" w:lineRule="exact"/>
        <w:rPr>
          <w:rFonts w:ascii="宋体" w:hAnsi="宋体"/>
          <w:color w:val="000000" w:themeColor="text1"/>
          <w:sz w:val="24"/>
          <w14:textFill>
            <w14:solidFill>
              <w14:schemeClr w14:val="tx1"/>
            </w14:solidFill>
          </w14:textFill>
        </w:rPr>
      </w:pPr>
    </w:p>
    <w:p>
      <w:pPr>
        <w:spacing w:line="440" w:lineRule="exact"/>
        <w:rPr>
          <w:rFonts w:hint="eastAsia" w:ascii="宋体" w:hAnsi="宋体"/>
          <w:color w:val="000000" w:themeColor="text1"/>
          <w:sz w:val="24"/>
          <w14:textFill>
            <w14:solidFill>
              <w14:schemeClr w14:val="tx1"/>
            </w14:solidFill>
          </w14:textFill>
        </w:rPr>
      </w:pPr>
    </w:p>
    <w:p>
      <w:pPr>
        <w:spacing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授权代理人身份证复印件：</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8" w:hRule="atLeast"/>
        </w:trPr>
        <w:tc>
          <w:tcPr>
            <w:tcW w:w="4814" w:type="dxa"/>
          </w:tcPr>
          <w:p>
            <w:pPr>
              <w:spacing w:line="360" w:lineRule="auto"/>
              <w:rPr>
                <w:rFonts w:ascii="宋体" w:hAnsi="宋体" w:eastAsiaTheme="minorEastAsia" w:cstheme="minorBidi"/>
                <w:color w:val="000000" w:themeColor="text1"/>
                <w:sz w:val="24"/>
                <w14:textFill>
                  <w14:solidFill>
                    <w14:schemeClr w14:val="tx1"/>
                  </w14:solidFill>
                </w14:textFill>
              </w:rPr>
            </w:pPr>
          </w:p>
          <w:p>
            <w:pPr>
              <w:spacing w:line="360" w:lineRule="auto"/>
              <w:jc w:val="center"/>
              <w:rPr>
                <w:rFonts w:ascii="宋体" w:hAnsi="宋体" w:eastAsiaTheme="minorEastAsia" w:cstheme="minorBidi"/>
                <w:color w:val="000000" w:themeColor="text1"/>
                <w:sz w:val="24"/>
                <w14:textFill>
                  <w14:solidFill>
                    <w14:schemeClr w14:val="tx1"/>
                  </w14:solidFill>
                </w14:textFill>
              </w:rPr>
            </w:pPr>
          </w:p>
          <w:p>
            <w:pPr>
              <w:spacing w:line="360" w:lineRule="auto"/>
              <w:jc w:val="center"/>
              <w:rPr>
                <w:rFonts w:ascii="宋体" w:hAnsi="宋体" w:eastAsiaTheme="minorEastAsia" w:cstheme="minorBidi"/>
                <w:color w:val="000000" w:themeColor="text1"/>
                <w:sz w:val="24"/>
                <w14:textFill>
                  <w14:solidFill>
                    <w14:schemeClr w14:val="tx1"/>
                  </w14:solidFill>
                </w14:textFill>
              </w:rPr>
            </w:pPr>
            <w:r>
              <w:rPr>
                <w:rFonts w:hint="eastAsia" w:ascii="宋体" w:hAnsi="宋体" w:eastAsiaTheme="minorEastAsia" w:cstheme="minorBidi"/>
                <w:color w:val="000000" w:themeColor="text1"/>
                <w:sz w:val="24"/>
                <w14:textFill>
                  <w14:solidFill>
                    <w14:schemeClr w14:val="tx1"/>
                  </w14:solidFill>
                </w14:textFill>
              </w:rPr>
              <w:t>人像面，盖单位公章</w:t>
            </w:r>
          </w:p>
          <w:p>
            <w:pPr>
              <w:spacing w:line="360" w:lineRule="auto"/>
              <w:jc w:val="center"/>
              <w:rPr>
                <w:rFonts w:ascii="宋体" w:hAnsi="宋体" w:eastAsiaTheme="minorEastAsia" w:cstheme="minorBidi"/>
                <w:color w:val="000000" w:themeColor="text1"/>
                <w:sz w:val="24"/>
                <w14:textFill>
                  <w14:solidFill>
                    <w14:schemeClr w14:val="tx1"/>
                  </w14:solidFill>
                </w14:textFill>
              </w:rPr>
            </w:pPr>
          </w:p>
          <w:p>
            <w:pPr>
              <w:spacing w:line="360" w:lineRule="auto"/>
              <w:jc w:val="left"/>
              <w:rPr>
                <w:rFonts w:ascii="宋体" w:hAnsi="宋体" w:eastAsiaTheme="minorEastAsia" w:cstheme="minorBidi"/>
                <w:color w:val="000000" w:themeColor="text1"/>
                <w:sz w:val="24"/>
                <w14:textFill>
                  <w14:solidFill>
                    <w14:schemeClr w14:val="tx1"/>
                  </w14:solidFill>
                </w14:textFill>
              </w:rPr>
            </w:pPr>
          </w:p>
          <w:p>
            <w:pPr>
              <w:spacing w:line="360" w:lineRule="auto"/>
              <w:jc w:val="left"/>
              <w:rPr>
                <w:rFonts w:ascii="宋体" w:hAnsi="宋体" w:eastAsiaTheme="minorEastAsia" w:cstheme="minorBidi"/>
                <w:color w:val="000000" w:themeColor="text1"/>
                <w:sz w:val="24"/>
                <w14:textFill>
                  <w14:solidFill>
                    <w14:schemeClr w14:val="tx1"/>
                  </w14:solidFill>
                </w14:textFill>
              </w:rPr>
            </w:pPr>
          </w:p>
        </w:tc>
        <w:tc>
          <w:tcPr>
            <w:tcW w:w="4814" w:type="dxa"/>
          </w:tcPr>
          <w:p>
            <w:pPr>
              <w:spacing w:line="360" w:lineRule="auto"/>
              <w:jc w:val="center"/>
              <w:rPr>
                <w:rFonts w:ascii="仿宋" w:hAnsi="仿宋" w:eastAsia="仿宋" w:cs="仿宋_GB2312"/>
                <w:color w:val="000000" w:themeColor="text1"/>
                <w:sz w:val="24"/>
                <w14:textFill>
                  <w14:solidFill>
                    <w14:schemeClr w14:val="tx1"/>
                  </w14:solidFill>
                </w14:textFill>
              </w:rPr>
            </w:pPr>
          </w:p>
          <w:p>
            <w:pPr>
              <w:spacing w:line="360" w:lineRule="auto"/>
              <w:rPr>
                <w:rFonts w:ascii="宋体" w:hAnsi="宋体" w:eastAsiaTheme="minorEastAsia" w:cstheme="minorBidi"/>
                <w:color w:val="000000" w:themeColor="text1"/>
                <w:sz w:val="24"/>
                <w14:textFill>
                  <w14:solidFill>
                    <w14:schemeClr w14:val="tx1"/>
                  </w14:solidFill>
                </w14:textFill>
              </w:rPr>
            </w:pPr>
          </w:p>
          <w:p>
            <w:pPr>
              <w:spacing w:line="360" w:lineRule="auto"/>
              <w:jc w:val="center"/>
              <w:rPr>
                <w:rFonts w:ascii="宋体" w:hAnsi="宋体" w:eastAsiaTheme="minorEastAsia" w:cstheme="minorBidi"/>
                <w:color w:val="000000" w:themeColor="text1"/>
                <w:sz w:val="24"/>
                <w14:textFill>
                  <w14:solidFill>
                    <w14:schemeClr w14:val="tx1"/>
                  </w14:solidFill>
                </w14:textFill>
              </w:rPr>
            </w:pPr>
            <w:r>
              <w:rPr>
                <w:rFonts w:hint="eastAsia" w:ascii="宋体" w:hAnsi="宋体" w:eastAsiaTheme="minorEastAsia" w:cstheme="minorBidi"/>
                <w:color w:val="000000" w:themeColor="text1"/>
                <w:sz w:val="24"/>
                <w14:textFill>
                  <w14:solidFill>
                    <w14:schemeClr w14:val="tx1"/>
                  </w14:solidFill>
                </w14:textFill>
              </w:rPr>
              <w:t>国徽面，盖单位公章</w:t>
            </w:r>
          </w:p>
        </w:tc>
      </w:tr>
    </w:tbl>
    <w:p>
      <w:pPr>
        <w:spacing w:line="480" w:lineRule="exact"/>
        <w:ind w:firstLine="843" w:firstLineChars="300"/>
        <w:rPr>
          <w:rFonts w:ascii="仿宋" w:hAnsi="仿宋" w:eastAsia="仿宋" w:cs="仿宋_GB2312"/>
          <w:b/>
          <w:color w:val="000000" w:themeColor="text1"/>
          <w:sz w:val="28"/>
          <w:szCs w:val="28"/>
          <w14:textFill>
            <w14:solidFill>
              <w14:schemeClr w14:val="tx1"/>
            </w14:solidFill>
          </w14:textFill>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6" w:hRule="atLeast"/>
        </w:trPr>
        <w:tc>
          <w:tcPr>
            <w:tcW w:w="9608" w:type="dxa"/>
          </w:tcPr>
          <w:p>
            <w:pPr>
              <w:spacing w:line="360" w:lineRule="auto"/>
              <w:rPr>
                <w:rFonts w:ascii="宋体" w:hAnsi="宋体" w:eastAsiaTheme="minorEastAsia" w:cstheme="minorBidi"/>
                <w:color w:val="000000" w:themeColor="text1"/>
                <w:sz w:val="24"/>
                <w14:textFill>
                  <w14:solidFill>
                    <w14:schemeClr w14:val="tx1"/>
                  </w14:solidFill>
                </w14:textFill>
              </w:rPr>
            </w:pPr>
          </w:p>
          <w:p>
            <w:pPr>
              <w:spacing w:line="360" w:lineRule="auto"/>
              <w:jc w:val="center"/>
              <w:rPr>
                <w:rFonts w:ascii="宋体" w:hAnsi="宋体" w:eastAsiaTheme="minorEastAsia" w:cstheme="minorBidi"/>
                <w:color w:val="000000" w:themeColor="text1"/>
                <w:sz w:val="24"/>
                <w14:textFill>
                  <w14:solidFill>
                    <w14:schemeClr w14:val="tx1"/>
                  </w14:solidFill>
                </w14:textFill>
              </w:rPr>
            </w:pPr>
          </w:p>
          <w:p>
            <w:pPr>
              <w:spacing w:line="360" w:lineRule="auto"/>
              <w:jc w:val="center"/>
              <w:rPr>
                <w:rFonts w:ascii="宋体" w:hAnsi="宋体" w:eastAsiaTheme="minorEastAsia" w:cstheme="minorBidi"/>
                <w:color w:val="000000" w:themeColor="text1"/>
                <w:sz w:val="24"/>
                <w14:textFill>
                  <w14:solidFill>
                    <w14:schemeClr w14:val="tx1"/>
                  </w14:solidFill>
                </w14:textFill>
              </w:rPr>
            </w:pPr>
            <w:r>
              <w:rPr>
                <w:rFonts w:hint="eastAsia" w:ascii="宋体" w:hAnsi="宋体" w:eastAsiaTheme="minorEastAsia" w:cstheme="minorBidi"/>
                <w:color w:val="000000" w:themeColor="text1"/>
                <w:sz w:val="24"/>
                <w14:textFill>
                  <w14:solidFill>
                    <w14:schemeClr w14:val="tx1"/>
                  </w14:solidFill>
                </w14:textFill>
              </w:rPr>
              <w:t>授权代理人在本单位近三个月社保记录，（以加盖社会保险基金管理中心印章的《缴费历史明细表》或《社会保险参保人员证明》为准，盖单位公章</w:t>
            </w:r>
          </w:p>
          <w:p>
            <w:pPr>
              <w:spacing w:line="360" w:lineRule="auto"/>
              <w:jc w:val="center"/>
              <w:rPr>
                <w:rFonts w:ascii="宋体" w:hAnsi="宋体" w:eastAsiaTheme="minorEastAsia" w:cstheme="minorBidi"/>
                <w:color w:val="000000" w:themeColor="text1"/>
                <w:sz w:val="24"/>
                <w14:textFill>
                  <w14:solidFill>
                    <w14:schemeClr w14:val="tx1"/>
                  </w14:solidFill>
                </w14:textFill>
              </w:rPr>
            </w:pPr>
          </w:p>
          <w:p>
            <w:pPr>
              <w:spacing w:line="360" w:lineRule="auto"/>
              <w:jc w:val="left"/>
              <w:rPr>
                <w:rFonts w:ascii="宋体" w:hAnsi="宋体" w:eastAsiaTheme="minorEastAsia" w:cstheme="minorBidi"/>
                <w:color w:val="000000" w:themeColor="text1"/>
                <w:sz w:val="24"/>
                <w14:textFill>
                  <w14:solidFill>
                    <w14:schemeClr w14:val="tx1"/>
                  </w14:solidFill>
                </w14:textFill>
              </w:rPr>
            </w:pPr>
          </w:p>
          <w:p>
            <w:pPr>
              <w:spacing w:line="360" w:lineRule="auto"/>
              <w:jc w:val="left"/>
              <w:rPr>
                <w:rFonts w:ascii="宋体" w:hAnsi="宋体" w:eastAsiaTheme="minorEastAsia" w:cstheme="minorBidi"/>
                <w:color w:val="000000" w:themeColor="text1"/>
                <w:sz w:val="24"/>
                <w14:textFill>
                  <w14:solidFill>
                    <w14:schemeClr w14:val="tx1"/>
                  </w14:solidFill>
                </w14:textFill>
              </w:rPr>
            </w:pPr>
          </w:p>
        </w:tc>
      </w:tr>
    </w:tbl>
    <w:p>
      <w:pPr>
        <w:rPr>
          <w:rFonts w:ascii="仿宋_GB2312" w:hAnsi="仿宋_GB2312" w:eastAsia="仿宋_GB2312" w:cs="仿宋_GB2312"/>
          <w:color w:val="000000" w:themeColor="text1"/>
          <w:sz w:val="28"/>
          <w:szCs w:val="28"/>
          <w14:textFill>
            <w14:solidFill>
              <w14:schemeClr w14:val="tx1"/>
            </w14:solidFill>
          </w14:textFill>
        </w:rPr>
      </w:pPr>
    </w:p>
    <w:p>
      <w:pPr>
        <w:pStyle w:val="31"/>
        <w:rPr>
          <w:rFonts w:ascii="仿宋_GB2312" w:hAnsi="仿宋_GB2312" w:cs="仿宋_GB2312"/>
          <w:color w:val="000000" w:themeColor="text1"/>
          <w:sz w:val="28"/>
          <w:szCs w:val="28"/>
          <w14:textFill>
            <w14:solidFill>
              <w14:schemeClr w14:val="tx1"/>
            </w14:solidFill>
          </w14:textFill>
        </w:rPr>
      </w:pPr>
    </w:p>
    <w:p>
      <w:pPr>
        <w:pStyle w:val="31"/>
        <w:rPr>
          <w:rFonts w:ascii="仿宋_GB2312" w:hAnsi="仿宋_GB2312" w:cs="仿宋_GB2312"/>
          <w:color w:val="000000" w:themeColor="text1"/>
          <w:sz w:val="28"/>
          <w:szCs w:val="28"/>
          <w14:textFill>
            <w14:solidFill>
              <w14:schemeClr w14:val="tx1"/>
            </w14:solidFill>
          </w14:textFill>
        </w:rPr>
      </w:pPr>
    </w:p>
    <w:p>
      <w:pPr>
        <w:pStyle w:val="31"/>
        <w:rPr>
          <w:rFonts w:ascii="仿宋_GB2312" w:hAnsi="仿宋_GB2312" w:cs="仿宋_GB2312"/>
          <w:color w:val="000000" w:themeColor="text1"/>
          <w:sz w:val="28"/>
          <w:szCs w:val="28"/>
          <w14:textFill>
            <w14:solidFill>
              <w14:schemeClr w14:val="tx1"/>
            </w14:solidFill>
          </w14:textFill>
        </w:rPr>
      </w:pPr>
    </w:p>
    <w:p>
      <w:pPr>
        <w:pStyle w:val="31"/>
        <w:rPr>
          <w:rFonts w:ascii="仿宋_GB2312" w:hAnsi="仿宋_GB2312" w:cs="仿宋_GB2312"/>
          <w:color w:val="000000" w:themeColor="text1"/>
          <w:sz w:val="28"/>
          <w:szCs w:val="28"/>
          <w14:textFill>
            <w14:solidFill>
              <w14:schemeClr w14:val="tx1"/>
            </w14:solidFill>
          </w14:textFill>
        </w:rPr>
      </w:pPr>
    </w:p>
    <w:p>
      <w:pPr>
        <w:pStyle w:val="31"/>
        <w:rPr>
          <w:rFonts w:ascii="仿宋_GB2312" w:hAnsi="仿宋_GB2312" w:cs="仿宋_GB2312"/>
          <w:color w:val="000000" w:themeColor="text1"/>
          <w:sz w:val="28"/>
          <w:szCs w:val="28"/>
          <w14:textFill>
            <w14:solidFill>
              <w14:schemeClr w14:val="tx1"/>
            </w14:solidFill>
          </w14:textFill>
        </w:rPr>
      </w:pPr>
    </w:p>
    <w:p>
      <w:pPr>
        <w:pStyle w:val="31"/>
        <w:rPr>
          <w:rFonts w:ascii="仿宋_GB2312" w:hAnsi="仿宋_GB2312" w:cs="仿宋_GB2312"/>
          <w:color w:val="000000" w:themeColor="text1"/>
          <w:sz w:val="28"/>
          <w:szCs w:val="28"/>
          <w14:textFill>
            <w14:solidFill>
              <w14:schemeClr w14:val="tx1"/>
            </w14:solidFill>
          </w14:textFill>
        </w:rPr>
      </w:pPr>
    </w:p>
    <w:p>
      <w:pPr>
        <w:spacing w:line="300" w:lineRule="auto"/>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2资格证明文件</w:t>
      </w:r>
    </w:p>
    <w:p>
      <w:pPr>
        <w:spacing w:line="300" w:lineRule="auto"/>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关于资格的声明函</w:t>
      </w:r>
    </w:p>
    <w:p>
      <w:pPr>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致：（项目实施单位）</w:t>
      </w:r>
    </w:p>
    <w:p>
      <w:pPr>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关于贵方项目名称:____________项目编号：   询价项目，本单位愿意提交报价响应文件，并证明提交的下列文件和说明是准确的和真实的。</w:t>
      </w:r>
    </w:p>
    <w:p>
      <w:pPr>
        <w:tabs>
          <w:tab w:val="left" w:pos="1680"/>
        </w:tabs>
        <w:autoSpaceDE w:val="0"/>
        <w:autoSpaceDN w:val="0"/>
        <w:adjustRightInd w:val="0"/>
        <w:spacing w:line="480" w:lineRule="exact"/>
        <w:ind w:left="510"/>
        <w:jc w:val="left"/>
        <w:textAlignment w:val="baseline"/>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1. </w:t>
      </w:r>
    </w:p>
    <w:p>
      <w:pPr>
        <w:tabs>
          <w:tab w:val="left" w:pos="1680"/>
        </w:tabs>
        <w:autoSpaceDE w:val="0"/>
        <w:autoSpaceDN w:val="0"/>
        <w:adjustRightInd w:val="0"/>
        <w:spacing w:line="480" w:lineRule="exact"/>
        <w:ind w:left="510"/>
        <w:jc w:val="left"/>
        <w:textAlignment w:val="baseline"/>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2. </w:t>
      </w:r>
    </w:p>
    <w:p>
      <w:pPr>
        <w:spacing w:line="480" w:lineRule="exact"/>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（相关证明文件附后）</w:t>
      </w:r>
    </w:p>
    <w:p>
      <w:pPr>
        <w:adjustRightInd w:val="0"/>
        <w:snapToGrid w:val="0"/>
        <w:spacing w:line="300" w:lineRule="auto"/>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w:t>
      </w:r>
    </w:p>
    <w:p>
      <w:pPr>
        <w:adjustRightInd w:val="0"/>
        <w:snapToGrid w:val="0"/>
        <w:spacing w:line="300" w:lineRule="auto"/>
        <w:ind w:firstLine="560" w:firstLineChars="200"/>
        <w:rPr>
          <w:rFonts w:ascii="仿宋_GB2312" w:hAnsi="仿宋_GB2312" w:eastAsia="仿宋_GB2312" w:cs="仿宋_GB2312"/>
          <w:color w:val="000000" w:themeColor="text1"/>
          <w:sz w:val="28"/>
          <w:szCs w:val="28"/>
          <w14:textFill>
            <w14:solidFill>
              <w14:schemeClr w14:val="tx1"/>
            </w14:solidFill>
          </w14:textFill>
        </w:rPr>
      </w:pPr>
    </w:p>
    <w:p>
      <w:pPr>
        <w:adjustRightInd w:val="0"/>
        <w:snapToGrid w:val="0"/>
        <w:spacing w:line="300" w:lineRule="auto"/>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本单位保证全部申请文件和问题的回答是真实和有效的，并对所提供资料的真实性负责。</w:t>
      </w:r>
    </w:p>
    <w:p>
      <w:pPr>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pPr>
    </w:p>
    <w:p>
      <w:pPr>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pPr>
    </w:p>
    <w:p>
      <w:pPr>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报价单位代表（签名或盖私章）：</w:t>
      </w:r>
    </w:p>
    <w:p>
      <w:pPr>
        <w:adjustRightInd w:val="0"/>
        <w:snapToGrid w:val="0"/>
        <w:spacing w:line="300" w:lineRule="auto"/>
        <w:rPr>
          <w:rFonts w:ascii="仿宋_GB2312" w:hAnsi="仿宋_GB2312" w:eastAsia="仿宋_GB2312" w:cs="仿宋_GB2312"/>
          <w:color w:val="000000" w:themeColor="text1"/>
          <w:sz w:val="28"/>
          <w:szCs w:val="28"/>
          <w:u w:val="singl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报价单位名称（盖单位公章）：</w:t>
      </w:r>
    </w:p>
    <w:p>
      <w:pPr>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sectPr>
          <w:pgSz w:w="11906" w:h="16838"/>
          <w:pgMar w:top="1089" w:right="1077" w:bottom="1089" w:left="777" w:header="851" w:footer="992" w:gutter="0"/>
          <w:cols w:space="720" w:num="1"/>
          <w:docGrid w:type="lines" w:linePitch="312" w:charSpace="0"/>
        </w:sectPr>
      </w:pPr>
      <w:r>
        <w:rPr>
          <w:rFonts w:hint="eastAsia" w:ascii="仿宋_GB2312" w:hAnsi="仿宋_GB2312" w:eastAsia="仿宋_GB2312" w:cs="仿宋_GB2312"/>
          <w:color w:val="000000" w:themeColor="text1"/>
          <w:sz w:val="28"/>
          <w:szCs w:val="28"/>
          <w14:textFill>
            <w14:solidFill>
              <w14:schemeClr w14:val="tx1"/>
            </w14:solidFill>
          </w14:textFill>
        </w:rPr>
        <w:t>日期：年 月 日</w:t>
      </w:r>
    </w:p>
    <w:p>
      <w:pPr>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3 报价意向承诺及声明函</w:t>
      </w:r>
    </w:p>
    <w:p>
      <w:pPr>
        <w:spacing w:line="360" w:lineRule="auto"/>
        <w:jc w:val="center"/>
        <w:rPr>
          <w:rFonts w:ascii="仿宋_GB2312" w:hAnsi="仿宋_GB2312" w:eastAsia="仿宋_GB2312" w:cs="仿宋_GB2312"/>
          <w:b/>
          <w:color w:val="000000" w:themeColor="text1"/>
          <w:sz w:val="36"/>
          <w:szCs w:val="36"/>
          <w14:textFill>
            <w14:solidFill>
              <w14:schemeClr w14:val="tx1"/>
            </w14:solidFill>
          </w14:textFill>
        </w:rPr>
      </w:pPr>
      <w:r>
        <w:rPr>
          <w:rFonts w:hint="eastAsia" w:ascii="仿宋_GB2312" w:hAnsi="仿宋_GB2312" w:eastAsia="仿宋_GB2312" w:cs="仿宋_GB2312"/>
          <w:b/>
          <w:color w:val="000000" w:themeColor="text1"/>
          <w:sz w:val="36"/>
          <w:szCs w:val="36"/>
          <w14:textFill>
            <w14:solidFill>
              <w14:schemeClr w14:val="tx1"/>
            </w14:solidFill>
          </w14:textFill>
        </w:rPr>
        <w:t>报 价 意 向 承 诺 及 声 明 函</w:t>
      </w:r>
    </w:p>
    <w:p>
      <w:pPr>
        <w:pStyle w:val="34"/>
        <w:adjustRightInd w:val="0"/>
        <w:ind w:right="-1" w:firstLine="0"/>
        <w:jc w:val="left"/>
        <w:rPr>
          <w:rFonts w:hAnsi="仿宋_GB2312" w:cs="仿宋_GB2312"/>
          <w:color w:val="000000" w:themeColor="text1"/>
          <w:sz w:val="24"/>
          <w:szCs w:val="24"/>
          <w14:textFill>
            <w14:solidFill>
              <w14:schemeClr w14:val="tx1"/>
            </w14:solidFill>
          </w14:textFill>
        </w:rPr>
      </w:pPr>
      <w:r>
        <w:rPr>
          <w:rFonts w:hint="eastAsia" w:hAnsi="仿宋_GB2312" w:cs="仿宋_GB2312"/>
          <w:color w:val="000000" w:themeColor="text1"/>
          <w:sz w:val="24"/>
          <w:szCs w:val="24"/>
          <w14:textFill>
            <w14:solidFill>
              <w14:schemeClr w14:val="tx1"/>
            </w14:solidFill>
          </w14:textFill>
        </w:rPr>
        <w:t>致：</w:t>
      </w:r>
      <w:r>
        <w:rPr>
          <w:rFonts w:hint="eastAsia" w:hAnsi="仿宋_GB2312" w:cs="仿宋_GB2312"/>
          <w:color w:val="000000" w:themeColor="text1"/>
          <w:sz w:val="24"/>
          <w:szCs w:val="24"/>
          <w:u w:val="single"/>
          <w14:textFill>
            <w14:solidFill>
              <w14:schemeClr w14:val="tx1"/>
            </w14:solidFill>
          </w14:textFill>
        </w:rPr>
        <w:t xml:space="preserve">（项目实施单位） </w:t>
      </w:r>
    </w:p>
    <w:p>
      <w:pPr>
        <w:autoSpaceDE w:val="0"/>
        <w:autoSpaceDN w:val="0"/>
        <w:adjustRightInd w:val="0"/>
        <w:spacing w:line="360" w:lineRule="auto"/>
        <w:ind w:left="-539" w:leftChars="-257" w:firstLine="480" w:firstLineChars="200"/>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w:t>
      </w:r>
      <w:r>
        <w:rPr>
          <w:rFonts w:hint="eastAsia" w:ascii="仿宋_GB2312" w:hAnsi="仿宋_GB2312" w:eastAsia="仿宋_GB2312" w:cs="仿宋_GB2312"/>
          <w:color w:val="000000" w:themeColor="text1"/>
          <w:sz w:val="24"/>
          <w14:textFill>
            <w14:solidFill>
              <w14:schemeClr w14:val="tx1"/>
            </w14:solidFill>
          </w14:textFill>
        </w:rPr>
        <w:t>根据询价人发出的的项目编号为   的工程的询价文件，我方已详细审查了全部内容，并无异议。</w:t>
      </w:r>
    </w:p>
    <w:p>
      <w:pPr>
        <w:autoSpaceDE w:val="0"/>
        <w:autoSpaceDN w:val="0"/>
        <w:adjustRightInd w:val="0"/>
        <w:spacing w:line="360" w:lineRule="auto"/>
        <w:ind w:left="-539" w:leftChars="-257" w:firstLine="480" w:firstLineChars="200"/>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2.现我方承诺：</w:t>
      </w:r>
      <w:r>
        <w:rPr>
          <w:rFonts w:hint="eastAsia" w:ascii="仿宋_GB2312" w:hAnsi="仿宋_GB2312" w:eastAsia="仿宋_GB2312" w:cs="仿宋_GB2312"/>
          <w:color w:val="000000" w:themeColor="text1"/>
          <w:kern w:val="0"/>
          <w:sz w:val="24"/>
          <w14:textFill>
            <w14:solidFill>
              <w14:schemeClr w14:val="tx1"/>
            </w14:solidFill>
          </w14:textFill>
        </w:rPr>
        <w:t>愿以人民币元（小写：</w:t>
      </w:r>
      <w:r>
        <w:rPr>
          <w:rFonts w:hint="eastAsia" w:ascii="仿宋_GB2312" w:hAnsi="仿宋_GB2312" w:eastAsia="仿宋_GB2312" w:cs="仿宋_GB2312"/>
          <w:color w:val="000000" w:themeColor="text1"/>
          <w:kern w:val="0"/>
          <w:sz w:val="24"/>
          <w:u w:val="single"/>
          <w14:textFill>
            <w14:solidFill>
              <w14:schemeClr w14:val="tx1"/>
            </w14:solidFill>
          </w14:textFill>
        </w:rPr>
        <w:t xml:space="preserve">￥       </w:t>
      </w:r>
      <w:r>
        <w:rPr>
          <w:rFonts w:hint="eastAsia" w:ascii="仿宋_GB2312" w:hAnsi="仿宋_GB2312" w:eastAsia="仿宋_GB2312" w:cs="仿宋_GB2312"/>
          <w:color w:val="000000" w:themeColor="text1"/>
          <w:kern w:val="0"/>
          <w:sz w:val="24"/>
          <w14:textFill>
            <w14:solidFill>
              <w14:schemeClr w14:val="tx1"/>
            </w14:solidFill>
          </w14:textFill>
        </w:rPr>
        <w:t>元）的报价，承包本次交易所包含的所有工作，并承担任何质量缺陷责任。</w:t>
      </w:r>
    </w:p>
    <w:p>
      <w:pPr>
        <w:autoSpaceDE w:val="0"/>
        <w:autoSpaceDN w:val="0"/>
        <w:adjustRightInd w:val="0"/>
        <w:spacing w:line="360" w:lineRule="auto"/>
        <w:ind w:left="-539" w:leftChars="-257" w:firstLine="480" w:firstLineChars="200"/>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3.我方保证将按照本项目询价文件第二部分项目内容的技术、商务要求完成本项目。</w:t>
      </w:r>
    </w:p>
    <w:p>
      <w:pPr>
        <w:autoSpaceDE w:val="0"/>
        <w:autoSpaceDN w:val="0"/>
        <w:adjustRightInd w:val="0"/>
        <w:spacing w:line="360" w:lineRule="auto"/>
        <w:ind w:left="-539" w:leftChars="-257"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4.我方同意承包意向在询价文件规定的交易有效期日内有效，在此期间内我方的承包意向有可能被询价人接纳，获得承包资格，我方将受此约束。若询价人需延长交易有效期的，我方同意延长。如果在交易有效期内撤回交易意向或放弃承包资格不与询价人签订合同的，询价人有权要求我方对造成的损失进行赔偿。</w:t>
      </w:r>
    </w:p>
    <w:p>
      <w:pPr>
        <w:autoSpaceDE w:val="0"/>
        <w:autoSpaceDN w:val="0"/>
        <w:adjustRightInd w:val="0"/>
        <w:spacing w:line="360" w:lineRule="auto"/>
        <w:ind w:left="-539" w:leftChars="-257"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5.如果我方获得承包资格，我方保证将</w:t>
      </w:r>
      <w:r>
        <w:rPr>
          <w:rFonts w:hint="eastAsia" w:ascii="仿宋_GB2312" w:hAnsi="仿宋_GB2312" w:eastAsia="仿宋_GB2312" w:cs="仿宋_GB2312"/>
          <w:color w:val="000000" w:themeColor="text1"/>
          <w:kern w:val="0"/>
          <w:sz w:val="24"/>
          <w14:textFill>
            <w14:solidFill>
              <w14:schemeClr w14:val="tx1"/>
            </w14:solidFill>
          </w14:textFill>
        </w:rPr>
        <w:t>在合同要求的服务期内开展工作，在规定的时间内，按照上述文件完成项目，并严格履行合同。</w:t>
      </w:r>
    </w:p>
    <w:p>
      <w:pPr>
        <w:autoSpaceDE w:val="0"/>
        <w:autoSpaceDN w:val="0"/>
        <w:adjustRightInd w:val="0"/>
        <w:spacing w:line="360" w:lineRule="auto"/>
        <w:ind w:left="-539" w:leftChars="-257"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6.如果我方获得承包资格，我方将实行项目经理负责制，我方拟委派的项目负责人为（证书编号为：），并按询价人要求配备项目管理班子。如未经询价人同意更换项目班子成员，询价人有权取消我公司的承包资格或单方面终止合同，由此造成的违约责任由我公司承担。</w:t>
      </w:r>
    </w:p>
    <w:p>
      <w:pPr>
        <w:autoSpaceDE w:val="0"/>
        <w:autoSpaceDN w:val="0"/>
        <w:adjustRightInd w:val="0"/>
        <w:spacing w:line="360" w:lineRule="auto"/>
        <w:ind w:left="-539" w:leftChars="-257"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7.我方就参加本项目交易工作，作出以下郑重声明：</w:t>
      </w:r>
    </w:p>
    <w:p>
      <w:pPr>
        <w:autoSpaceDE w:val="0"/>
        <w:autoSpaceDN w:val="0"/>
        <w:adjustRightInd w:val="0"/>
        <w:spacing w:line="360" w:lineRule="auto"/>
        <w:ind w:left="-539" w:leftChars="-257"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⑴ 本公司保证报价资料及其后提供的一切材料都是真实的。</w:t>
      </w:r>
    </w:p>
    <w:p>
      <w:pPr>
        <w:autoSpaceDE w:val="0"/>
        <w:autoSpaceDN w:val="0"/>
        <w:adjustRightInd w:val="0"/>
        <w:spacing w:line="360" w:lineRule="auto"/>
        <w:ind w:left="-539" w:leftChars="-257"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⑵ 本公司保证在本项目交易中不给其他单位挂靠，不出让交易资格，不向询价人行贿。</w:t>
      </w:r>
    </w:p>
    <w:p>
      <w:pPr>
        <w:autoSpaceDE w:val="0"/>
        <w:autoSpaceDN w:val="0"/>
        <w:adjustRightInd w:val="0"/>
        <w:spacing w:line="360" w:lineRule="auto"/>
        <w:ind w:left="-539" w:leftChars="-257"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⑶ 本公司没有处于被责令停业的状态；没有处于被建设行政主管部门取消投标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pPr>
        <w:autoSpaceDE w:val="0"/>
        <w:autoSpaceDN w:val="0"/>
        <w:adjustRightInd w:val="0"/>
        <w:spacing w:line="360" w:lineRule="auto"/>
        <w:ind w:left="-539" w:leftChars="-257"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⑷ 本公司及其有隶属关系的机构没有参加本项目的前期工作编写工作。</w:t>
      </w:r>
    </w:p>
    <w:p>
      <w:pPr>
        <w:pStyle w:val="38"/>
        <w:ind w:left="-539" w:leftChars="-257" w:firstLine="496"/>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本公司违反上述承诺，或本声明陈述与事实不符，经查实，本公司愿意接受公开通报，承担由此带来的法律后果。</w:t>
      </w:r>
    </w:p>
    <w:p>
      <w:pPr>
        <w:pStyle w:val="38"/>
        <w:ind w:firstLine="496"/>
        <w:rPr>
          <w:rFonts w:ascii="仿宋_GB2312" w:hAnsi="仿宋_GB2312" w:eastAsia="仿宋_GB2312" w:cs="仿宋_GB2312"/>
          <w:color w:val="000000" w:themeColor="text1"/>
          <w14:textFill>
            <w14:solidFill>
              <w14:schemeClr w14:val="tx1"/>
            </w14:solidFill>
          </w14:textFill>
        </w:rPr>
      </w:pPr>
    </w:p>
    <w:p>
      <w:pPr>
        <w:pStyle w:val="38"/>
        <w:ind w:firstLine="496"/>
        <w:rPr>
          <w:rFonts w:ascii="仿宋_GB2312" w:hAnsi="仿宋_GB2312" w:eastAsia="仿宋_GB2312" w:cs="仿宋_GB2312"/>
          <w:color w:val="000000" w:themeColor="text1"/>
          <w:u w:val="single"/>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承包意向人：(盖公章)</w:t>
      </w:r>
    </w:p>
    <w:p>
      <w:pPr>
        <w:pStyle w:val="38"/>
        <w:ind w:firstLine="496"/>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法定代表人（签名或盖</w:t>
      </w:r>
      <w:r>
        <w:rPr>
          <w:rFonts w:hint="eastAsia" w:ascii="仿宋_GB2312" w:hAnsi="仿宋_GB2312" w:eastAsia="仿宋_GB2312" w:cs="仿宋_GB2312"/>
          <w:color w:val="000000" w:themeColor="text1"/>
          <w:lang w:val="en-US" w:eastAsia="zh-CN"/>
          <w14:textFill>
            <w14:solidFill>
              <w14:schemeClr w14:val="tx1"/>
            </w14:solidFill>
          </w14:textFill>
        </w:rPr>
        <w:t>私</w:t>
      </w:r>
      <w:r>
        <w:rPr>
          <w:rFonts w:hint="eastAsia" w:ascii="仿宋_GB2312" w:hAnsi="仿宋_GB2312" w:eastAsia="仿宋_GB2312" w:cs="仿宋_GB2312"/>
          <w:color w:val="000000" w:themeColor="text1"/>
          <w14:textFill>
            <w14:solidFill>
              <w14:schemeClr w14:val="tx1"/>
            </w14:solidFill>
          </w14:textFill>
        </w:rPr>
        <w:t>章）：</w:t>
      </w:r>
    </w:p>
    <w:p>
      <w:pPr>
        <w:autoSpaceDE w:val="0"/>
        <w:autoSpaceDN w:val="0"/>
        <w:adjustRightInd w:val="0"/>
        <w:spacing w:line="360" w:lineRule="auto"/>
        <w:ind w:left="-539" w:leftChars="-257" w:firstLine="1006" w:firstLineChars="406"/>
        <w:rPr>
          <w:rFonts w:ascii="仿宋_GB2312" w:hAnsi="仿宋_GB2312" w:eastAsia="仿宋_GB2312" w:cs="仿宋_GB2312"/>
          <w:snapToGrid w:val="0"/>
          <w:color w:val="000000" w:themeColor="text1"/>
          <w:spacing w:val="4"/>
          <w:kern w:val="0"/>
          <w:sz w:val="24"/>
          <w14:textFill>
            <w14:solidFill>
              <w14:schemeClr w14:val="tx1"/>
            </w14:solidFill>
          </w14:textFill>
        </w:rPr>
      </w:pPr>
      <w:r>
        <w:rPr>
          <w:rFonts w:hint="eastAsia" w:ascii="仿宋_GB2312" w:hAnsi="仿宋_GB2312" w:eastAsia="仿宋_GB2312" w:cs="仿宋_GB2312"/>
          <w:snapToGrid w:val="0"/>
          <w:color w:val="000000" w:themeColor="text1"/>
          <w:spacing w:val="4"/>
          <w:kern w:val="0"/>
          <w:sz w:val="24"/>
          <w14:textFill>
            <w14:solidFill>
              <w14:schemeClr w14:val="tx1"/>
            </w14:solidFill>
          </w14:textFill>
        </w:rPr>
        <w:t xml:space="preserve">日    期：  年 月 日    </w:t>
      </w:r>
    </w:p>
    <w:p>
      <w:pPr>
        <w:pStyle w:val="38"/>
        <w:ind w:firstLine="496"/>
        <w:rPr>
          <w:rFonts w:ascii="仿宋_GB2312" w:hAnsi="仿宋_GB2312" w:eastAsia="仿宋_GB2312" w:cs="仿宋_GB2312"/>
          <w:color w:val="000000" w:themeColor="text1"/>
          <w14:textFill>
            <w14:solidFill>
              <w14:schemeClr w14:val="tx1"/>
            </w14:solidFill>
          </w14:textFill>
        </w:rPr>
        <w:sectPr>
          <w:endnotePr>
            <w:numFmt w:val="decimal"/>
          </w:endnotePr>
          <w:pgSz w:w="11907" w:h="16840"/>
          <w:pgMar w:top="1247" w:right="1418" w:bottom="1134" w:left="1418" w:header="851" w:footer="907" w:gutter="567"/>
          <w:cols w:space="720" w:num="1"/>
          <w:docGrid w:type="linesAndChars" w:linePitch="312" w:charSpace="0"/>
        </w:sectPr>
      </w:pPr>
    </w:p>
    <w:p>
      <w:pPr>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4 拟投入本项目的项目负责人情况表</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329"/>
        <w:gridCol w:w="664"/>
        <w:gridCol w:w="997"/>
        <w:gridCol w:w="996"/>
        <w:gridCol w:w="665"/>
        <w:gridCol w:w="1328"/>
        <w:gridCol w:w="334"/>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姓名</w:t>
            </w:r>
          </w:p>
        </w:tc>
        <w:tc>
          <w:tcPr>
            <w:tcW w:w="1661"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p>
        </w:tc>
        <w:tc>
          <w:tcPr>
            <w:tcW w:w="1661"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出生年月</w:t>
            </w:r>
          </w:p>
        </w:tc>
        <w:tc>
          <w:tcPr>
            <w:tcW w:w="1661"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p>
        </w:tc>
        <w:tc>
          <w:tcPr>
            <w:tcW w:w="1662"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学历</w:t>
            </w:r>
          </w:p>
        </w:tc>
        <w:tc>
          <w:tcPr>
            <w:tcW w:w="1662" w:type="dxa"/>
          </w:tcPr>
          <w:p>
            <w:pPr>
              <w:jc w:val="center"/>
              <w:rPr>
                <w:rFonts w:ascii="仿宋_GB2312" w:hAnsi="仿宋_GB2312" w:eastAsia="仿宋_GB2312"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spacing w:line="36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职称</w:t>
            </w:r>
          </w:p>
        </w:tc>
        <w:tc>
          <w:tcPr>
            <w:tcW w:w="1661" w:type="dxa"/>
            <w:gridSpan w:val="2"/>
          </w:tcPr>
          <w:p>
            <w:pPr>
              <w:spacing w:line="360" w:lineRule="exact"/>
              <w:jc w:val="center"/>
              <w:rPr>
                <w:rFonts w:ascii="仿宋_GB2312" w:hAnsi="仿宋_GB2312" w:eastAsia="仿宋_GB2312" w:cs="仿宋_GB2312"/>
                <w:b/>
                <w:color w:val="000000" w:themeColor="text1"/>
                <w:sz w:val="28"/>
                <w:szCs w:val="28"/>
                <w14:textFill>
                  <w14:solidFill>
                    <w14:schemeClr w14:val="tx1"/>
                  </w14:solidFill>
                </w14:textFill>
              </w:rPr>
            </w:pPr>
          </w:p>
        </w:tc>
        <w:tc>
          <w:tcPr>
            <w:tcW w:w="1661" w:type="dxa"/>
            <w:gridSpan w:val="2"/>
          </w:tcPr>
          <w:p>
            <w:pPr>
              <w:spacing w:line="36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职务</w:t>
            </w:r>
          </w:p>
        </w:tc>
        <w:tc>
          <w:tcPr>
            <w:tcW w:w="1661" w:type="dxa"/>
            <w:gridSpan w:val="2"/>
          </w:tcPr>
          <w:p>
            <w:pPr>
              <w:spacing w:line="360" w:lineRule="exact"/>
              <w:jc w:val="center"/>
              <w:rPr>
                <w:rFonts w:ascii="仿宋_GB2312" w:hAnsi="仿宋_GB2312" w:eastAsia="仿宋_GB2312" w:cs="仿宋_GB2312"/>
                <w:b/>
                <w:color w:val="000000" w:themeColor="text1"/>
                <w:sz w:val="28"/>
                <w:szCs w:val="28"/>
                <w14:textFill>
                  <w14:solidFill>
                    <w14:schemeClr w14:val="tx1"/>
                  </w14:solidFill>
                </w14:textFill>
              </w:rPr>
            </w:pPr>
          </w:p>
        </w:tc>
        <w:tc>
          <w:tcPr>
            <w:tcW w:w="1662" w:type="dxa"/>
            <w:gridSpan w:val="2"/>
          </w:tcPr>
          <w:p>
            <w:pPr>
              <w:spacing w:line="36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从事本工作时间</w:t>
            </w:r>
          </w:p>
        </w:tc>
        <w:tc>
          <w:tcPr>
            <w:tcW w:w="1662" w:type="dxa"/>
          </w:tcPr>
          <w:p>
            <w:pPr>
              <w:spacing w:line="360" w:lineRule="exact"/>
              <w:jc w:val="center"/>
              <w:rPr>
                <w:rFonts w:ascii="仿宋_GB2312" w:hAnsi="仿宋_GB2312" w:eastAsia="仿宋_GB2312"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61" w:type="dxa"/>
          </w:tcPr>
          <w:p>
            <w:pPr>
              <w:spacing w:line="36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毕业院校</w:t>
            </w:r>
          </w:p>
        </w:tc>
        <w:tc>
          <w:tcPr>
            <w:tcW w:w="1661" w:type="dxa"/>
            <w:gridSpan w:val="2"/>
          </w:tcPr>
          <w:p>
            <w:pPr>
              <w:spacing w:line="360" w:lineRule="exact"/>
              <w:jc w:val="center"/>
              <w:rPr>
                <w:rFonts w:ascii="仿宋_GB2312" w:hAnsi="仿宋_GB2312" w:eastAsia="仿宋_GB2312" w:cs="仿宋_GB2312"/>
                <w:b/>
                <w:color w:val="000000" w:themeColor="text1"/>
                <w:sz w:val="28"/>
                <w:szCs w:val="28"/>
                <w14:textFill>
                  <w14:solidFill>
                    <w14:schemeClr w14:val="tx1"/>
                  </w14:solidFill>
                </w14:textFill>
              </w:rPr>
            </w:pPr>
          </w:p>
        </w:tc>
        <w:tc>
          <w:tcPr>
            <w:tcW w:w="1661" w:type="dxa"/>
            <w:gridSpan w:val="2"/>
          </w:tcPr>
          <w:p>
            <w:pPr>
              <w:spacing w:line="36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毕业时间</w:t>
            </w:r>
          </w:p>
        </w:tc>
        <w:tc>
          <w:tcPr>
            <w:tcW w:w="1661" w:type="dxa"/>
            <w:gridSpan w:val="2"/>
          </w:tcPr>
          <w:p>
            <w:pPr>
              <w:spacing w:line="360" w:lineRule="exact"/>
              <w:jc w:val="center"/>
              <w:rPr>
                <w:rFonts w:ascii="仿宋_GB2312" w:hAnsi="仿宋_GB2312" w:eastAsia="仿宋_GB2312" w:cs="仿宋_GB2312"/>
                <w:b/>
                <w:color w:val="000000" w:themeColor="text1"/>
                <w:sz w:val="28"/>
                <w:szCs w:val="28"/>
                <w14:textFill>
                  <w14:solidFill>
                    <w14:schemeClr w14:val="tx1"/>
                  </w14:solidFill>
                </w14:textFill>
              </w:rPr>
            </w:pPr>
          </w:p>
        </w:tc>
        <w:tc>
          <w:tcPr>
            <w:tcW w:w="1662" w:type="dxa"/>
            <w:gridSpan w:val="2"/>
          </w:tcPr>
          <w:p>
            <w:pPr>
              <w:spacing w:line="36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专业</w:t>
            </w:r>
          </w:p>
        </w:tc>
        <w:tc>
          <w:tcPr>
            <w:tcW w:w="1662" w:type="dxa"/>
          </w:tcPr>
          <w:p>
            <w:pPr>
              <w:spacing w:line="360" w:lineRule="exact"/>
              <w:jc w:val="center"/>
              <w:rPr>
                <w:rFonts w:ascii="仿宋_GB2312" w:hAnsi="仿宋_GB2312" w:eastAsia="仿宋_GB2312"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spacing w:line="36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注册证书等级</w:t>
            </w:r>
          </w:p>
          <w:p>
            <w:pPr>
              <w:spacing w:line="36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和专业</w:t>
            </w:r>
          </w:p>
        </w:tc>
        <w:tc>
          <w:tcPr>
            <w:tcW w:w="3322" w:type="dxa"/>
            <w:gridSpan w:val="4"/>
          </w:tcPr>
          <w:p>
            <w:pPr>
              <w:spacing w:line="360" w:lineRule="exact"/>
              <w:jc w:val="center"/>
              <w:rPr>
                <w:rFonts w:ascii="仿宋_GB2312" w:hAnsi="仿宋_GB2312" w:eastAsia="仿宋_GB2312" w:cs="仿宋_GB2312"/>
                <w:b/>
                <w:color w:val="000000" w:themeColor="text1"/>
                <w:sz w:val="28"/>
                <w:szCs w:val="28"/>
                <w14:textFill>
                  <w14:solidFill>
                    <w14:schemeClr w14:val="tx1"/>
                  </w14:solidFill>
                </w14:textFill>
              </w:rPr>
            </w:pPr>
          </w:p>
        </w:tc>
        <w:tc>
          <w:tcPr>
            <w:tcW w:w="1662" w:type="dxa"/>
            <w:gridSpan w:val="2"/>
          </w:tcPr>
          <w:p>
            <w:pPr>
              <w:spacing w:line="36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证书编号</w:t>
            </w:r>
          </w:p>
        </w:tc>
        <w:tc>
          <w:tcPr>
            <w:tcW w:w="1662" w:type="dxa"/>
          </w:tcPr>
          <w:p>
            <w:pPr>
              <w:spacing w:line="360" w:lineRule="exact"/>
              <w:jc w:val="center"/>
              <w:rPr>
                <w:rFonts w:ascii="仿宋_GB2312" w:hAnsi="仿宋_GB2312" w:eastAsia="仿宋_GB2312"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职称证专业</w:t>
            </w:r>
          </w:p>
        </w:tc>
        <w:tc>
          <w:tcPr>
            <w:tcW w:w="3322" w:type="dxa"/>
            <w:gridSpan w:val="4"/>
          </w:tcPr>
          <w:p>
            <w:pPr>
              <w:jc w:val="center"/>
              <w:rPr>
                <w:rFonts w:ascii="仿宋_GB2312" w:hAnsi="仿宋_GB2312" w:eastAsia="仿宋_GB2312" w:cs="仿宋_GB2312"/>
                <w:b/>
                <w:color w:val="000000" w:themeColor="text1"/>
                <w:sz w:val="28"/>
                <w:szCs w:val="28"/>
                <w14:textFill>
                  <w14:solidFill>
                    <w14:schemeClr w14:val="tx1"/>
                  </w14:solidFill>
                </w14:textFill>
              </w:rPr>
            </w:pPr>
          </w:p>
        </w:tc>
        <w:tc>
          <w:tcPr>
            <w:tcW w:w="1662"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证书编号</w:t>
            </w:r>
          </w:p>
        </w:tc>
        <w:tc>
          <w:tcPr>
            <w:tcW w:w="1662" w:type="dxa"/>
          </w:tcPr>
          <w:p>
            <w:pPr>
              <w:jc w:val="center"/>
              <w:rPr>
                <w:rFonts w:ascii="仿宋_GB2312" w:hAnsi="仿宋_GB2312" w:eastAsia="仿宋_GB2312"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8" w:type="dxa"/>
            <w:gridSpan w:val="10"/>
          </w:tcPr>
          <w:p>
            <w:pPr>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项目名称</w:t>
            </w:r>
          </w:p>
        </w:tc>
        <w:tc>
          <w:tcPr>
            <w:tcW w:w="1993"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合同金额</w:t>
            </w:r>
          </w:p>
        </w:tc>
        <w:tc>
          <w:tcPr>
            <w:tcW w:w="1993"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开、竣工时间</w:t>
            </w:r>
          </w:p>
        </w:tc>
        <w:tc>
          <w:tcPr>
            <w:tcW w:w="1993"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担任职务</w:t>
            </w:r>
          </w:p>
        </w:tc>
        <w:tc>
          <w:tcPr>
            <w:tcW w:w="1996"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p>
        </w:tc>
        <w:tc>
          <w:tcPr>
            <w:tcW w:w="1993"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p>
        </w:tc>
        <w:tc>
          <w:tcPr>
            <w:tcW w:w="1993"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p>
        </w:tc>
        <w:tc>
          <w:tcPr>
            <w:tcW w:w="1993"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p>
        </w:tc>
        <w:tc>
          <w:tcPr>
            <w:tcW w:w="1996"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p>
        </w:tc>
        <w:tc>
          <w:tcPr>
            <w:tcW w:w="1993"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p>
        </w:tc>
        <w:tc>
          <w:tcPr>
            <w:tcW w:w="1993"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p>
        </w:tc>
        <w:tc>
          <w:tcPr>
            <w:tcW w:w="1993"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p>
        </w:tc>
        <w:tc>
          <w:tcPr>
            <w:tcW w:w="1996"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p>
        </w:tc>
        <w:tc>
          <w:tcPr>
            <w:tcW w:w="1993"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p>
        </w:tc>
        <w:tc>
          <w:tcPr>
            <w:tcW w:w="1993"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p>
        </w:tc>
        <w:tc>
          <w:tcPr>
            <w:tcW w:w="1993"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p>
        </w:tc>
        <w:tc>
          <w:tcPr>
            <w:tcW w:w="1996"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p>
        </w:tc>
      </w:tr>
    </w:tbl>
    <w:p>
      <w:pPr>
        <w:jc w:val="center"/>
        <w:rPr>
          <w:rFonts w:ascii="仿宋_GB2312" w:hAnsi="仿宋_GB2312" w:eastAsia="仿宋_GB2312" w:cs="仿宋_GB2312"/>
          <w:b/>
          <w:color w:val="000000" w:themeColor="text1"/>
          <w:sz w:val="28"/>
          <w:szCs w:val="28"/>
          <w14:textFill>
            <w14:solidFill>
              <w14:schemeClr w14:val="tx1"/>
            </w14:solidFill>
          </w14:textFill>
        </w:rPr>
      </w:pPr>
    </w:p>
    <w:p>
      <w:pPr>
        <w:jc w:val="center"/>
        <w:rPr>
          <w:rFonts w:ascii="仿宋_GB2312" w:hAnsi="仿宋_GB2312" w:eastAsia="仿宋_GB2312" w:cs="仿宋_GB2312"/>
          <w:b/>
          <w:color w:val="000000" w:themeColor="text1"/>
          <w:sz w:val="28"/>
          <w:szCs w:val="28"/>
          <w14:textFill>
            <w14:solidFill>
              <w14:schemeClr w14:val="tx1"/>
            </w14:solidFill>
          </w14:textFill>
        </w:rPr>
      </w:pPr>
    </w:p>
    <w:p>
      <w:pPr>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报价单位代表（签名或盖私章）：</w:t>
      </w:r>
    </w:p>
    <w:p>
      <w:pPr>
        <w:adjustRightInd w:val="0"/>
        <w:snapToGrid w:val="0"/>
        <w:spacing w:line="300" w:lineRule="auto"/>
        <w:rPr>
          <w:rFonts w:ascii="仿宋_GB2312" w:hAnsi="仿宋_GB2312" w:eastAsia="仿宋_GB2312" w:cs="仿宋_GB2312"/>
          <w:color w:val="000000" w:themeColor="text1"/>
          <w:sz w:val="28"/>
          <w:szCs w:val="28"/>
          <w:u w:val="singl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报价单位名称（盖单位公章）：</w:t>
      </w:r>
    </w:p>
    <w:p>
      <w:pPr>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日期：年 月 日</w:t>
      </w:r>
    </w:p>
    <w:p>
      <w:pPr>
        <w:pStyle w:val="31"/>
        <w:rPr>
          <w:rFonts w:ascii="仿宋_GB2312" w:hAnsi="仿宋_GB2312" w:cs="仿宋_GB2312"/>
          <w:color w:val="000000" w:themeColor="text1"/>
          <w:sz w:val="28"/>
          <w:szCs w:val="28"/>
          <w14:textFill>
            <w14:solidFill>
              <w14:schemeClr w14:val="tx1"/>
            </w14:solidFill>
          </w14:textFill>
        </w:rPr>
      </w:pPr>
    </w:p>
    <w:p>
      <w:pPr>
        <w:pStyle w:val="31"/>
        <w:rPr>
          <w:rFonts w:ascii="仿宋_GB2312" w:hAnsi="仿宋_GB2312" w:cs="仿宋_GB2312"/>
          <w:color w:val="000000" w:themeColor="text1"/>
          <w:sz w:val="28"/>
          <w:szCs w:val="28"/>
          <w14:textFill>
            <w14:solidFill>
              <w14:schemeClr w14:val="tx1"/>
            </w14:solidFill>
          </w14:textFill>
        </w:rPr>
      </w:pPr>
    </w:p>
    <w:p>
      <w:pPr>
        <w:pStyle w:val="31"/>
        <w:rPr>
          <w:rFonts w:ascii="仿宋_GB2312" w:hAnsi="仿宋_GB2312" w:cs="仿宋_GB2312"/>
          <w:color w:val="000000" w:themeColor="text1"/>
          <w:sz w:val="28"/>
          <w:szCs w:val="28"/>
          <w14:textFill>
            <w14:solidFill>
              <w14:schemeClr w14:val="tx1"/>
            </w14:solidFill>
          </w14:textFill>
        </w:rPr>
      </w:pPr>
    </w:p>
    <w:p>
      <w:pPr>
        <w:pStyle w:val="31"/>
        <w:rPr>
          <w:rFonts w:ascii="仿宋_GB2312" w:hAnsi="仿宋_GB2312" w:cs="仿宋_GB2312"/>
          <w:color w:val="000000" w:themeColor="text1"/>
          <w:sz w:val="28"/>
          <w:szCs w:val="28"/>
          <w14:textFill>
            <w14:solidFill>
              <w14:schemeClr w14:val="tx1"/>
            </w14:solidFill>
          </w14:textFill>
        </w:rPr>
      </w:pPr>
    </w:p>
    <w:p>
      <w:pPr>
        <w:pStyle w:val="31"/>
        <w:rPr>
          <w:rFonts w:ascii="仿宋_GB2312" w:hAnsi="仿宋_GB2312" w:cs="仿宋_GB2312"/>
          <w:color w:val="000000" w:themeColor="text1"/>
          <w:sz w:val="28"/>
          <w:szCs w:val="28"/>
          <w14:textFill>
            <w14:solidFill>
              <w14:schemeClr w14:val="tx1"/>
            </w14:solidFill>
          </w14:textFill>
        </w:rPr>
      </w:pPr>
    </w:p>
    <w:p>
      <w:pPr>
        <w:pStyle w:val="31"/>
        <w:rPr>
          <w:rFonts w:ascii="仿宋_GB2312" w:hAnsi="仿宋_GB2312" w:cs="仿宋_GB2312"/>
          <w:color w:val="000000" w:themeColor="text1"/>
          <w:sz w:val="28"/>
          <w:szCs w:val="28"/>
          <w14:textFill>
            <w14:solidFill>
              <w14:schemeClr w14:val="tx1"/>
            </w14:solidFill>
          </w14:textFill>
        </w:rPr>
      </w:pPr>
    </w:p>
    <w:p>
      <w:pPr>
        <w:pStyle w:val="23"/>
        <w:rPr>
          <w:rFonts w:ascii="仿宋_GB2312" w:hAnsi="仿宋_GB2312" w:eastAsia="仿宋_GB2312" w:cs="仿宋_GB2312"/>
          <w:sz w:val="28"/>
          <w:szCs w:val="28"/>
        </w:rPr>
      </w:pPr>
      <w:r>
        <w:rPr>
          <w:rFonts w:hint="eastAsia" w:ascii="仿宋_GB2312" w:hAnsi="仿宋_GB2312" w:eastAsia="仿宋_GB2312" w:cs="仿宋_GB2312"/>
          <w:sz w:val="28"/>
          <w:szCs w:val="28"/>
        </w:rPr>
        <w:t>5 承诺函</w:t>
      </w:r>
    </w:p>
    <w:p>
      <w:pPr>
        <w:pStyle w:val="23"/>
        <w:jc w:val="both"/>
        <w:rPr>
          <w:rFonts w:ascii="仿宋_GB2312" w:hAnsi="仿宋_GB2312" w:eastAsia="仿宋_GB2312" w:cs="仿宋_GB2312"/>
          <w:sz w:val="28"/>
          <w:szCs w:val="28"/>
        </w:rPr>
      </w:pPr>
    </w:p>
    <w:p>
      <w:pPr>
        <w:pStyle w:val="31"/>
        <w:jc w:val="both"/>
        <w:rPr>
          <w:rFonts w:ascii="仿宋_GB2312" w:hAnsi="仿宋_GB2312" w:cs="仿宋_GB2312"/>
          <w:b/>
          <w:color w:val="auto"/>
          <w:kern w:val="2"/>
          <w:sz w:val="28"/>
          <w:szCs w:val="28"/>
        </w:rPr>
      </w:pPr>
      <w:r>
        <w:rPr>
          <w:rFonts w:hint="eastAsia" w:ascii="仿宋_GB2312" w:hAnsi="仿宋_GB2312" w:cs="仿宋_GB2312"/>
          <w:b w:val="0"/>
          <w:bCs/>
          <w:color w:val="auto"/>
          <w:kern w:val="2"/>
          <w:sz w:val="28"/>
          <w:szCs w:val="28"/>
        </w:rPr>
        <w:t>广州市净水有限公司 ：</w:t>
      </w:r>
    </w:p>
    <w:p>
      <w:pPr>
        <w:pStyle w:val="31"/>
        <w:ind w:firstLine="1027" w:firstLineChars="367"/>
        <w:jc w:val="both"/>
        <w:rPr>
          <w:rFonts w:ascii="仿宋_GB2312" w:hAnsi="仿宋_GB2312" w:cs="仿宋_GB2312"/>
          <w:b w:val="0"/>
          <w:bCs/>
          <w:color w:val="auto"/>
          <w:kern w:val="2"/>
          <w:sz w:val="28"/>
          <w:szCs w:val="28"/>
        </w:rPr>
      </w:pPr>
      <w:r>
        <w:rPr>
          <w:rFonts w:hint="eastAsia" w:ascii="仿宋_GB2312" w:hAnsi="仿宋_GB2312" w:cs="仿宋_GB2312"/>
          <w:b w:val="0"/>
          <w:bCs/>
          <w:color w:val="auto"/>
          <w:kern w:val="2"/>
          <w:sz w:val="28"/>
          <w:szCs w:val="28"/>
        </w:rPr>
        <w:t>我方完全理解</w:t>
      </w:r>
      <w:r>
        <w:rPr>
          <w:rFonts w:hint="eastAsia" w:ascii="仿宋_GB2312" w:hAnsi="仿宋_GB2312" w:cs="仿宋_GB2312"/>
          <w:b w:val="0"/>
          <w:bCs/>
          <w:color w:val="auto"/>
          <w:kern w:val="2"/>
          <w:sz w:val="28"/>
          <w:szCs w:val="28"/>
          <w:lang w:val="en-US" w:eastAsia="zh-CN"/>
        </w:rPr>
        <w:t>询价文件</w:t>
      </w:r>
      <w:r>
        <w:rPr>
          <w:rFonts w:hint="eastAsia" w:ascii="仿宋_GB2312" w:hAnsi="仿宋_GB2312" w:cs="仿宋_GB2312"/>
          <w:b w:val="0"/>
          <w:bCs/>
          <w:color w:val="auto"/>
          <w:kern w:val="2"/>
          <w:sz w:val="28"/>
          <w:szCs w:val="28"/>
        </w:rPr>
        <w:t>中所有要求均为实质性响应条款，如有任何一条负偏离或者不满足将导致询价无效。由于我方提供资料不实或与需求书中所有条款不符而造成的责任和后果由我方承担。我方承诺，所提供报价货物/设备均为制造商全新原装产品</w:t>
      </w:r>
      <w:r>
        <w:rPr>
          <w:rFonts w:hint="eastAsia" w:ascii="仿宋_GB2312" w:hAnsi="仿宋_GB2312" w:cs="仿宋_GB2312"/>
          <w:b w:val="0"/>
          <w:bCs/>
          <w:color w:val="auto"/>
          <w:kern w:val="2"/>
          <w:sz w:val="28"/>
          <w:szCs w:val="28"/>
          <w:lang w:eastAsia="zh-CN"/>
        </w:rPr>
        <w:t>，且产品出厂日期为半年内</w:t>
      </w:r>
      <w:r>
        <w:rPr>
          <w:rFonts w:hint="eastAsia" w:ascii="仿宋_GB2312" w:hAnsi="仿宋_GB2312" w:cs="仿宋_GB2312"/>
          <w:b w:val="0"/>
          <w:bCs/>
          <w:color w:val="auto"/>
          <w:kern w:val="2"/>
          <w:sz w:val="28"/>
          <w:szCs w:val="28"/>
        </w:rPr>
        <w:t xml:space="preserve">。 </w:t>
      </w:r>
    </w:p>
    <w:p>
      <w:pPr>
        <w:pStyle w:val="31"/>
        <w:ind w:firstLine="562"/>
        <w:jc w:val="both"/>
        <w:rPr>
          <w:rFonts w:ascii="仿宋_GB2312" w:hAnsi="仿宋_GB2312" w:cs="仿宋_GB2312"/>
          <w:b w:val="0"/>
          <w:bCs/>
          <w:color w:val="auto"/>
          <w:kern w:val="2"/>
          <w:sz w:val="28"/>
          <w:szCs w:val="28"/>
        </w:rPr>
      </w:pPr>
    </w:p>
    <w:p>
      <w:pPr>
        <w:pStyle w:val="31"/>
        <w:ind w:firstLine="4606" w:firstLineChars="1645"/>
        <w:jc w:val="both"/>
        <w:rPr>
          <w:rFonts w:ascii="仿宋_GB2312" w:hAnsi="仿宋_GB2312" w:cs="仿宋_GB2312"/>
          <w:b w:val="0"/>
          <w:bCs/>
          <w:color w:val="auto"/>
          <w:kern w:val="2"/>
          <w:sz w:val="28"/>
          <w:szCs w:val="28"/>
        </w:rPr>
      </w:pPr>
      <w:r>
        <w:rPr>
          <w:rFonts w:hint="eastAsia" w:ascii="仿宋_GB2312" w:hAnsi="仿宋_GB2312" w:cs="仿宋_GB2312"/>
          <w:b w:val="0"/>
          <w:bCs/>
          <w:color w:val="auto"/>
          <w:kern w:val="2"/>
          <w:sz w:val="28"/>
          <w:szCs w:val="28"/>
          <w:u w:val="single"/>
        </w:rPr>
        <w:t xml:space="preserve">     (报价单位) </w:t>
      </w:r>
      <w:r>
        <w:rPr>
          <w:rFonts w:hint="eastAsia" w:ascii="仿宋_GB2312" w:hAnsi="仿宋_GB2312" w:cs="仿宋_GB2312"/>
          <w:b w:val="0"/>
          <w:bCs/>
          <w:color w:val="auto"/>
          <w:kern w:val="2"/>
          <w:sz w:val="28"/>
          <w:szCs w:val="28"/>
        </w:rPr>
        <w:t>公司（盖单位公章）</w:t>
      </w:r>
    </w:p>
    <w:p>
      <w:pPr>
        <w:pStyle w:val="31"/>
        <w:ind w:firstLine="7126" w:firstLineChars="2545"/>
        <w:jc w:val="both"/>
        <w:rPr>
          <w:rFonts w:ascii="仿宋_GB2312" w:hAnsi="仿宋_GB2312" w:cs="仿宋_GB2312"/>
          <w:b/>
          <w:color w:val="auto"/>
          <w:kern w:val="2"/>
          <w:sz w:val="28"/>
          <w:szCs w:val="28"/>
        </w:rPr>
      </w:pPr>
      <w:r>
        <w:rPr>
          <w:rFonts w:hint="eastAsia" w:ascii="仿宋_GB2312" w:hAnsi="仿宋_GB2312" w:cs="仿宋_GB2312"/>
          <w:b w:val="0"/>
          <w:bCs/>
          <w:color w:val="auto"/>
          <w:kern w:val="2"/>
          <w:sz w:val="28"/>
          <w:szCs w:val="28"/>
        </w:rPr>
        <w:t>年</w:t>
      </w:r>
      <w:r>
        <w:rPr>
          <w:rFonts w:hint="eastAsia" w:ascii="仿宋_GB2312" w:hAnsi="仿宋_GB2312" w:cs="仿宋_GB2312"/>
          <w:b w:val="0"/>
          <w:bCs/>
          <w:color w:val="auto"/>
          <w:kern w:val="2"/>
          <w:sz w:val="28"/>
          <w:szCs w:val="28"/>
          <w:lang w:val="en-US" w:eastAsia="zh-CN"/>
        </w:rPr>
        <w:t xml:space="preserve"> </w:t>
      </w:r>
      <w:r>
        <w:rPr>
          <w:rFonts w:hint="eastAsia" w:ascii="仿宋_GB2312" w:hAnsi="仿宋_GB2312" w:cs="仿宋_GB2312"/>
          <w:b w:val="0"/>
          <w:bCs/>
          <w:color w:val="auto"/>
          <w:kern w:val="2"/>
          <w:sz w:val="28"/>
          <w:szCs w:val="28"/>
        </w:rPr>
        <w:t>月</w:t>
      </w:r>
      <w:r>
        <w:rPr>
          <w:rFonts w:hint="eastAsia" w:ascii="仿宋_GB2312" w:hAnsi="仿宋_GB2312" w:cs="仿宋_GB2312"/>
          <w:b w:val="0"/>
          <w:bCs/>
          <w:color w:val="auto"/>
          <w:kern w:val="2"/>
          <w:sz w:val="28"/>
          <w:szCs w:val="28"/>
          <w:lang w:val="en-US" w:eastAsia="zh-CN"/>
        </w:rPr>
        <w:t xml:space="preserve"> </w:t>
      </w:r>
      <w:r>
        <w:rPr>
          <w:rFonts w:hint="eastAsia" w:ascii="仿宋_GB2312" w:hAnsi="仿宋_GB2312" w:cs="仿宋_GB2312"/>
          <w:b w:val="0"/>
          <w:bCs/>
          <w:color w:val="auto"/>
          <w:kern w:val="2"/>
          <w:sz w:val="28"/>
          <w:szCs w:val="28"/>
        </w:rPr>
        <w:t>日</w:t>
      </w:r>
      <w:r>
        <w:rPr>
          <w:rFonts w:hint="eastAsia" w:ascii="仿宋_GB2312" w:hAnsi="仿宋_GB2312" w:cs="仿宋_GB2312"/>
          <w:b/>
          <w:color w:val="auto"/>
          <w:kern w:val="2"/>
          <w:sz w:val="28"/>
          <w:szCs w:val="28"/>
        </w:rPr>
        <w:t xml:space="preserve"> </w:t>
      </w:r>
    </w:p>
    <w:p>
      <w:pPr>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 xml:space="preserve"> </w:t>
      </w:r>
    </w:p>
    <w:p>
      <w:pPr>
        <w:pStyle w:val="5"/>
        <w:jc w:val="center"/>
        <w:rPr>
          <w:rFonts w:hint="eastAsia" w:ascii="仿宋_GB2312" w:hAnsi="仿宋_GB2312" w:eastAsia="仿宋_GB2312" w:cs="仿宋_GB2312"/>
          <w:sz w:val="28"/>
          <w:szCs w:val="28"/>
          <w:lang w:val="en-US" w:eastAsia="zh-CN"/>
        </w:rPr>
      </w:pPr>
    </w:p>
    <w:p>
      <w:pPr>
        <w:pStyle w:val="5"/>
        <w:jc w:val="center"/>
        <w:rPr>
          <w:rFonts w:hint="eastAsia" w:ascii="仿宋_GB2312" w:hAnsi="仿宋_GB2312" w:eastAsia="仿宋_GB2312" w:cs="仿宋_GB2312"/>
          <w:sz w:val="28"/>
          <w:szCs w:val="28"/>
          <w:lang w:val="en-US" w:eastAsia="zh-CN"/>
        </w:rPr>
      </w:pPr>
    </w:p>
    <w:p>
      <w:pPr>
        <w:pStyle w:val="6"/>
        <w:rPr>
          <w:rFonts w:hint="eastAsia" w:ascii="仿宋_GB2312" w:hAnsi="仿宋_GB2312" w:eastAsia="仿宋_GB2312" w:cs="仿宋_GB2312"/>
          <w:sz w:val="28"/>
          <w:szCs w:val="28"/>
          <w:lang w:val="en-US" w:eastAsia="zh-CN"/>
        </w:rPr>
      </w:pPr>
    </w:p>
    <w:p>
      <w:pPr>
        <w:pStyle w:val="6"/>
        <w:rPr>
          <w:rFonts w:hint="eastAsia" w:ascii="仿宋_GB2312" w:hAnsi="仿宋_GB2312" w:eastAsia="仿宋_GB2312" w:cs="仿宋_GB2312"/>
          <w:sz w:val="28"/>
          <w:szCs w:val="28"/>
          <w:lang w:val="en-US" w:eastAsia="zh-CN"/>
        </w:rPr>
      </w:pPr>
    </w:p>
    <w:p>
      <w:pPr>
        <w:pStyle w:val="6"/>
        <w:rPr>
          <w:rFonts w:hint="eastAsia" w:ascii="仿宋_GB2312" w:hAnsi="仿宋_GB2312" w:eastAsia="仿宋_GB2312" w:cs="仿宋_GB2312"/>
          <w:sz w:val="28"/>
          <w:szCs w:val="28"/>
          <w:lang w:val="en-US" w:eastAsia="zh-CN"/>
        </w:rPr>
      </w:pPr>
    </w:p>
    <w:p>
      <w:pPr>
        <w:pStyle w:val="6"/>
        <w:rPr>
          <w:rFonts w:hint="eastAsia" w:ascii="仿宋_GB2312" w:hAnsi="仿宋_GB2312" w:eastAsia="仿宋_GB2312" w:cs="仿宋_GB2312"/>
          <w:sz w:val="28"/>
          <w:szCs w:val="28"/>
          <w:lang w:val="en-US" w:eastAsia="zh-CN"/>
        </w:rPr>
      </w:pPr>
    </w:p>
    <w:p>
      <w:pPr>
        <w:pStyle w:val="6"/>
        <w:rPr>
          <w:rFonts w:hint="eastAsia" w:ascii="仿宋_GB2312" w:hAnsi="仿宋_GB2312" w:eastAsia="仿宋_GB2312" w:cs="仿宋_GB2312"/>
          <w:sz w:val="28"/>
          <w:szCs w:val="28"/>
          <w:lang w:val="en-US" w:eastAsia="zh-CN"/>
        </w:rPr>
      </w:pPr>
    </w:p>
    <w:p>
      <w:pPr>
        <w:pStyle w:val="5"/>
        <w:jc w:val="both"/>
        <w:rPr>
          <w:rFonts w:hint="eastAsia" w:ascii="仿宋_GB2312" w:hAnsi="仿宋_GB2312" w:eastAsia="仿宋_GB2312" w:cs="仿宋_GB2312"/>
          <w:sz w:val="28"/>
          <w:szCs w:val="28"/>
          <w:lang w:val="en-US" w:eastAsia="zh-CN"/>
        </w:rPr>
      </w:pPr>
    </w:p>
    <w:p>
      <w:pPr>
        <w:pStyle w:val="5"/>
        <w:adjustRightInd w:val="0"/>
        <w:snapToGrid w:val="0"/>
        <w:spacing w:line="360" w:lineRule="auto"/>
        <w:jc w:val="center"/>
        <w:rPr>
          <w:rFonts w:ascii="宋体" w:hAnsi="宋体" w:cs="宋体"/>
          <w:b/>
          <w:color w:val="auto"/>
          <w:kern w:val="2"/>
          <w:sz w:val="24"/>
          <w:szCs w:val="24"/>
          <w:highlight w:val="none"/>
        </w:rPr>
      </w:pPr>
      <w:r>
        <w:rPr>
          <w:rFonts w:hint="eastAsia" w:ascii="仿宋_GB2312" w:hAnsi="仿宋_GB2312" w:eastAsia="仿宋_GB2312" w:cs="仿宋_GB2312"/>
          <w:sz w:val="28"/>
          <w:szCs w:val="28"/>
          <w:lang w:val="en-US" w:eastAsia="zh-CN"/>
        </w:rPr>
        <w:t xml:space="preserve">6 </w:t>
      </w:r>
      <w:r>
        <w:rPr>
          <w:rFonts w:hint="eastAsia" w:ascii="仿宋_GB2312" w:hAnsi="仿宋_GB2312" w:eastAsia="仿宋_GB2312" w:cs="仿宋_GB2312"/>
          <w:sz w:val="28"/>
          <w:szCs w:val="28"/>
        </w:rPr>
        <w:t>询价文件第二部分△</w:t>
      </w:r>
      <w:r>
        <w:rPr>
          <w:rFonts w:hint="eastAsia" w:ascii="仿宋_GB2312" w:hAnsi="仿宋_GB2312" w:eastAsia="仿宋_GB2312" w:cs="仿宋_GB2312"/>
          <w:sz w:val="28"/>
          <w:szCs w:val="28"/>
          <w:lang w:val="en-US" w:eastAsia="zh-CN"/>
        </w:rPr>
        <w:t>符号一览表</w:t>
      </w:r>
    </w:p>
    <w:p>
      <w:pPr>
        <w:adjustRightInd w:val="0"/>
        <w:snapToGrid w:val="0"/>
        <w:spacing w:line="360" w:lineRule="auto"/>
        <w:ind w:firstLine="240" w:firstLineChars="100"/>
        <w:rPr>
          <w:rFonts w:ascii="宋体" w:hAnsi="宋体" w:cs="宋体"/>
          <w:color w:val="auto"/>
          <w:kern w:val="2"/>
          <w:sz w:val="24"/>
          <w:szCs w:val="24"/>
          <w:highlight w:val="none"/>
        </w:rPr>
      </w:pPr>
      <w:r>
        <w:rPr>
          <w:rFonts w:hint="eastAsia" w:ascii="宋体" w:hAnsi="宋体" w:cs="宋体"/>
          <w:color w:val="auto"/>
          <w:kern w:val="2"/>
          <w:sz w:val="24"/>
          <w:szCs w:val="24"/>
          <w:highlight w:val="none"/>
        </w:rPr>
        <w:t>项目名称：广州市净水有限公司沥滘三期无线网络建设项目</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
        <w:gridCol w:w="4026"/>
        <w:gridCol w:w="2565"/>
        <w:gridCol w:w="2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序号</w:t>
            </w:r>
          </w:p>
        </w:tc>
        <w:tc>
          <w:tcPr>
            <w:tcW w:w="204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条款</w:t>
            </w:r>
          </w:p>
        </w:tc>
        <w:tc>
          <w:tcPr>
            <w:tcW w:w="13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供应商响应情况</w:t>
            </w:r>
          </w:p>
        </w:tc>
        <w:tc>
          <w:tcPr>
            <w:tcW w:w="121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44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auto"/>
                <w:sz w:val="24"/>
                <w:szCs w:val="24"/>
                <w:highlight w:val="none"/>
              </w:rPr>
            </w:pPr>
            <w:r>
              <w:rPr>
                <w:rFonts w:hint="eastAsia" w:ascii="宋体" w:hAnsi="宋体"/>
                <w:color w:val="auto"/>
                <w:sz w:val="24"/>
                <w:szCs w:val="24"/>
                <w:highlight w:val="none"/>
              </w:rPr>
              <w:t>1</w:t>
            </w:r>
          </w:p>
        </w:tc>
        <w:tc>
          <w:tcPr>
            <w:tcW w:w="204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auto"/>
                <w:sz w:val="22"/>
                <w:szCs w:val="22"/>
                <w:highlight w:val="none"/>
              </w:rPr>
            </w:pPr>
            <w:r>
              <w:rPr>
                <w:rFonts w:hint="eastAsia" w:ascii="宋体" w:hAnsi="宋体"/>
                <w:color w:val="auto"/>
                <w:sz w:val="22"/>
                <w:szCs w:val="22"/>
                <w:highlight w:val="none"/>
              </w:rPr>
              <w:t>供应商递交响应文件时须出具承诺函，承诺所提供报价货物/设备备件均为制造商全新原装产品，且产品出厂日期为半年内，供货时出具设备出厂合格证明</w:t>
            </w:r>
          </w:p>
        </w:tc>
        <w:tc>
          <w:tcPr>
            <w:tcW w:w="13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auto"/>
                <w:sz w:val="24"/>
                <w:szCs w:val="24"/>
                <w:highlight w:val="none"/>
              </w:rPr>
            </w:pPr>
          </w:p>
        </w:tc>
        <w:tc>
          <w:tcPr>
            <w:tcW w:w="121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auto"/>
                <w:sz w:val="24"/>
                <w:szCs w:val="24"/>
                <w:highlight w:val="none"/>
              </w:rPr>
            </w:pPr>
            <w:r>
              <w:rPr>
                <w:rFonts w:hint="eastAsia" w:ascii="宋体" w:hAnsi="宋体"/>
                <w:color w:val="auto"/>
                <w:sz w:val="24"/>
                <w:szCs w:val="24"/>
                <w:highlight w:val="none"/>
              </w:rPr>
              <w:t>2</w:t>
            </w:r>
          </w:p>
        </w:tc>
        <w:tc>
          <w:tcPr>
            <w:tcW w:w="204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auto"/>
                <w:sz w:val="22"/>
                <w:szCs w:val="22"/>
                <w:highlight w:val="none"/>
              </w:rPr>
            </w:pPr>
            <w:r>
              <w:rPr>
                <w:rFonts w:hint="eastAsia" w:ascii="宋体" w:hAnsi="宋体"/>
                <w:color w:val="auto"/>
                <w:sz w:val="22"/>
                <w:szCs w:val="22"/>
                <w:highlight w:val="none"/>
              </w:rPr>
              <w:t>支持接入点VPN功能，可以跨互联网与异地的管理端建立加密通信隧道，实现加密远程访问（提供功能截图证明）；</w:t>
            </w:r>
          </w:p>
        </w:tc>
        <w:tc>
          <w:tcPr>
            <w:tcW w:w="13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auto"/>
                <w:sz w:val="24"/>
                <w:szCs w:val="24"/>
                <w:highlight w:val="none"/>
              </w:rPr>
            </w:pPr>
          </w:p>
        </w:tc>
        <w:tc>
          <w:tcPr>
            <w:tcW w:w="121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auto"/>
                <w:sz w:val="24"/>
                <w:szCs w:val="24"/>
                <w:highlight w:val="none"/>
              </w:rPr>
            </w:pPr>
            <w:r>
              <w:rPr>
                <w:rFonts w:hint="eastAsia" w:ascii="宋体" w:hAnsi="宋体"/>
                <w:color w:val="auto"/>
                <w:sz w:val="24"/>
                <w:szCs w:val="24"/>
                <w:highlight w:val="none"/>
              </w:rPr>
              <w:t>3</w:t>
            </w:r>
          </w:p>
        </w:tc>
        <w:tc>
          <w:tcPr>
            <w:tcW w:w="204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color w:val="auto"/>
                <w:sz w:val="21"/>
                <w:szCs w:val="21"/>
                <w:highlight w:val="none"/>
              </w:rPr>
            </w:pPr>
            <w:r>
              <w:rPr>
                <w:rFonts w:hint="eastAsia" w:ascii="宋体" w:hAnsi="宋体"/>
                <w:color w:val="auto"/>
                <w:sz w:val="21"/>
                <w:szCs w:val="21"/>
                <w:highlight w:val="none"/>
              </w:rPr>
              <w:t>无线AP支持联动安全策略，通过安全策略可以实现对疑似感染病毒或已感染病毒的无线客户端进行识别、监控与隔离等多种方式的处理（提供功能截图证明）；</w:t>
            </w:r>
          </w:p>
        </w:tc>
        <w:tc>
          <w:tcPr>
            <w:tcW w:w="13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auto"/>
                <w:sz w:val="24"/>
                <w:szCs w:val="24"/>
                <w:highlight w:val="none"/>
              </w:rPr>
            </w:pPr>
          </w:p>
        </w:tc>
        <w:tc>
          <w:tcPr>
            <w:tcW w:w="121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val="en-US" w:eastAsia="zh-CN"/>
              </w:rPr>
              <w:t>4</w:t>
            </w:r>
          </w:p>
        </w:tc>
        <w:tc>
          <w:tcPr>
            <w:tcW w:w="204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color w:val="auto"/>
                <w:sz w:val="21"/>
                <w:szCs w:val="21"/>
                <w:highlight w:val="none"/>
              </w:rPr>
            </w:pPr>
            <w:r>
              <w:rPr>
                <w:rFonts w:hint="eastAsia" w:ascii="宋体" w:hAnsi="宋体" w:eastAsia="宋体" w:cs="Times New Roman"/>
                <w:color w:val="auto"/>
                <w:sz w:val="21"/>
                <w:szCs w:val="21"/>
                <w:highlight w:val="none"/>
                <w:u w:val="none"/>
                <w:lang w:val="en-US" w:eastAsia="zh-CN"/>
              </w:rPr>
              <w:t>支持Fit AP切换成网关模式（非Fat AP模式），支持PPPoE拨号、静态IP、DHCP三种上网方式（提供功能配置截图证明）</w:t>
            </w:r>
          </w:p>
        </w:tc>
        <w:tc>
          <w:tcPr>
            <w:tcW w:w="13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auto"/>
                <w:sz w:val="24"/>
                <w:szCs w:val="24"/>
                <w:highlight w:val="none"/>
              </w:rPr>
            </w:pPr>
          </w:p>
        </w:tc>
        <w:tc>
          <w:tcPr>
            <w:tcW w:w="121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5</w:t>
            </w:r>
          </w:p>
        </w:tc>
        <w:tc>
          <w:tcPr>
            <w:tcW w:w="204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color w:val="auto"/>
                <w:sz w:val="21"/>
                <w:szCs w:val="21"/>
                <w:highlight w:val="none"/>
              </w:rPr>
            </w:pPr>
            <w:r>
              <w:rPr>
                <w:rFonts w:hint="eastAsia" w:ascii="宋体" w:hAnsi="宋体" w:eastAsia="宋体" w:cs="Times New Roman"/>
                <w:color w:val="auto"/>
                <w:sz w:val="21"/>
                <w:szCs w:val="21"/>
                <w:highlight w:val="none"/>
                <w:u w:val="none"/>
                <w:lang w:val="en-US" w:eastAsia="zh-CN"/>
              </w:rPr>
              <w:t>内置硬盘，硬盘大小≥128GB（提供官网截图以及官网链接）；</w:t>
            </w:r>
          </w:p>
        </w:tc>
        <w:tc>
          <w:tcPr>
            <w:tcW w:w="13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auto"/>
                <w:sz w:val="24"/>
                <w:szCs w:val="24"/>
                <w:highlight w:val="none"/>
              </w:rPr>
            </w:pPr>
          </w:p>
        </w:tc>
        <w:tc>
          <w:tcPr>
            <w:tcW w:w="121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6</w:t>
            </w:r>
          </w:p>
        </w:tc>
        <w:tc>
          <w:tcPr>
            <w:tcW w:w="204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color w:val="auto"/>
                <w:sz w:val="21"/>
                <w:szCs w:val="21"/>
                <w:highlight w:val="none"/>
              </w:rPr>
            </w:pPr>
            <w:r>
              <w:rPr>
                <w:rFonts w:hint="eastAsia" w:ascii="宋体" w:hAnsi="宋体" w:eastAsia="宋体" w:cs="Times New Roman"/>
                <w:color w:val="auto"/>
                <w:sz w:val="21"/>
                <w:szCs w:val="21"/>
                <w:highlight w:val="none"/>
                <w:u w:val="none"/>
                <w:lang w:val="en-US" w:eastAsia="zh-CN"/>
              </w:rPr>
              <w:t>为实现对终端的接入安全进行管控，交换机应支持终端业务可视化，对端口下终端的活跃状态、流量趋势、安全事件、终端维度的流量进行分析，并查看其主机名、IP地址、接入位置以及特征变化等信息（提供权威第三方检测报告证明）；</w:t>
            </w:r>
          </w:p>
        </w:tc>
        <w:tc>
          <w:tcPr>
            <w:tcW w:w="13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auto"/>
                <w:sz w:val="24"/>
                <w:szCs w:val="24"/>
                <w:highlight w:val="none"/>
              </w:rPr>
            </w:pPr>
          </w:p>
        </w:tc>
        <w:tc>
          <w:tcPr>
            <w:tcW w:w="121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7</w:t>
            </w:r>
          </w:p>
        </w:tc>
        <w:tc>
          <w:tcPr>
            <w:tcW w:w="204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color w:val="auto"/>
                <w:sz w:val="21"/>
                <w:szCs w:val="21"/>
                <w:highlight w:val="none"/>
              </w:rPr>
            </w:pPr>
            <w:r>
              <w:rPr>
                <w:rFonts w:hint="eastAsia" w:ascii="宋体" w:hAnsi="宋体" w:eastAsia="宋体" w:cs="Times New Roman"/>
                <w:color w:val="auto"/>
                <w:sz w:val="21"/>
                <w:szCs w:val="21"/>
                <w:highlight w:val="none"/>
                <w:u w:val="none"/>
                <w:lang w:val="en-US" w:eastAsia="zh-CN"/>
              </w:rPr>
              <w:t>支持内网终端互访情况、东西向流量安全记录并呈现，并实现自动阻塞内网病毒传播、远程桌面等恶意流量（提供权威第三方检测报告证明）；</w:t>
            </w:r>
          </w:p>
        </w:tc>
        <w:tc>
          <w:tcPr>
            <w:tcW w:w="13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auto"/>
                <w:sz w:val="24"/>
                <w:szCs w:val="24"/>
                <w:highlight w:val="none"/>
              </w:rPr>
            </w:pPr>
          </w:p>
        </w:tc>
        <w:tc>
          <w:tcPr>
            <w:tcW w:w="121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8</w:t>
            </w:r>
          </w:p>
        </w:tc>
        <w:tc>
          <w:tcPr>
            <w:tcW w:w="204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eastAsia="宋体" w:cs="Times New Roman"/>
                <w:color w:val="auto"/>
                <w:sz w:val="21"/>
                <w:szCs w:val="21"/>
                <w:highlight w:val="none"/>
                <w:u w:val="none"/>
                <w:lang w:val="en-US" w:eastAsia="zh-CN"/>
              </w:rPr>
            </w:pPr>
            <w:r>
              <w:rPr>
                <w:rFonts w:hint="eastAsia" w:ascii="宋体" w:hAnsi="宋体" w:eastAsia="宋体" w:cs="Times New Roman"/>
                <w:color w:val="auto"/>
                <w:sz w:val="21"/>
                <w:szCs w:val="21"/>
                <w:highlight w:val="none"/>
                <w:u w:val="none"/>
                <w:lang w:val="en-US" w:eastAsia="zh-CN"/>
              </w:rPr>
              <w:t>为实现对终端的接入安全进行管控，交换机应支持终端业务可视化，对端口下终端的活跃状态、流量趋势、安全事件、终端维度的流量进行分析，并查看其主机名、IP地址、接入位置以及特征变化等信息（提供权威第三方检测报告证明）；</w:t>
            </w:r>
          </w:p>
        </w:tc>
        <w:tc>
          <w:tcPr>
            <w:tcW w:w="13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auto"/>
                <w:sz w:val="24"/>
                <w:szCs w:val="24"/>
                <w:highlight w:val="none"/>
              </w:rPr>
            </w:pPr>
          </w:p>
        </w:tc>
        <w:tc>
          <w:tcPr>
            <w:tcW w:w="121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9</w:t>
            </w:r>
          </w:p>
        </w:tc>
        <w:tc>
          <w:tcPr>
            <w:tcW w:w="204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eastAsia="宋体" w:cs="Times New Roman"/>
                <w:color w:val="auto"/>
                <w:sz w:val="21"/>
                <w:szCs w:val="21"/>
                <w:highlight w:val="none"/>
                <w:u w:val="none"/>
                <w:lang w:val="en-US" w:eastAsia="zh-CN"/>
              </w:rPr>
            </w:pPr>
            <w:r>
              <w:rPr>
                <w:rFonts w:hint="eastAsia" w:ascii="宋体" w:hAnsi="宋体" w:eastAsia="宋体" w:cs="Times New Roman"/>
                <w:color w:val="auto"/>
                <w:sz w:val="21"/>
                <w:szCs w:val="21"/>
                <w:highlight w:val="none"/>
                <w:u w:val="none"/>
                <w:lang w:val="en-US" w:eastAsia="zh-CN"/>
              </w:rPr>
              <w:t>支持内网终端互访情况、东西向流量安全记录并呈现，并实现自动阻塞内网病毒传播、远程桌面等恶意流量（提供权威第三方检测报告证明）</w:t>
            </w:r>
          </w:p>
        </w:tc>
        <w:tc>
          <w:tcPr>
            <w:tcW w:w="13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auto"/>
                <w:sz w:val="24"/>
                <w:szCs w:val="24"/>
                <w:highlight w:val="none"/>
              </w:rPr>
            </w:pPr>
          </w:p>
        </w:tc>
        <w:tc>
          <w:tcPr>
            <w:tcW w:w="121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10</w:t>
            </w:r>
          </w:p>
        </w:tc>
        <w:tc>
          <w:tcPr>
            <w:tcW w:w="204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eastAsia="宋体" w:cs="Times New Roman"/>
                <w:color w:val="auto"/>
                <w:sz w:val="21"/>
                <w:szCs w:val="21"/>
                <w:highlight w:val="none"/>
                <w:u w:val="none"/>
                <w:lang w:val="en-US" w:eastAsia="zh-CN"/>
              </w:rPr>
            </w:pPr>
            <w:r>
              <w:rPr>
                <w:rFonts w:hint="eastAsia" w:ascii="宋体" w:hAnsi="宋体" w:eastAsia="宋体" w:cs="Times New Roman"/>
                <w:color w:val="auto"/>
                <w:sz w:val="21"/>
                <w:szCs w:val="21"/>
                <w:highlight w:val="none"/>
                <w:u w:val="none"/>
                <w:lang w:val="en-US" w:eastAsia="zh-CN"/>
              </w:rPr>
              <w:t>支持M-LAG虚拟化技术，跨设备链路聚合（非堆叠技术实现），要求配对的设备有独立的控制平面，提高组网可靠性（提供权威第三方检测报告证明）</w:t>
            </w:r>
          </w:p>
        </w:tc>
        <w:tc>
          <w:tcPr>
            <w:tcW w:w="13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auto"/>
                <w:sz w:val="24"/>
                <w:szCs w:val="24"/>
                <w:highlight w:val="none"/>
              </w:rPr>
            </w:pPr>
          </w:p>
        </w:tc>
        <w:tc>
          <w:tcPr>
            <w:tcW w:w="121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11</w:t>
            </w:r>
          </w:p>
        </w:tc>
        <w:tc>
          <w:tcPr>
            <w:tcW w:w="204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eastAsia="宋体" w:cs="Times New Roman"/>
                <w:color w:val="auto"/>
                <w:sz w:val="21"/>
                <w:szCs w:val="21"/>
                <w:highlight w:val="none"/>
                <w:u w:val="none"/>
                <w:lang w:val="en-US" w:eastAsia="zh-CN"/>
              </w:rPr>
            </w:pPr>
            <w:r>
              <w:rPr>
                <w:rFonts w:hint="eastAsia" w:ascii="宋体" w:hAnsi="宋体" w:eastAsia="宋体" w:cs="Times New Roman"/>
                <w:color w:val="auto"/>
                <w:sz w:val="21"/>
                <w:szCs w:val="21"/>
                <w:highlight w:val="none"/>
                <w:u w:val="none"/>
                <w:lang w:val="en-US" w:eastAsia="zh-CN"/>
              </w:rPr>
              <w:t>支持内网终端互访情况、东西向流量安全记录并呈现，并实现自动阻塞内网病毒传播、远程桌面等恶意流量（提供权威第三方检测报告证明）</w:t>
            </w:r>
          </w:p>
        </w:tc>
        <w:tc>
          <w:tcPr>
            <w:tcW w:w="13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auto"/>
                <w:sz w:val="24"/>
                <w:szCs w:val="24"/>
                <w:highlight w:val="none"/>
              </w:rPr>
            </w:pPr>
          </w:p>
        </w:tc>
        <w:tc>
          <w:tcPr>
            <w:tcW w:w="121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12</w:t>
            </w:r>
          </w:p>
        </w:tc>
        <w:tc>
          <w:tcPr>
            <w:tcW w:w="204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eastAsia="宋体" w:cs="Times New Roman"/>
                <w:color w:val="auto"/>
                <w:sz w:val="21"/>
                <w:szCs w:val="21"/>
                <w:highlight w:val="none"/>
                <w:u w:val="none"/>
                <w:lang w:val="en-US" w:eastAsia="zh-CN"/>
              </w:rPr>
            </w:pPr>
            <w:r>
              <w:rPr>
                <w:rFonts w:hint="eastAsia" w:ascii="宋体" w:hAnsi="宋体" w:eastAsia="宋体" w:cs="Times New Roman"/>
                <w:color w:val="auto"/>
                <w:sz w:val="21"/>
                <w:szCs w:val="21"/>
                <w:highlight w:val="none"/>
                <w:u w:val="none"/>
                <w:lang w:val="en-US" w:eastAsia="zh-CN"/>
              </w:rPr>
              <w:t>△</w:t>
            </w:r>
            <w:r>
              <w:rPr>
                <w:rFonts w:hint="eastAsia" w:ascii="宋体" w:hAnsi="宋体" w:eastAsia="宋体" w:cs="Times New Roman"/>
                <w:i w:val="0"/>
                <w:iCs w:val="0"/>
                <w:color w:val="auto"/>
                <w:sz w:val="21"/>
                <w:szCs w:val="21"/>
                <w:highlight w:val="none"/>
                <w:u w:val="none"/>
                <w:lang w:val="en-US"/>
              </w:rPr>
              <w:t>报价单位须具有质量管理体系认证证书，具有IT服务管理体系认证证书，具有信息安全管理体系认证证书</w:t>
            </w:r>
            <w:r>
              <w:rPr>
                <w:rFonts w:hint="eastAsia" w:ascii="宋体" w:hAnsi="宋体" w:eastAsia="宋体" w:cs="Times New Roman"/>
                <w:i w:val="0"/>
                <w:iCs w:val="0"/>
                <w:color w:val="auto"/>
                <w:sz w:val="21"/>
                <w:szCs w:val="21"/>
                <w:highlight w:val="none"/>
                <w:u w:val="none"/>
              </w:rPr>
              <w:t>（提供复印件证明，加盖单位公章）</w:t>
            </w:r>
          </w:p>
        </w:tc>
        <w:tc>
          <w:tcPr>
            <w:tcW w:w="13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auto"/>
                <w:sz w:val="24"/>
                <w:szCs w:val="24"/>
                <w:highlight w:val="none"/>
              </w:rPr>
            </w:pPr>
          </w:p>
        </w:tc>
        <w:tc>
          <w:tcPr>
            <w:tcW w:w="121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13</w:t>
            </w:r>
          </w:p>
        </w:tc>
        <w:tc>
          <w:tcPr>
            <w:tcW w:w="204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hint="default" w:ascii="宋体" w:hAnsi="宋体" w:cs="Times New Roman"/>
                <w:color w:val="auto"/>
                <w:sz w:val="21"/>
                <w:szCs w:val="21"/>
                <w:highlight w:val="none"/>
                <w:u w:val="none"/>
                <w:lang w:val="en-US" w:eastAsia="zh-CN"/>
              </w:rPr>
            </w:pPr>
            <w:r>
              <w:rPr>
                <w:rFonts w:hint="eastAsia" w:ascii="宋体" w:hAnsi="宋体" w:eastAsia="宋体" w:cs="Times New Roman"/>
                <w:color w:val="auto"/>
                <w:sz w:val="21"/>
                <w:szCs w:val="21"/>
                <w:highlight w:val="none"/>
                <w:u w:val="none"/>
              </w:rPr>
              <w:t>报价人产品</w:t>
            </w:r>
            <w:r>
              <w:rPr>
                <w:rFonts w:hint="eastAsia" w:ascii="宋体" w:hAnsi="宋体" w:eastAsia="宋体" w:cs="Times New Roman"/>
                <w:color w:val="auto"/>
                <w:sz w:val="21"/>
                <w:szCs w:val="21"/>
                <w:highlight w:val="none"/>
                <w:u w:val="none"/>
                <w:lang w:val="en-US" w:eastAsia="zh-CN"/>
              </w:rPr>
              <w:t>如</w:t>
            </w:r>
            <w:r>
              <w:rPr>
                <w:rFonts w:hint="eastAsia" w:ascii="宋体" w:hAnsi="宋体" w:eastAsia="宋体" w:cs="Times New Roman"/>
                <w:color w:val="auto"/>
                <w:sz w:val="21"/>
                <w:szCs w:val="21"/>
                <w:highlight w:val="none"/>
                <w:u w:val="none"/>
              </w:rPr>
              <w:t>由原厂负责标准售后服务的，应当在报价文件中予以明确说明,并附厂家售后服务承诺内容。</w:t>
            </w:r>
            <w:r>
              <w:rPr>
                <w:rFonts w:hint="eastAsia" w:ascii="宋体" w:hAnsi="宋体" w:cs="Times New Roman"/>
                <w:color w:val="auto"/>
                <w:sz w:val="21"/>
                <w:szCs w:val="21"/>
                <w:highlight w:val="none"/>
                <w:u w:val="none"/>
                <w:lang w:eastAsia="zh-CN"/>
              </w:rPr>
              <w:t>（</w:t>
            </w:r>
            <w:r>
              <w:rPr>
                <w:rFonts w:hint="eastAsia" w:ascii="宋体" w:hAnsi="宋体" w:cs="Times New Roman"/>
                <w:color w:val="auto"/>
                <w:sz w:val="21"/>
                <w:szCs w:val="21"/>
                <w:highlight w:val="none"/>
                <w:u w:val="none"/>
                <w:lang w:val="en-US" w:eastAsia="zh-CN"/>
              </w:rPr>
              <w:t>如有）</w:t>
            </w:r>
          </w:p>
        </w:tc>
        <w:tc>
          <w:tcPr>
            <w:tcW w:w="13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auto"/>
                <w:sz w:val="24"/>
                <w:szCs w:val="24"/>
                <w:highlight w:val="none"/>
              </w:rPr>
            </w:pPr>
          </w:p>
        </w:tc>
        <w:tc>
          <w:tcPr>
            <w:tcW w:w="121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14</w:t>
            </w:r>
          </w:p>
        </w:tc>
        <w:tc>
          <w:tcPr>
            <w:tcW w:w="204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Times New Roman"/>
                <w:color w:val="auto"/>
                <w:sz w:val="21"/>
                <w:szCs w:val="21"/>
                <w:highlight w:val="none"/>
                <w:u w:val="none"/>
                <w:lang w:val="en-US" w:eastAsia="zh-CN"/>
              </w:rPr>
            </w:pPr>
            <w:r>
              <w:rPr>
                <w:rFonts w:hint="eastAsia" w:ascii="宋体" w:hAnsi="宋体" w:cs="Times New Roman"/>
                <w:color w:val="auto"/>
                <w:sz w:val="21"/>
                <w:szCs w:val="21"/>
                <w:highlight w:val="none"/>
                <w:u w:val="none"/>
                <w:lang w:val="en-US" w:eastAsia="zh-CN"/>
              </w:rPr>
              <w:t>...</w:t>
            </w:r>
          </w:p>
        </w:tc>
        <w:tc>
          <w:tcPr>
            <w:tcW w:w="130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auto"/>
                <w:sz w:val="24"/>
                <w:szCs w:val="24"/>
                <w:highlight w:val="none"/>
              </w:rPr>
            </w:pPr>
          </w:p>
        </w:tc>
        <w:tc>
          <w:tcPr>
            <w:tcW w:w="121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auto"/>
                <w:sz w:val="24"/>
                <w:szCs w:val="24"/>
                <w:highlight w:val="none"/>
              </w:rPr>
            </w:pPr>
          </w:p>
        </w:tc>
      </w:tr>
    </w:tbl>
    <w:p>
      <w:pPr>
        <w:adjustRightInd w:val="0"/>
        <w:snapToGrid w:val="0"/>
        <w:spacing w:line="360" w:lineRule="auto"/>
        <w:rPr>
          <w:rFonts w:ascii="宋体" w:hAnsi="宋体"/>
          <w:color w:val="auto"/>
          <w:sz w:val="24"/>
          <w:szCs w:val="24"/>
          <w:highlight w:val="none"/>
        </w:rPr>
      </w:pPr>
      <w:r>
        <w:rPr>
          <w:rFonts w:hint="eastAsia" w:ascii="宋体" w:hAnsi="宋体"/>
          <w:color w:val="auto"/>
          <w:sz w:val="24"/>
          <w:szCs w:val="24"/>
          <w:highlight w:val="none"/>
        </w:rPr>
        <w:t>说明：</w:t>
      </w:r>
    </w:p>
    <w:p>
      <w:pPr>
        <w:pStyle w:val="46"/>
        <w:numPr>
          <w:ilvl w:val="0"/>
          <w:numId w:val="5"/>
        </w:numPr>
        <w:adjustRightInd w:val="0"/>
        <w:snapToGrid w:val="0"/>
        <w:spacing w:line="360" w:lineRule="auto"/>
        <w:ind w:left="0" w:firstLine="431" w:firstLineChars="0"/>
        <w:rPr>
          <w:rFonts w:ascii="宋体" w:hAnsi="宋体"/>
          <w:color w:val="auto"/>
          <w:sz w:val="24"/>
          <w:szCs w:val="24"/>
          <w:highlight w:val="none"/>
        </w:rPr>
      </w:pPr>
      <w:r>
        <w:rPr>
          <w:rFonts w:hint="eastAsia" w:ascii="宋体" w:hAnsi="宋体"/>
          <w:color w:val="auto"/>
          <w:sz w:val="24"/>
          <w:szCs w:val="24"/>
          <w:highlight w:val="none"/>
        </w:rPr>
        <w:t>询价文件中所有要求均为实质性响应条款，如有任何一条负偏离或者不满足将导致询价无效</w:t>
      </w:r>
      <w:r>
        <w:rPr>
          <w:rFonts w:hint="eastAsia" w:ascii="宋体" w:hAnsi="宋体"/>
          <w:color w:val="auto"/>
          <w:sz w:val="24"/>
          <w:szCs w:val="24"/>
          <w:highlight w:val="none"/>
          <w:lang w:eastAsia="zh-CN"/>
        </w:rPr>
        <w:t>，</w:t>
      </w:r>
      <w:r>
        <w:rPr>
          <w:rFonts w:hint="eastAsia" w:ascii="宋体" w:hAnsi="宋体"/>
          <w:color w:val="auto"/>
          <w:sz w:val="24"/>
          <w:szCs w:val="24"/>
          <w:highlight w:val="none"/>
        </w:rPr>
        <w:t>“条款”一栏应填写</w:t>
      </w:r>
      <w:r>
        <w:rPr>
          <w:rFonts w:hint="eastAsia" w:ascii="宋体" w:hAnsi="宋体"/>
          <w:color w:val="auto"/>
          <w:sz w:val="24"/>
          <w:szCs w:val="24"/>
          <w:highlight w:val="none"/>
          <w:lang w:val="en-US" w:eastAsia="zh-CN"/>
        </w:rPr>
        <w:t>询价文件第二部分标△</w:t>
      </w:r>
      <w:r>
        <w:rPr>
          <w:rFonts w:hint="eastAsia" w:ascii="宋体" w:hAnsi="宋体"/>
          <w:color w:val="auto"/>
          <w:sz w:val="24"/>
          <w:szCs w:val="24"/>
          <w:highlight w:val="none"/>
        </w:rPr>
        <w:t>具体的内容。</w:t>
      </w:r>
    </w:p>
    <w:p>
      <w:pPr>
        <w:pStyle w:val="46"/>
        <w:numPr>
          <w:ilvl w:val="0"/>
          <w:numId w:val="5"/>
        </w:numPr>
        <w:adjustRightInd w:val="0"/>
        <w:snapToGrid w:val="0"/>
        <w:spacing w:line="360" w:lineRule="auto"/>
        <w:ind w:left="0" w:firstLine="431" w:firstLineChars="0"/>
        <w:rPr>
          <w:rFonts w:ascii="宋体" w:hAnsi="宋体"/>
          <w:color w:val="auto"/>
          <w:sz w:val="24"/>
          <w:szCs w:val="24"/>
          <w:highlight w:val="none"/>
        </w:rPr>
      </w:pPr>
      <w:r>
        <w:rPr>
          <w:rFonts w:hint="eastAsia" w:ascii="宋体" w:hAnsi="宋体"/>
          <w:color w:val="auto"/>
          <w:sz w:val="24"/>
          <w:szCs w:val="24"/>
          <w:highlight w:val="none"/>
        </w:rPr>
        <w:t>“供应商响应情况”中有差异的要具体说明；填写完全响应</w:t>
      </w:r>
      <w:r>
        <w:rPr>
          <w:rFonts w:hint="eastAsia" w:ascii="宋体" w:hAnsi="宋体"/>
          <w:color w:val="auto"/>
          <w:sz w:val="24"/>
          <w:szCs w:val="24"/>
          <w:highlight w:val="none"/>
          <w:lang w:val="en-US" w:eastAsia="zh-CN"/>
        </w:rPr>
        <w:t>或不响应</w:t>
      </w:r>
      <w:r>
        <w:rPr>
          <w:rFonts w:hint="eastAsia" w:ascii="宋体" w:hAnsi="宋体"/>
          <w:color w:val="auto"/>
          <w:sz w:val="24"/>
          <w:szCs w:val="24"/>
          <w:highlight w:val="none"/>
        </w:rPr>
        <w:t>。</w:t>
      </w:r>
    </w:p>
    <w:p>
      <w:pPr>
        <w:pStyle w:val="46"/>
        <w:numPr>
          <w:ilvl w:val="0"/>
          <w:numId w:val="5"/>
        </w:numPr>
        <w:adjustRightInd w:val="0"/>
        <w:snapToGrid w:val="0"/>
        <w:spacing w:line="360" w:lineRule="auto"/>
        <w:ind w:left="0" w:firstLine="431" w:firstLineChars="0"/>
        <w:rPr>
          <w:rFonts w:ascii="宋体" w:hAnsi="宋体"/>
          <w:color w:val="auto"/>
          <w:sz w:val="24"/>
          <w:szCs w:val="24"/>
          <w:highlight w:val="none"/>
        </w:rPr>
      </w:pPr>
      <w:r>
        <w:rPr>
          <w:rFonts w:hint="eastAsia" w:ascii="宋体" w:hAnsi="宋体"/>
          <w:color w:val="auto"/>
          <w:sz w:val="24"/>
          <w:szCs w:val="24"/>
          <w:highlight w:val="none"/>
        </w:rPr>
        <w:t>“差异”有差异的要具体说明，如无差异可填写“无差异”。</w:t>
      </w:r>
    </w:p>
    <w:p>
      <w:pPr>
        <w:pStyle w:val="46"/>
        <w:numPr>
          <w:ilvl w:val="0"/>
          <w:numId w:val="5"/>
        </w:numPr>
        <w:adjustRightInd w:val="0"/>
        <w:snapToGrid w:val="0"/>
        <w:spacing w:line="360" w:lineRule="auto"/>
        <w:ind w:left="0" w:firstLine="431" w:firstLineChars="0"/>
        <w:rPr>
          <w:rFonts w:ascii="宋体" w:hAnsi="宋体"/>
          <w:color w:val="auto"/>
          <w:sz w:val="24"/>
          <w:szCs w:val="24"/>
          <w:highlight w:val="none"/>
        </w:rPr>
      </w:pPr>
      <w:r>
        <w:rPr>
          <w:rFonts w:hint="eastAsia" w:ascii="宋体" w:hAnsi="宋体"/>
          <w:color w:val="auto"/>
          <w:sz w:val="24"/>
          <w:szCs w:val="24"/>
          <w:highlight w:val="none"/>
        </w:rPr>
        <w:t>请供应商认真填写本表内容，如填写错误将可能导致响应无效。</w:t>
      </w:r>
    </w:p>
    <w:p>
      <w:pPr>
        <w:adjustRightInd w:val="0"/>
        <w:snapToGrid w:val="0"/>
        <w:spacing w:line="360" w:lineRule="auto"/>
        <w:rPr>
          <w:rFonts w:ascii="宋体" w:hAnsi="宋体"/>
          <w:color w:val="auto"/>
          <w:sz w:val="24"/>
          <w:szCs w:val="24"/>
          <w:highlight w:val="none"/>
        </w:rPr>
      </w:pPr>
    </w:p>
    <w:p>
      <w:pPr>
        <w:adjustRightInd w:val="0"/>
        <w:snapToGrid w:val="0"/>
        <w:spacing w:line="360" w:lineRule="auto"/>
        <w:jc w:val="right"/>
        <w:rPr>
          <w:rFonts w:ascii="宋体" w:hAnsi="宋体"/>
          <w:color w:val="auto"/>
          <w:sz w:val="24"/>
          <w:szCs w:val="24"/>
          <w:highlight w:val="none"/>
        </w:rPr>
      </w:pPr>
      <w:r>
        <w:rPr>
          <w:rFonts w:hint="eastAsia" w:ascii="宋体" w:hAnsi="宋体"/>
          <w:color w:val="auto"/>
          <w:sz w:val="24"/>
          <w:szCs w:val="24"/>
          <w:highlight w:val="none"/>
        </w:rPr>
        <w:t xml:space="preserve">供应商名称（签章）： </w:t>
      </w:r>
    </w:p>
    <w:p>
      <w:pPr>
        <w:pStyle w:val="24"/>
        <w:jc w:val="right"/>
        <w:rPr>
          <w:rFonts w:hint="default"/>
          <w:lang w:val="en-US" w:eastAsia="zh-CN"/>
        </w:rPr>
      </w:pPr>
      <w:r>
        <w:rPr>
          <w:rFonts w:hint="eastAsia" w:ascii="宋体" w:hAnsi="宋体"/>
          <w:color w:val="auto"/>
          <w:sz w:val="24"/>
          <w:szCs w:val="24"/>
          <w:highlight w:val="none"/>
        </w:rPr>
        <w:t>日期：      年    月    日</w:t>
      </w:r>
    </w:p>
    <w:p>
      <w:pPr>
        <w:pStyle w:val="5"/>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7 </w:t>
      </w:r>
      <w:r>
        <w:rPr>
          <w:rFonts w:hint="eastAsia" w:ascii="仿宋_GB2312" w:hAnsi="仿宋_GB2312" w:eastAsia="仿宋_GB2312" w:cs="仿宋_GB2312"/>
          <w:sz w:val="28"/>
          <w:szCs w:val="28"/>
        </w:rPr>
        <w:t>询价文件第二部分△</w:t>
      </w:r>
      <w:r>
        <w:rPr>
          <w:rFonts w:hint="eastAsia" w:ascii="仿宋_GB2312" w:hAnsi="仿宋_GB2312" w:eastAsia="仿宋_GB2312" w:cs="仿宋_GB2312"/>
          <w:sz w:val="28"/>
          <w:szCs w:val="28"/>
          <w:lang w:val="en-US" w:eastAsia="zh-CN"/>
        </w:rPr>
        <w:t>符号相关证明文件（须对应相关条款序号）：</w:t>
      </w:r>
    </w:p>
    <w:p/>
    <w:p>
      <w:pPr>
        <w:pStyle w:val="23"/>
        <w:rPr>
          <w:rFonts w:ascii="仿宋_GB2312" w:hAnsi="仿宋_GB2312" w:eastAsia="仿宋_GB2312" w:cs="仿宋_GB2312"/>
          <w:sz w:val="28"/>
          <w:szCs w:val="28"/>
        </w:rPr>
      </w:pPr>
    </w:p>
    <w:p>
      <w:pPr>
        <w:pStyle w:val="23"/>
        <w:rPr>
          <w:rFonts w:ascii="仿宋_GB2312" w:hAnsi="仿宋_GB2312" w:eastAsia="仿宋_GB2312" w:cs="仿宋_GB2312"/>
          <w:sz w:val="28"/>
          <w:szCs w:val="28"/>
        </w:rPr>
      </w:pPr>
    </w:p>
    <w:p>
      <w:pPr>
        <w:pStyle w:val="2"/>
        <w:ind w:left="0" w:leftChars="0" w:firstLine="0" w:firstLineChars="0"/>
      </w:pPr>
    </w:p>
    <w:p>
      <w:pPr>
        <w:pStyle w:val="2"/>
      </w:pPr>
    </w:p>
    <w:p>
      <w:pPr>
        <w:pStyle w:val="2"/>
      </w:pPr>
    </w:p>
    <w:p>
      <w:pPr>
        <w:pStyle w:val="2"/>
      </w:pPr>
    </w:p>
    <w:p>
      <w:pPr>
        <w:pStyle w:val="23"/>
        <w:rPr>
          <w:rFonts w:ascii="仿宋_GB2312" w:hAnsi="仿宋_GB2312" w:eastAsia="仿宋_GB2312" w:cs="仿宋_GB2312"/>
          <w:sz w:val="28"/>
          <w:szCs w:val="28"/>
        </w:rPr>
      </w:pPr>
    </w:p>
    <w:p>
      <w:pPr>
        <w:spacing w:line="48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 xml:space="preserve">8 </w:t>
      </w:r>
      <w:r>
        <w:rPr>
          <w:rFonts w:hint="eastAsia" w:ascii="仿宋_GB2312" w:hAnsi="仿宋_GB2312" w:eastAsia="仿宋_GB2312" w:cs="仿宋_GB2312"/>
          <w:b/>
          <w:sz w:val="28"/>
          <w:szCs w:val="28"/>
        </w:rPr>
        <w:t>现场踏勘委派书</w:t>
      </w:r>
    </w:p>
    <w:p>
      <w:pPr>
        <w:pStyle w:val="5"/>
        <w:jc w:val="center"/>
        <w:rPr>
          <w:rFonts w:hint="eastAsia" w:ascii="仿宋_GB2312" w:hAnsi="仿宋_GB2312" w:eastAsia="仿宋_GB2312" w:cs="仿宋_GB2312"/>
          <w:sz w:val="28"/>
          <w:szCs w:val="28"/>
          <w:lang w:val="en-US" w:eastAsia="zh-CN"/>
        </w:rPr>
      </w:pPr>
    </w:p>
    <w:p>
      <w:pPr>
        <w:pStyle w:val="23"/>
        <w:rPr>
          <w:rFonts w:ascii="仿宋_GB2312" w:hAnsi="仿宋_GB2312" w:eastAsia="仿宋_GB2312" w:cs="仿宋_GB2312"/>
          <w:sz w:val="28"/>
          <w:szCs w:val="28"/>
        </w:rPr>
      </w:pPr>
    </w:p>
    <w:p>
      <w:pPr>
        <w:pStyle w:val="23"/>
        <w:rPr>
          <w:rFonts w:ascii="仿宋_GB2312" w:hAnsi="仿宋_GB2312" w:eastAsia="仿宋_GB2312" w:cs="仿宋_GB2312"/>
          <w:sz w:val="28"/>
          <w:szCs w:val="28"/>
        </w:rPr>
      </w:pPr>
    </w:p>
    <w:p>
      <w:pPr>
        <w:rPr>
          <w:rFonts w:ascii="仿宋_GB2312" w:hAnsi="仿宋_GB2312" w:eastAsia="仿宋_GB2312" w:cs="仿宋_GB2312"/>
          <w:b/>
          <w:sz w:val="28"/>
          <w:szCs w:val="28"/>
        </w:rPr>
      </w:pPr>
    </w:p>
    <w:p>
      <w:pPr>
        <w:spacing w:line="360" w:lineRule="auto"/>
        <w:rPr>
          <w:rFonts w:ascii="仿宋_GB2312" w:hAnsi="仿宋_GB2312" w:eastAsia="仿宋_GB2312" w:cs="仿宋_GB2312"/>
          <w:color w:val="000000" w:themeColor="text1"/>
          <w14:textFill>
            <w14:solidFill>
              <w14:schemeClr w14:val="tx1"/>
            </w14:solidFill>
          </w14:textFill>
        </w:rPr>
      </w:pPr>
    </w:p>
    <w:sectPr>
      <w:pgSz w:w="11907" w:h="16840"/>
      <w:pgMar w:top="1588" w:right="1134" w:bottom="777" w:left="1134" w:header="737" w:footer="45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Calisto MT">
    <w:panose1 w:val="02040603050505030304"/>
    <w:charset w:val="00"/>
    <w:family w:val="roman"/>
    <w:pitch w:val="default"/>
    <w:sig w:usb0="00000003" w:usb1="00000000" w:usb2="00000000" w:usb3="00000000" w:csb0="20000001" w:csb1="00000000"/>
  </w:font>
  <w:font w:name="Helvetica">
    <w:altName w:val="Arial"/>
    <w:panose1 w:val="00000000000000000000"/>
    <w:charset w:val="00"/>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Batang">
    <w:altName w:val="Malgun Gothic"/>
    <w:panose1 w:val="02030600000101010101"/>
    <w:charset w:val="81"/>
    <w:family w:val="auto"/>
    <w:pitch w:val="default"/>
    <w:sig w:usb0="00000000" w:usb1="00000000" w:usb2="00000010" w:usb3="00000000" w:csb0="00080000"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9"/>
      </w:rPr>
    </w:pPr>
    <w:r>
      <w:fldChar w:fldCharType="begin"/>
    </w:r>
    <w:r>
      <w:rPr>
        <w:rStyle w:val="29"/>
      </w:rPr>
      <w:instrText xml:space="preserve">PAGE  </w:instrText>
    </w:r>
    <w:r>
      <w:fldChar w:fldCharType="separate"/>
    </w:r>
    <w:r>
      <w:rPr>
        <w:rStyle w:val="29"/>
      </w:rPr>
      <w:t>62</w:t>
    </w:r>
    <w: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A24CE9"/>
    <w:multiLevelType w:val="singleLevel"/>
    <w:tmpl w:val="B1A24CE9"/>
    <w:lvl w:ilvl="0" w:tentative="0">
      <w:start w:val="1"/>
      <w:numFmt w:val="decimal"/>
      <w:suff w:val="space"/>
      <w:lvlText w:val="%1."/>
      <w:lvlJc w:val="left"/>
    </w:lvl>
  </w:abstractNum>
  <w:abstractNum w:abstractNumId="1">
    <w:nsid w:val="00000005"/>
    <w:multiLevelType w:val="multilevel"/>
    <w:tmpl w:val="00000005"/>
    <w:lvl w:ilvl="0" w:tentative="0">
      <w:start w:val="1"/>
      <w:numFmt w:val="decimal"/>
      <w:lvlText w:val="（%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E01A0BA"/>
    <w:multiLevelType w:val="singleLevel"/>
    <w:tmpl w:val="3E01A0BA"/>
    <w:lvl w:ilvl="0" w:tentative="0">
      <w:start w:val="7"/>
      <w:numFmt w:val="chineseCounting"/>
      <w:suff w:val="nothing"/>
      <w:lvlText w:val="%1、"/>
      <w:lvlJc w:val="left"/>
      <w:rPr>
        <w:rFonts w:hint="eastAsia"/>
      </w:rPr>
    </w:lvl>
  </w:abstractNum>
  <w:abstractNum w:abstractNumId="3">
    <w:nsid w:val="534B5C71"/>
    <w:multiLevelType w:val="singleLevel"/>
    <w:tmpl w:val="534B5C71"/>
    <w:lvl w:ilvl="0" w:tentative="0">
      <w:start w:val="2"/>
      <w:numFmt w:val="decimal"/>
      <w:suff w:val="nothing"/>
      <w:lvlText w:val="%1、"/>
      <w:lvlJc w:val="left"/>
    </w:lvl>
  </w:abstractNum>
  <w:abstractNum w:abstractNumId="4">
    <w:nsid w:val="54643639"/>
    <w:multiLevelType w:val="multilevel"/>
    <w:tmpl w:val="5464363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EE"/>
    <w:rsid w:val="000079CF"/>
    <w:rsid w:val="00011065"/>
    <w:rsid w:val="00011596"/>
    <w:rsid w:val="00020929"/>
    <w:rsid w:val="0005005F"/>
    <w:rsid w:val="000515E7"/>
    <w:rsid w:val="00065463"/>
    <w:rsid w:val="00070A14"/>
    <w:rsid w:val="0008471F"/>
    <w:rsid w:val="00086CFD"/>
    <w:rsid w:val="000A13AA"/>
    <w:rsid w:val="000A3E96"/>
    <w:rsid w:val="000A57F5"/>
    <w:rsid w:val="000B027A"/>
    <w:rsid w:val="000C2600"/>
    <w:rsid w:val="000D1A87"/>
    <w:rsid w:val="000F152D"/>
    <w:rsid w:val="00112F68"/>
    <w:rsid w:val="00152973"/>
    <w:rsid w:val="001534C1"/>
    <w:rsid w:val="00172419"/>
    <w:rsid w:val="00172A27"/>
    <w:rsid w:val="00172A53"/>
    <w:rsid w:val="00185D8B"/>
    <w:rsid w:val="0019723B"/>
    <w:rsid w:val="001A0A3B"/>
    <w:rsid w:val="001B46FB"/>
    <w:rsid w:val="001B7434"/>
    <w:rsid w:val="001C7E07"/>
    <w:rsid w:val="001D7718"/>
    <w:rsid w:val="001E4E79"/>
    <w:rsid w:val="001F50A5"/>
    <w:rsid w:val="00203A7D"/>
    <w:rsid w:val="00205C86"/>
    <w:rsid w:val="002102A8"/>
    <w:rsid w:val="00240E60"/>
    <w:rsid w:val="00244CA0"/>
    <w:rsid w:val="00246A20"/>
    <w:rsid w:val="00286848"/>
    <w:rsid w:val="00292FA4"/>
    <w:rsid w:val="002A593C"/>
    <w:rsid w:val="002A67B5"/>
    <w:rsid w:val="002A7F2C"/>
    <w:rsid w:val="002B5F97"/>
    <w:rsid w:val="002D50D3"/>
    <w:rsid w:val="002F019E"/>
    <w:rsid w:val="002F14B3"/>
    <w:rsid w:val="0030761B"/>
    <w:rsid w:val="0031164B"/>
    <w:rsid w:val="00312AC0"/>
    <w:rsid w:val="00314552"/>
    <w:rsid w:val="00324D02"/>
    <w:rsid w:val="0032766F"/>
    <w:rsid w:val="0034544C"/>
    <w:rsid w:val="0034638C"/>
    <w:rsid w:val="0036121E"/>
    <w:rsid w:val="00370038"/>
    <w:rsid w:val="00384E03"/>
    <w:rsid w:val="00397825"/>
    <w:rsid w:val="003B63B6"/>
    <w:rsid w:val="003C0792"/>
    <w:rsid w:val="003C3FC7"/>
    <w:rsid w:val="003C480C"/>
    <w:rsid w:val="003E3598"/>
    <w:rsid w:val="003E3877"/>
    <w:rsid w:val="003E5C27"/>
    <w:rsid w:val="00404984"/>
    <w:rsid w:val="00447272"/>
    <w:rsid w:val="004478D9"/>
    <w:rsid w:val="00450C88"/>
    <w:rsid w:val="004611F4"/>
    <w:rsid w:val="004825A7"/>
    <w:rsid w:val="004936FD"/>
    <w:rsid w:val="004A5A27"/>
    <w:rsid w:val="004A5E8B"/>
    <w:rsid w:val="004B5AEF"/>
    <w:rsid w:val="004C157B"/>
    <w:rsid w:val="004C3D78"/>
    <w:rsid w:val="00517E2D"/>
    <w:rsid w:val="00530A9A"/>
    <w:rsid w:val="00540B22"/>
    <w:rsid w:val="00544C66"/>
    <w:rsid w:val="005531D2"/>
    <w:rsid w:val="00557266"/>
    <w:rsid w:val="00560E35"/>
    <w:rsid w:val="00563AA0"/>
    <w:rsid w:val="00587556"/>
    <w:rsid w:val="0059583B"/>
    <w:rsid w:val="005A2346"/>
    <w:rsid w:val="005A6D22"/>
    <w:rsid w:val="005D32E2"/>
    <w:rsid w:val="005E23CC"/>
    <w:rsid w:val="005F3213"/>
    <w:rsid w:val="005F56D2"/>
    <w:rsid w:val="005F77DF"/>
    <w:rsid w:val="00600CD0"/>
    <w:rsid w:val="006306AC"/>
    <w:rsid w:val="00636977"/>
    <w:rsid w:val="00637A9D"/>
    <w:rsid w:val="006408EC"/>
    <w:rsid w:val="00646229"/>
    <w:rsid w:val="00647504"/>
    <w:rsid w:val="00652BBC"/>
    <w:rsid w:val="006971ED"/>
    <w:rsid w:val="006975E7"/>
    <w:rsid w:val="006A4D3F"/>
    <w:rsid w:val="006D1512"/>
    <w:rsid w:val="006D6DAB"/>
    <w:rsid w:val="006D7AC4"/>
    <w:rsid w:val="006F3156"/>
    <w:rsid w:val="00705B0E"/>
    <w:rsid w:val="007118CE"/>
    <w:rsid w:val="00715D2B"/>
    <w:rsid w:val="0072210D"/>
    <w:rsid w:val="00745BC9"/>
    <w:rsid w:val="00750726"/>
    <w:rsid w:val="007638FC"/>
    <w:rsid w:val="00764A71"/>
    <w:rsid w:val="00770348"/>
    <w:rsid w:val="007925E4"/>
    <w:rsid w:val="0079313B"/>
    <w:rsid w:val="007A0033"/>
    <w:rsid w:val="007C3FA2"/>
    <w:rsid w:val="007C75C0"/>
    <w:rsid w:val="007D3156"/>
    <w:rsid w:val="007F08E2"/>
    <w:rsid w:val="007F564C"/>
    <w:rsid w:val="00801F50"/>
    <w:rsid w:val="0081783B"/>
    <w:rsid w:val="00820CD2"/>
    <w:rsid w:val="00823242"/>
    <w:rsid w:val="008272D1"/>
    <w:rsid w:val="00867693"/>
    <w:rsid w:val="00872D60"/>
    <w:rsid w:val="00885E56"/>
    <w:rsid w:val="008964EA"/>
    <w:rsid w:val="008C320E"/>
    <w:rsid w:val="008C7BDA"/>
    <w:rsid w:val="008D5038"/>
    <w:rsid w:val="008E44D5"/>
    <w:rsid w:val="00904E6B"/>
    <w:rsid w:val="00915BAD"/>
    <w:rsid w:val="00955335"/>
    <w:rsid w:val="00966CC3"/>
    <w:rsid w:val="00972E33"/>
    <w:rsid w:val="009758CD"/>
    <w:rsid w:val="0099130A"/>
    <w:rsid w:val="00994C2F"/>
    <w:rsid w:val="009A2081"/>
    <w:rsid w:val="009A775D"/>
    <w:rsid w:val="009B0212"/>
    <w:rsid w:val="009C4632"/>
    <w:rsid w:val="009C4CB3"/>
    <w:rsid w:val="009E0FCB"/>
    <w:rsid w:val="00A1208A"/>
    <w:rsid w:val="00A16973"/>
    <w:rsid w:val="00A2579E"/>
    <w:rsid w:val="00A376F5"/>
    <w:rsid w:val="00A379D3"/>
    <w:rsid w:val="00A52811"/>
    <w:rsid w:val="00A52E65"/>
    <w:rsid w:val="00A70F57"/>
    <w:rsid w:val="00A805F8"/>
    <w:rsid w:val="00A812B5"/>
    <w:rsid w:val="00A87ABF"/>
    <w:rsid w:val="00AA61FE"/>
    <w:rsid w:val="00AB537F"/>
    <w:rsid w:val="00AB6450"/>
    <w:rsid w:val="00AC3C65"/>
    <w:rsid w:val="00AC45B0"/>
    <w:rsid w:val="00AD391A"/>
    <w:rsid w:val="00AF13A7"/>
    <w:rsid w:val="00AF5558"/>
    <w:rsid w:val="00B01D8D"/>
    <w:rsid w:val="00B11CD6"/>
    <w:rsid w:val="00B26C49"/>
    <w:rsid w:val="00B305F6"/>
    <w:rsid w:val="00B471FC"/>
    <w:rsid w:val="00B534FE"/>
    <w:rsid w:val="00B53694"/>
    <w:rsid w:val="00B53744"/>
    <w:rsid w:val="00B82CC1"/>
    <w:rsid w:val="00B836C9"/>
    <w:rsid w:val="00B94078"/>
    <w:rsid w:val="00B95395"/>
    <w:rsid w:val="00B95FC1"/>
    <w:rsid w:val="00BA7B0B"/>
    <w:rsid w:val="00BB0045"/>
    <w:rsid w:val="00BC682A"/>
    <w:rsid w:val="00BE2676"/>
    <w:rsid w:val="00BE4079"/>
    <w:rsid w:val="00BE60ED"/>
    <w:rsid w:val="00C17654"/>
    <w:rsid w:val="00C25465"/>
    <w:rsid w:val="00C27AFB"/>
    <w:rsid w:val="00C31CC4"/>
    <w:rsid w:val="00C37FE6"/>
    <w:rsid w:val="00C411BB"/>
    <w:rsid w:val="00C63708"/>
    <w:rsid w:val="00C65C92"/>
    <w:rsid w:val="00C755A9"/>
    <w:rsid w:val="00C82DDE"/>
    <w:rsid w:val="00C86280"/>
    <w:rsid w:val="00CA5F84"/>
    <w:rsid w:val="00CA7497"/>
    <w:rsid w:val="00CC225A"/>
    <w:rsid w:val="00CE5B0A"/>
    <w:rsid w:val="00CF1C26"/>
    <w:rsid w:val="00CF1DC7"/>
    <w:rsid w:val="00CF5F0A"/>
    <w:rsid w:val="00CF78A1"/>
    <w:rsid w:val="00D14894"/>
    <w:rsid w:val="00D25D0E"/>
    <w:rsid w:val="00D47091"/>
    <w:rsid w:val="00D72C49"/>
    <w:rsid w:val="00D75EC4"/>
    <w:rsid w:val="00D80AD4"/>
    <w:rsid w:val="00D914F2"/>
    <w:rsid w:val="00D9178F"/>
    <w:rsid w:val="00D96A31"/>
    <w:rsid w:val="00DB441C"/>
    <w:rsid w:val="00DD4847"/>
    <w:rsid w:val="00DD72A4"/>
    <w:rsid w:val="00DE5743"/>
    <w:rsid w:val="00E11CE2"/>
    <w:rsid w:val="00E278C2"/>
    <w:rsid w:val="00E54DAE"/>
    <w:rsid w:val="00E56091"/>
    <w:rsid w:val="00E62A7E"/>
    <w:rsid w:val="00E63140"/>
    <w:rsid w:val="00E66013"/>
    <w:rsid w:val="00E71B6B"/>
    <w:rsid w:val="00E754CB"/>
    <w:rsid w:val="00E81641"/>
    <w:rsid w:val="00E9180A"/>
    <w:rsid w:val="00EA24A8"/>
    <w:rsid w:val="00EA4A68"/>
    <w:rsid w:val="00EC4B09"/>
    <w:rsid w:val="00ED7028"/>
    <w:rsid w:val="00EF3342"/>
    <w:rsid w:val="00F028A1"/>
    <w:rsid w:val="00F12B8C"/>
    <w:rsid w:val="00F173C4"/>
    <w:rsid w:val="00F24CC5"/>
    <w:rsid w:val="00F4362A"/>
    <w:rsid w:val="00F47FEF"/>
    <w:rsid w:val="00F5254D"/>
    <w:rsid w:val="00F52946"/>
    <w:rsid w:val="00F530B4"/>
    <w:rsid w:val="00F5383D"/>
    <w:rsid w:val="00F61368"/>
    <w:rsid w:val="00F66C48"/>
    <w:rsid w:val="00F77235"/>
    <w:rsid w:val="00F90824"/>
    <w:rsid w:val="00F951A5"/>
    <w:rsid w:val="00FB51EC"/>
    <w:rsid w:val="00FB77FC"/>
    <w:rsid w:val="00FD29F6"/>
    <w:rsid w:val="00FD5444"/>
    <w:rsid w:val="012E34F5"/>
    <w:rsid w:val="014823BB"/>
    <w:rsid w:val="022420B7"/>
    <w:rsid w:val="024750BF"/>
    <w:rsid w:val="0299087B"/>
    <w:rsid w:val="02BC355D"/>
    <w:rsid w:val="02D42DE9"/>
    <w:rsid w:val="03150DFB"/>
    <w:rsid w:val="03232CF9"/>
    <w:rsid w:val="032B1AF3"/>
    <w:rsid w:val="03BA3351"/>
    <w:rsid w:val="04064D1D"/>
    <w:rsid w:val="04363CB8"/>
    <w:rsid w:val="043F7F1A"/>
    <w:rsid w:val="0510733D"/>
    <w:rsid w:val="05374EDC"/>
    <w:rsid w:val="05D639A0"/>
    <w:rsid w:val="06074938"/>
    <w:rsid w:val="06184390"/>
    <w:rsid w:val="061D2F62"/>
    <w:rsid w:val="062521F9"/>
    <w:rsid w:val="065E0FFD"/>
    <w:rsid w:val="067A40B5"/>
    <w:rsid w:val="067A6568"/>
    <w:rsid w:val="06C1268B"/>
    <w:rsid w:val="06EE5866"/>
    <w:rsid w:val="075E1FC2"/>
    <w:rsid w:val="07692963"/>
    <w:rsid w:val="076A4B98"/>
    <w:rsid w:val="07D5038E"/>
    <w:rsid w:val="080F3EAA"/>
    <w:rsid w:val="082F2E81"/>
    <w:rsid w:val="08B87A9D"/>
    <w:rsid w:val="09291EF6"/>
    <w:rsid w:val="09622882"/>
    <w:rsid w:val="09AD1940"/>
    <w:rsid w:val="0A30285C"/>
    <w:rsid w:val="0A3562AE"/>
    <w:rsid w:val="0A383E43"/>
    <w:rsid w:val="0A617500"/>
    <w:rsid w:val="0ACC50F7"/>
    <w:rsid w:val="0B050A8A"/>
    <w:rsid w:val="0B1F42B5"/>
    <w:rsid w:val="0B340A9E"/>
    <w:rsid w:val="0B9F331C"/>
    <w:rsid w:val="0BBB692A"/>
    <w:rsid w:val="0BE9582F"/>
    <w:rsid w:val="0C2E7D01"/>
    <w:rsid w:val="0C463FA6"/>
    <w:rsid w:val="0C711BC0"/>
    <w:rsid w:val="0CC87A8B"/>
    <w:rsid w:val="0CF74D52"/>
    <w:rsid w:val="0D6874AB"/>
    <w:rsid w:val="0DB90F0B"/>
    <w:rsid w:val="0DFD0446"/>
    <w:rsid w:val="0DFD66B2"/>
    <w:rsid w:val="0E0F3BF8"/>
    <w:rsid w:val="0E1337C7"/>
    <w:rsid w:val="0F1D46D8"/>
    <w:rsid w:val="0F3D0BE6"/>
    <w:rsid w:val="0F7162B4"/>
    <w:rsid w:val="0F772B35"/>
    <w:rsid w:val="0F7E6DC5"/>
    <w:rsid w:val="0F8D2BF4"/>
    <w:rsid w:val="0FBB61E5"/>
    <w:rsid w:val="0FDB7213"/>
    <w:rsid w:val="10177789"/>
    <w:rsid w:val="10260233"/>
    <w:rsid w:val="10924C55"/>
    <w:rsid w:val="10B87739"/>
    <w:rsid w:val="112F644B"/>
    <w:rsid w:val="114A3CB9"/>
    <w:rsid w:val="114F75DA"/>
    <w:rsid w:val="11FC1C14"/>
    <w:rsid w:val="1277743D"/>
    <w:rsid w:val="127901C8"/>
    <w:rsid w:val="1294198A"/>
    <w:rsid w:val="12C324B8"/>
    <w:rsid w:val="12E10746"/>
    <w:rsid w:val="13132F2D"/>
    <w:rsid w:val="13914C3C"/>
    <w:rsid w:val="13B937B9"/>
    <w:rsid w:val="13BF21F2"/>
    <w:rsid w:val="13F22A03"/>
    <w:rsid w:val="13F50A7D"/>
    <w:rsid w:val="143D4D98"/>
    <w:rsid w:val="14A61F66"/>
    <w:rsid w:val="14B25586"/>
    <w:rsid w:val="15492FFF"/>
    <w:rsid w:val="15CC38D5"/>
    <w:rsid w:val="15CD3476"/>
    <w:rsid w:val="15FA196A"/>
    <w:rsid w:val="1647739D"/>
    <w:rsid w:val="16513AC9"/>
    <w:rsid w:val="166170A0"/>
    <w:rsid w:val="16A1745B"/>
    <w:rsid w:val="16B01CF2"/>
    <w:rsid w:val="170A6CB4"/>
    <w:rsid w:val="17714284"/>
    <w:rsid w:val="178135B4"/>
    <w:rsid w:val="179528E9"/>
    <w:rsid w:val="17970C84"/>
    <w:rsid w:val="17996079"/>
    <w:rsid w:val="17A226FC"/>
    <w:rsid w:val="17C5460C"/>
    <w:rsid w:val="17CE1F19"/>
    <w:rsid w:val="181E7A81"/>
    <w:rsid w:val="188134D6"/>
    <w:rsid w:val="188C370D"/>
    <w:rsid w:val="1899772D"/>
    <w:rsid w:val="18DC70B4"/>
    <w:rsid w:val="190A4E88"/>
    <w:rsid w:val="191E4128"/>
    <w:rsid w:val="1954064E"/>
    <w:rsid w:val="19571D9C"/>
    <w:rsid w:val="19D05A8B"/>
    <w:rsid w:val="1A3710F6"/>
    <w:rsid w:val="1A7E356C"/>
    <w:rsid w:val="1A8721F5"/>
    <w:rsid w:val="1AC45552"/>
    <w:rsid w:val="1AE60EAE"/>
    <w:rsid w:val="1AF5042A"/>
    <w:rsid w:val="1B4D1B97"/>
    <w:rsid w:val="1B8056AC"/>
    <w:rsid w:val="1B8E6B92"/>
    <w:rsid w:val="1BA72913"/>
    <w:rsid w:val="1BB17A2E"/>
    <w:rsid w:val="1BCB2D28"/>
    <w:rsid w:val="1BE674E7"/>
    <w:rsid w:val="1BFE7DE8"/>
    <w:rsid w:val="1C977A34"/>
    <w:rsid w:val="1CF54011"/>
    <w:rsid w:val="1D285155"/>
    <w:rsid w:val="1DF66AC1"/>
    <w:rsid w:val="1E1C41C5"/>
    <w:rsid w:val="1E320401"/>
    <w:rsid w:val="1E551634"/>
    <w:rsid w:val="1E6D287C"/>
    <w:rsid w:val="1E9010A6"/>
    <w:rsid w:val="1E9A1674"/>
    <w:rsid w:val="1EBA1F0A"/>
    <w:rsid w:val="1EDB762C"/>
    <w:rsid w:val="1F01615E"/>
    <w:rsid w:val="1F3C19CE"/>
    <w:rsid w:val="1F757BD8"/>
    <w:rsid w:val="1F883247"/>
    <w:rsid w:val="1FC870A5"/>
    <w:rsid w:val="1FD65D99"/>
    <w:rsid w:val="20033655"/>
    <w:rsid w:val="201A4AF0"/>
    <w:rsid w:val="203B5BFD"/>
    <w:rsid w:val="20A73BEE"/>
    <w:rsid w:val="21124B31"/>
    <w:rsid w:val="21E143E7"/>
    <w:rsid w:val="223808A8"/>
    <w:rsid w:val="22DA0C8B"/>
    <w:rsid w:val="22DC098B"/>
    <w:rsid w:val="22E36FAC"/>
    <w:rsid w:val="22FD55F0"/>
    <w:rsid w:val="231764CD"/>
    <w:rsid w:val="238B6C86"/>
    <w:rsid w:val="23A320D1"/>
    <w:rsid w:val="23B02E75"/>
    <w:rsid w:val="23D96CE5"/>
    <w:rsid w:val="2423792A"/>
    <w:rsid w:val="244D0BF5"/>
    <w:rsid w:val="245F4DC2"/>
    <w:rsid w:val="249202DF"/>
    <w:rsid w:val="249C7546"/>
    <w:rsid w:val="24B11CC1"/>
    <w:rsid w:val="24DC3265"/>
    <w:rsid w:val="251C1370"/>
    <w:rsid w:val="254F010E"/>
    <w:rsid w:val="25810886"/>
    <w:rsid w:val="258D1FDA"/>
    <w:rsid w:val="25B61A40"/>
    <w:rsid w:val="25BE4E27"/>
    <w:rsid w:val="25CD1194"/>
    <w:rsid w:val="25E074A4"/>
    <w:rsid w:val="26793EF2"/>
    <w:rsid w:val="267C7AEA"/>
    <w:rsid w:val="26A63658"/>
    <w:rsid w:val="26D017B1"/>
    <w:rsid w:val="26F06D2C"/>
    <w:rsid w:val="26F7456D"/>
    <w:rsid w:val="272A498F"/>
    <w:rsid w:val="27721396"/>
    <w:rsid w:val="27766AC0"/>
    <w:rsid w:val="28577658"/>
    <w:rsid w:val="28725E93"/>
    <w:rsid w:val="287A4275"/>
    <w:rsid w:val="2941556B"/>
    <w:rsid w:val="294709D8"/>
    <w:rsid w:val="294A330B"/>
    <w:rsid w:val="299E486A"/>
    <w:rsid w:val="2A0B3381"/>
    <w:rsid w:val="2A3854D0"/>
    <w:rsid w:val="2AB11815"/>
    <w:rsid w:val="2AD03CF4"/>
    <w:rsid w:val="2AEC3FBF"/>
    <w:rsid w:val="2B151CEE"/>
    <w:rsid w:val="2B1A155A"/>
    <w:rsid w:val="2B226974"/>
    <w:rsid w:val="2B297D27"/>
    <w:rsid w:val="2B3B4EBC"/>
    <w:rsid w:val="2BC61EA8"/>
    <w:rsid w:val="2BDB4A33"/>
    <w:rsid w:val="2BEE6B6A"/>
    <w:rsid w:val="2C3F36A7"/>
    <w:rsid w:val="2C6D3961"/>
    <w:rsid w:val="2CA21AB6"/>
    <w:rsid w:val="2D85445D"/>
    <w:rsid w:val="2DA00C9D"/>
    <w:rsid w:val="2DA5008E"/>
    <w:rsid w:val="2DB70C3A"/>
    <w:rsid w:val="2DBB535B"/>
    <w:rsid w:val="2DDD3AA0"/>
    <w:rsid w:val="2E0F417B"/>
    <w:rsid w:val="2E37772E"/>
    <w:rsid w:val="2F361022"/>
    <w:rsid w:val="2F5517BE"/>
    <w:rsid w:val="2F561C30"/>
    <w:rsid w:val="2F643127"/>
    <w:rsid w:val="2FC668A9"/>
    <w:rsid w:val="30200388"/>
    <w:rsid w:val="302F07D9"/>
    <w:rsid w:val="30394FB3"/>
    <w:rsid w:val="30743C22"/>
    <w:rsid w:val="30B70620"/>
    <w:rsid w:val="31250E90"/>
    <w:rsid w:val="312912E9"/>
    <w:rsid w:val="31B40132"/>
    <w:rsid w:val="31DA5F72"/>
    <w:rsid w:val="31EF74FF"/>
    <w:rsid w:val="32336B98"/>
    <w:rsid w:val="32602A86"/>
    <w:rsid w:val="328910EF"/>
    <w:rsid w:val="32A2020C"/>
    <w:rsid w:val="32CB61F7"/>
    <w:rsid w:val="32DE1F01"/>
    <w:rsid w:val="32E2048C"/>
    <w:rsid w:val="3328107B"/>
    <w:rsid w:val="33300E01"/>
    <w:rsid w:val="33441425"/>
    <w:rsid w:val="33507123"/>
    <w:rsid w:val="3374323B"/>
    <w:rsid w:val="33864FEF"/>
    <w:rsid w:val="33CB74FA"/>
    <w:rsid w:val="33CF4439"/>
    <w:rsid w:val="33D042D4"/>
    <w:rsid w:val="33F04B8D"/>
    <w:rsid w:val="33FA6615"/>
    <w:rsid w:val="34335195"/>
    <w:rsid w:val="35364CD1"/>
    <w:rsid w:val="356C3C45"/>
    <w:rsid w:val="35740C40"/>
    <w:rsid w:val="35762B9E"/>
    <w:rsid w:val="3577560A"/>
    <w:rsid w:val="35AF6AAB"/>
    <w:rsid w:val="35EA010B"/>
    <w:rsid w:val="35FC5532"/>
    <w:rsid w:val="3607552E"/>
    <w:rsid w:val="366D0E58"/>
    <w:rsid w:val="36C50425"/>
    <w:rsid w:val="36F8572D"/>
    <w:rsid w:val="37196D72"/>
    <w:rsid w:val="37BE0532"/>
    <w:rsid w:val="37BF72F1"/>
    <w:rsid w:val="37F67659"/>
    <w:rsid w:val="38725AAB"/>
    <w:rsid w:val="38E44A26"/>
    <w:rsid w:val="39A360B5"/>
    <w:rsid w:val="39A72E49"/>
    <w:rsid w:val="39F3452A"/>
    <w:rsid w:val="3A994F5D"/>
    <w:rsid w:val="3ACE0F64"/>
    <w:rsid w:val="3CBD3362"/>
    <w:rsid w:val="3D06389C"/>
    <w:rsid w:val="3D8D78AB"/>
    <w:rsid w:val="3DFA634B"/>
    <w:rsid w:val="3E484EBC"/>
    <w:rsid w:val="3E750DB1"/>
    <w:rsid w:val="3EC14C0B"/>
    <w:rsid w:val="3EC447DC"/>
    <w:rsid w:val="3EC9544A"/>
    <w:rsid w:val="3ECC4C27"/>
    <w:rsid w:val="3EE64B48"/>
    <w:rsid w:val="3EF6468E"/>
    <w:rsid w:val="3EFF01CA"/>
    <w:rsid w:val="3F052CF0"/>
    <w:rsid w:val="3F1055A1"/>
    <w:rsid w:val="3F417377"/>
    <w:rsid w:val="3F722248"/>
    <w:rsid w:val="3F7237A4"/>
    <w:rsid w:val="3FB41729"/>
    <w:rsid w:val="3FE82528"/>
    <w:rsid w:val="40003437"/>
    <w:rsid w:val="406E3C22"/>
    <w:rsid w:val="408054C9"/>
    <w:rsid w:val="408F6EA5"/>
    <w:rsid w:val="40A4535A"/>
    <w:rsid w:val="40A72286"/>
    <w:rsid w:val="40BE6E98"/>
    <w:rsid w:val="40F604DF"/>
    <w:rsid w:val="419D6AB5"/>
    <w:rsid w:val="420E181F"/>
    <w:rsid w:val="426555B7"/>
    <w:rsid w:val="431B75F7"/>
    <w:rsid w:val="4330314B"/>
    <w:rsid w:val="43615785"/>
    <w:rsid w:val="43843854"/>
    <w:rsid w:val="44036D80"/>
    <w:rsid w:val="441B4010"/>
    <w:rsid w:val="44C2497D"/>
    <w:rsid w:val="44C537DD"/>
    <w:rsid w:val="44E55C94"/>
    <w:rsid w:val="44E64D18"/>
    <w:rsid w:val="44FC58B9"/>
    <w:rsid w:val="45153273"/>
    <w:rsid w:val="4572171E"/>
    <w:rsid w:val="45870A53"/>
    <w:rsid w:val="459A600B"/>
    <w:rsid w:val="462D7BF7"/>
    <w:rsid w:val="46380B40"/>
    <w:rsid w:val="46D81947"/>
    <w:rsid w:val="47287A4D"/>
    <w:rsid w:val="473811AA"/>
    <w:rsid w:val="47C502CB"/>
    <w:rsid w:val="48592665"/>
    <w:rsid w:val="48642A29"/>
    <w:rsid w:val="48667E54"/>
    <w:rsid w:val="48AC05C9"/>
    <w:rsid w:val="48AE781C"/>
    <w:rsid w:val="48B57713"/>
    <w:rsid w:val="490E47E8"/>
    <w:rsid w:val="49307A8A"/>
    <w:rsid w:val="4934502A"/>
    <w:rsid w:val="494C0309"/>
    <w:rsid w:val="495C24F0"/>
    <w:rsid w:val="495C61BB"/>
    <w:rsid w:val="49B7179D"/>
    <w:rsid w:val="49D14436"/>
    <w:rsid w:val="49E33F82"/>
    <w:rsid w:val="4A46542F"/>
    <w:rsid w:val="4A871E58"/>
    <w:rsid w:val="4A9956F2"/>
    <w:rsid w:val="4A9B6094"/>
    <w:rsid w:val="4AC27F00"/>
    <w:rsid w:val="4AC35735"/>
    <w:rsid w:val="4ADA3337"/>
    <w:rsid w:val="4B301A62"/>
    <w:rsid w:val="4B3A1648"/>
    <w:rsid w:val="4BF45C61"/>
    <w:rsid w:val="4BFC5041"/>
    <w:rsid w:val="4C184D93"/>
    <w:rsid w:val="4CBE2078"/>
    <w:rsid w:val="4D3A663E"/>
    <w:rsid w:val="4D5717A2"/>
    <w:rsid w:val="4D9D1672"/>
    <w:rsid w:val="4DA20E61"/>
    <w:rsid w:val="4DA81AD2"/>
    <w:rsid w:val="4DC67D60"/>
    <w:rsid w:val="4E1D1C12"/>
    <w:rsid w:val="4E457B53"/>
    <w:rsid w:val="4E4F55C3"/>
    <w:rsid w:val="4E510AB2"/>
    <w:rsid w:val="4E874A52"/>
    <w:rsid w:val="4E9E28BF"/>
    <w:rsid w:val="4EDE5A88"/>
    <w:rsid w:val="4EE419FD"/>
    <w:rsid w:val="4EFF3703"/>
    <w:rsid w:val="4F195BFB"/>
    <w:rsid w:val="4FD44D4B"/>
    <w:rsid w:val="5029698E"/>
    <w:rsid w:val="503C19ED"/>
    <w:rsid w:val="505E7BCC"/>
    <w:rsid w:val="50A83902"/>
    <w:rsid w:val="50C454CA"/>
    <w:rsid w:val="50EA6645"/>
    <w:rsid w:val="51186119"/>
    <w:rsid w:val="519E0FB1"/>
    <w:rsid w:val="51F76E27"/>
    <w:rsid w:val="51F91CC1"/>
    <w:rsid w:val="52012047"/>
    <w:rsid w:val="52300616"/>
    <w:rsid w:val="52376571"/>
    <w:rsid w:val="526925C3"/>
    <w:rsid w:val="53320D06"/>
    <w:rsid w:val="533E3E90"/>
    <w:rsid w:val="535A60EC"/>
    <w:rsid w:val="53934065"/>
    <w:rsid w:val="53A67A8A"/>
    <w:rsid w:val="53B426FB"/>
    <w:rsid w:val="53D16D08"/>
    <w:rsid w:val="53D93C8B"/>
    <w:rsid w:val="54044BD4"/>
    <w:rsid w:val="540575FA"/>
    <w:rsid w:val="54312A2C"/>
    <w:rsid w:val="54444519"/>
    <w:rsid w:val="544A2B18"/>
    <w:rsid w:val="54900C9C"/>
    <w:rsid w:val="554F0C14"/>
    <w:rsid w:val="55731A6B"/>
    <w:rsid w:val="558C0B67"/>
    <w:rsid w:val="55F7169A"/>
    <w:rsid w:val="5601132A"/>
    <w:rsid w:val="565A053D"/>
    <w:rsid w:val="568E76F5"/>
    <w:rsid w:val="56981DF1"/>
    <w:rsid w:val="56A34C8A"/>
    <w:rsid w:val="56B15172"/>
    <w:rsid w:val="56D36ED8"/>
    <w:rsid w:val="57210157"/>
    <w:rsid w:val="57425EAF"/>
    <w:rsid w:val="574511BD"/>
    <w:rsid w:val="57695D9E"/>
    <w:rsid w:val="57C80D89"/>
    <w:rsid w:val="57EF3BD4"/>
    <w:rsid w:val="58020897"/>
    <w:rsid w:val="585119F6"/>
    <w:rsid w:val="5860153C"/>
    <w:rsid w:val="58686ACC"/>
    <w:rsid w:val="58944362"/>
    <w:rsid w:val="58955C07"/>
    <w:rsid w:val="58C168D9"/>
    <w:rsid w:val="58E05C65"/>
    <w:rsid w:val="59595FA5"/>
    <w:rsid w:val="59645E7F"/>
    <w:rsid w:val="59803074"/>
    <w:rsid w:val="59963943"/>
    <w:rsid w:val="5A2D6EF7"/>
    <w:rsid w:val="5A6125D9"/>
    <w:rsid w:val="5A637F6F"/>
    <w:rsid w:val="5A697E29"/>
    <w:rsid w:val="5A851453"/>
    <w:rsid w:val="5A8706FD"/>
    <w:rsid w:val="5AAD49D1"/>
    <w:rsid w:val="5AD0413C"/>
    <w:rsid w:val="5AE87E46"/>
    <w:rsid w:val="5B207260"/>
    <w:rsid w:val="5B2D13A4"/>
    <w:rsid w:val="5B3679D3"/>
    <w:rsid w:val="5B7716B5"/>
    <w:rsid w:val="5B8512A3"/>
    <w:rsid w:val="5BCC14BE"/>
    <w:rsid w:val="5BDA5B74"/>
    <w:rsid w:val="5C160471"/>
    <w:rsid w:val="5C595A94"/>
    <w:rsid w:val="5CA37380"/>
    <w:rsid w:val="5CC473DF"/>
    <w:rsid w:val="5CFA32EA"/>
    <w:rsid w:val="5D3B7C8D"/>
    <w:rsid w:val="5D661071"/>
    <w:rsid w:val="5DA4714C"/>
    <w:rsid w:val="5DDD322E"/>
    <w:rsid w:val="5DF857A5"/>
    <w:rsid w:val="5E0A19C6"/>
    <w:rsid w:val="5E0E15C9"/>
    <w:rsid w:val="5E0F2942"/>
    <w:rsid w:val="5E113BD7"/>
    <w:rsid w:val="5E1E260B"/>
    <w:rsid w:val="5E3E2F94"/>
    <w:rsid w:val="5E5F6093"/>
    <w:rsid w:val="5F0465A0"/>
    <w:rsid w:val="5F341D22"/>
    <w:rsid w:val="5FBD491E"/>
    <w:rsid w:val="5FBF6E8F"/>
    <w:rsid w:val="602F0457"/>
    <w:rsid w:val="60521EE4"/>
    <w:rsid w:val="60562E9D"/>
    <w:rsid w:val="60D03B68"/>
    <w:rsid w:val="60F02D21"/>
    <w:rsid w:val="610752A0"/>
    <w:rsid w:val="615715A7"/>
    <w:rsid w:val="61CD43BE"/>
    <w:rsid w:val="61E5281B"/>
    <w:rsid w:val="620223B3"/>
    <w:rsid w:val="62283ED1"/>
    <w:rsid w:val="627A438E"/>
    <w:rsid w:val="6315039E"/>
    <w:rsid w:val="632F0F3D"/>
    <w:rsid w:val="634A3DF3"/>
    <w:rsid w:val="6384661E"/>
    <w:rsid w:val="63857B8B"/>
    <w:rsid w:val="63C23537"/>
    <w:rsid w:val="63FA176A"/>
    <w:rsid w:val="6438493D"/>
    <w:rsid w:val="644E4B1D"/>
    <w:rsid w:val="64917820"/>
    <w:rsid w:val="649A4F9D"/>
    <w:rsid w:val="64F8040F"/>
    <w:rsid w:val="64FB7A77"/>
    <w:rsid w:val="65203175"/>
    <w:rsid w:val="6563000D"/>
    <w:rsid w:val="65636BE4"/>
    <w:rsid w:val="6598698C"/>
    <w:rsid w:val="65CA79BA"/>
    <w:rsid w:val="66422F2C"/>
    <w:rsid w:val="664E0DD2"/>
    <w:rsid w:val="668C4567"/>
    <w:rsid w:val="66B60451"/>
    <w:rsid w:val="6743294A"/>
    <w:rsid w:val="675D7E8D"/>
    <w:rsid w:val="6775534A"/>
    <w:rsid w:val="677819FE"/>
    <w:rsid w:val="67BD75E6"/>
    <w:rsid w:val="67D347C8"/>
    <w:rsid w:val="67DD3A75"/>
    <w:rsid w:val="68075293"/>
    <w:rsid w:val="680A1FEC"/>
    <w:rsid w:val="68F31C0B"/>
    <w:rsid w:val="68F97A77"/>
    <w:rsid w:val="697A4D18"/>
    <w:rsid w:val="698F6CBE"/>
    <w:rsid w:val="69A964B3"/>
    <w:rsid w:val="69AE4B5A"/>
    <w:rsid w:val="69BB72C5"/>
    <w:rsid w:val="6A7A4B68"/>
    <w:rsid w:val="6AA91308"/>
    <w:rsid w:val="6AAB280F"/>
    <w:rsid w:val="6AF60551"/>
    <w:rsid w:val="6B170353"/>
    <w:rsid w:val="6BC2589C"/>
    <w:rsid w:val="6BFB74DF"/>
    <w:rsid w:val="6C397A8B"/>
    <w:rsid w:val="6C3C5BF4"/>
    <w:rsid w:val="6C544E4B"/>
    <w:rsid w:val="6C70442C"/>
    <w:rsid w:val="6C763E1A"/>
    <w:rsid w:val="6CA155C4"/>
    <w:rsid w:val="6CFE1134"/>
    <w:rsid w:val="6D2D712A"/>
    <w:rsid w:val="6D396CA7"/>
    <w:rsid w:val="6D3E6C35"/>
    <w:rsid w:val="6D58117B"/>
    <w:rsid w:val="6D635AD2"/>
    <w:rsid w:val="6D6B4A8D"/>
    <w:rsid w:val="6D8B60AE"/>
    <w:rsid w:val="6E0B164A"/>
    <w:rsid w:val="6E2C6FF7"/>
    <w:rsid w:val="6E442175"/>
    <w:rsid w:val="6E9437BA"/>
    <w:rsid w:val="6EB7625F"/>
    <w:rsid w:val="6EBA48D5"/>
    <w:rsid w:val="6ED8535C"/>
    <w:rsid w:val="6EFC1923"/>
    <w:rsid w:val="6F051FC4"/>
    <w:rsid w:val="6F286159"/>
    <w:rsid w:val="6F54759B"/>
    <w:rsid w:val="6F902AE9"/>
    <w:rsid w:val="6F993367"/>
    <w:rsid w:val="6FEE1099"/>
    <w:rsid w:val="70172A4B"/>
    <w:rsid w:val="701F44A1"/>
    <w:rsid w:val="7021032F"/>
    <w:rsid w:val="703321F1"/>
    <w:rsid w:val="70497EFC"/>
    <w:rsid w:val="704E65C5"/>
    <w:rsid w:val="70810D43"/>
    <w:rsid w:val="7087626F"/>
    <w:rsid w:val="709C22F9"/>
    <w:rsid w:val="71296607"/>
    <w:rsid w:val="71717EE6"/>
    <w:rsid w:val="71DA5F30"/>
    <w:rsid w:val="71E338E5"/>
    <w:rsid w:val="72134883"/>
    <w:rsid w:val="722559B9"/>
    <w:rsid w:val="72A165FF"/>
    <w:rsid w:val="72AC447E"/>
    <w:rsid w:val="72CB08EA"/>
    <w:rsid w:val="72D21620"/>
    <w:rsid w:val="730E55D1"/>
    <w:rsid w:val="731457BB"/>
    <w:rsid w:val="73432D65"/>
    <w:rsid w:val="7363616C"/>
    <w:rsid w:val="73A264B8"/>
    <w:rsid w:val="73D46512"/>
    <w:rsid w:val="73E97FC3"/>
    <w:rsid w:val="741C195F"/>
    <w:rsid w:val="742C1014"/>
    <w:rsid w:val="743967F0"/>
    <w:rsid w:val="74D65680"/>
    <w:rsid w:val="74DA1257"/>
    <w:rsid w:val="75531E54"/>
    <w:rsid w:val="759809C3"/>
    <w:rsid w:val="759B6003"/>
    <w:rsid w:val="75AA6ADF"/>
    <w:rsid w:val="75C46DCF"/>
    <w:rsid w:val="75CD3A2D"/>
    <w:rsid w:val="75D20D62"/>
    <w:rsid w:val="764F64BE"/>
    <w:rsid w:val="76740D50"/>
    <w:rsid w:val="769F210F"/>
    <w:rsid w:val="76B923B7"/>
    <w:rsid w:val="76C422E0"/>
    <w:rsid w:val="772603A8"/>
    <w:rsid w:val="77273846"/>
    <w:rsid w:val="773471D0"/>
    <w:rsid w:val="776D38FC"/>
    <w:rsid w:val="776E32D5"/>
    <w:rsid w:val="7776476A"/>
    <w:rsid w:val="779C3ECB"/>
    <w:rsid w:val="781D3464"/>
    <w:rsid w:val="783F1E6B"/>
    <w:rsid w:val="78452B7C"/>
    <w:rsid w:val="784D3FE2"/>
    <w:rsid w:val="785B132D"/>
    <w:rsid w:val="7872231A"/>
    <w:rsid w:val="788C7D36"/>
    <w:rsid w:val="78CE4F42"/>
    <w:rsid w:val="78DF7B6C"/>
    <w:rsid w:val="78FD367E"/>
    <w:rsid w:val="792249A7"/>
    <w:rsid w:val="79274D5F"/>
    <w:rsid w:val="793E3EE5"/>
    <w:rsid w:val="7956198E"/>
    <w:rsid w:val="79572E10"/>
    <w:rsid w:val="79C3797E"/>
    <w:rsid w:val="79CE04BA"/>
    <w:rsid w:val="79DE0FE0"/>
    <w:rsid w:val="7A0E5BFB"/>
    <w:rsid w:val="7A1B663A"/>
    <w:rsid w:val="7A4D0134"/>
    <w:rsid w:val="7AD14B19"/>
    <w:rsid w:val="7AE41BE6"/>
    <w:rsid w:val="7B817FE6"/>
    <w:rsid w:val="7B8C6AE3"/>
    <w:rsid w:val="7BED0482"/>
    <w:rsid w:val="7C5D2E29"/>
    <w:rsid w:val="7C63134F"/>
    <w:rsid w:val="7CFE4FF7"/>
    <w:rsid w:val="7D4476CE"/>
    <w:rsid w:val="7E350D9C"/>
    <w:rsid w:val="7EA27ED9"/>
    <w:rsid w:val="7ED4682F"/>
    <w:rsid w:val="7F2F22B8"/>
    <w:rsid w:val="7F3C6003"/>
    <w:rsid w:val="7F4C0B91"/>
    <w:rsid w:val="7F626F3B"/>
    <w:rsid w:val="7F8E0DA1"/>
    <w:rsid w:val="7FC62AD0"/>
    <w:rsid w:val="7FC6334C"/>
    <w:rsid w:val="7FD14040"/>
    <w:rsid w:val="7FD438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qFormat="1"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qFormat="1"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2"/>
    <w:qFormat/>
    <w:uiPriority w:val="0"/>
    <w:pPr>
      <w:keepNext/>
      <w:keepLines/>
      <w:spacing w:before="340" w:after="330" w:line="578" w:lineRule="auto"/>
      <w:outlineLvl w:val="0"/>
    </w:pPr>
    <w:rPr>
      <w:b/>
      <w:bCs/>
      <w:kern w:val="44"/>
      <w:sz w:val="44"/>
      <w:szCs w:val="44"/>
    </w:rPr>
  </w:style>
  <w:style w:type="paragraph" w:styleId="5">
    <w:name w:val="heading 2"/>
    <w:basedOn w:val="1"/>
    <w:next w:val="6"/>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qFormat/>
    <w:uiPriority w:val="0"/>
    <w:pPr>
      <w:keepNext/>
      <w:keepLines/>
      <w:spacing w:before="260" w:after="260" w:line="416" w:lineRule="auto"/>
      <w:outlineLvl w:val="2"/>
    </w:pPr>
    <w:rPr>
      <w:b/>
      <w:bCs/>
      <w:sz w:val="32"/>
      <w:szCs w:val="32"/>
    </w:rPr>
  </w:style>
  <w:style w:type="paragraph" w:styleId="8">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pPr>
  </w:style>
  <w:style w:type="paragraph" w:styleId="3">
    <w:name w:val="Body Text"/>
    <w:basedOn w:val="1"/>
    <w:qFormat/>
    <w:uiPriority w:val="0"/>
    <w:pPr>
      <w:spacing w:after="120"/>
    </w:pPr>
  </w:style>
  <w:style w:type="paragraph" w:customStyle="1" w:styleId="6">
    <w:name w:val="_"/>
    <w:basedOn w:val="1"/>
    <w:qFormat/>
    <w:uiPriority w:val="0"/>
    <w:pPr>
      <w:ind w:left="480"/>
    </w:pPr>
  </w:style>
  <w:style w:type="paragraph" w:styleId="9">
    <w:name w:val="Normal Indent"/>
    <w:basedOn w:val="1"/>
    <w:qFormat/>
    <w:uiPriority w:val="0"/>
    <w:pPr>
      <w:ind w:firstLine="420"/>
    </w:pPr>
  </w:style>
  <w:style w:type="paragraph" w:styleId="10">
    <w:name w:val="caption"/>
    <w:basedOn w:val="1"/>
    <w:next w:val="1"/>
    <w:qFormat/>
    <w:uiPriority w:val="0"/>
    <w:rPr>
      <w:rFonts w:ascii="Arial" w:hAnsi="Arial" w:eastAsia="黑体" w:cs="Arial"/>
      <w:sz w:val="20"/>
      <w:szCs w:val="20"/>
    </w:rPr>
  </w:style>
  <w:style w:type="paragraph" w:styleId="11">
    <w:name w:val="Document Map"/>
    <w:basedOn w:val="1"/>
    <w:link w:val="52"/>
    <w:semiHidden/>
    <w:unhideWhenUsed/>
    <w:qFormat/>
    <w:uiPriority w:val="0"/>
    <w:rPr>
      <w:rFonts w:ascii="宋体"/>
      <w:sz w:val="18"/>
      <w:szCs w:val="18"/>
    </w:rPr>
  </w:style>
  <w:style w:type="paragraph" w:styleId="12">
    <w:name w:val="annotation text"/>
    <w:basedOn w:val="1"/>
    <w:link w:val="53"/>
    <w:qFormat/>
    <w:uiPriority w:val="0"/>
    <w:pPr>
      <w:jc w:val="left"/>
    </w:pPr>
  </w:style>
  <w:style w:type="paragraph" w:styleId="13">
    <w:name w:val="Body Text 3"/>
    <w:basedOn w:val="1"/>
    <w:qFormat/>
    <w:uiPriority w:val="0"/>
    <w:pPr>
      <w:spacing w:after="120"/>
    </w:pPr>
    <w:rPr>
      <w:sz w:val="16"/>
      <w:szCs w:val="16"/>
    </w:rPr>
  </w:style>
  <w:style w:type="paragraph" w:styleId="14">
    <w:name w:val="Body Text Indent"/>
    <w:basedOn w:val="1"/>
    <w:qFormat/>
    <w:uiPriority w:val="0"/>
    <w:pPr>
      <w:ind w:firstLine="830" w:firstLineChars="352"/>
    </w:pPr>
    <w:rPr>
      <w:rFonts w:ascii="仿宋_GB2312" w:eastAsia="仿宋_GB2312"/>
      <w:sz w:val="32"/>
      <w:szCs w:val="20"/>
    </w:rPr>
  </w:style>
  <w:style w:type="paragraph" w:styleId="15">
    <w:name w:val="Plain Text"/>
    <w:basedOn w:val="1"/>
    <w:link w:val="32"/>
    <w:qFormat/>
    <w:uiPriority w:val="0"/>
    <w:rPr>
      <w:rFonts w:ascii="宋体" w:hAnsi="Courier New" w:cs="Courier New"/>
      <w:szCs w:val="21"/>
    </w:rPr>
  </w:style>
  <w:style w:type="paragraph" w:styleId="16">
    <w:name w:val="Body Text Indent 2"/>
    <w:basedOn w:val="1"/>
    <w:link w:val="44"/>
    <w:semiHidden/>
    <w:unhideWhenUsed/>
    <w:qFormat/>
    <w:uiPriority w:val="0"/>
    <w:pPr>
      <w:spacing w:after="120" w:line="480" w:lineRule="auto"/>
      <w:ind w:left="420" w:leftChars="200"/>
    </w:pPr>
  </w:style>
  <w:style w:type="paragraph" w:styleId="17">
    <w:name w:val="Balloon Text"/>
    <w:basedOn w:val="1"/>
    <w:semiHidden/>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toc 1"/>
    <w:basedOn w:val="1"/>
    <w:next w:val="1"/>
    <w:qFormat/>
    <w:uiPriority w:val="0"/>
  </w:style>
  <w:style w:type="paragraph" w:styleId="21">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22">
    <w:name w:val="index 1"/>
    <w:basedOn w:val="1"/>
    <w:next w:val="1"/>
    <w:qFormat/>
    <w:uiPriority w:val="0"/>
    <w:pPr>
      <w:tabs>
        <w:tab w:val="left" w:pos="7740"/>
      </w:tabs>
      <w:jc w:val="center"/>
    </w:pPr>
    <w:rPr>
      <w:rFonts w:ascii="仿宋" w:hAnsi="仿宋" w:eastAsia="仿宋"/>
      <w:b/>
      <w:sz w:val="28"/>
      <w:szCs w:val="28"/>
    </w:rPr>
  </w:style>
  <w:style w:type="paragraph" w:styleId="23">
    <w:name w:val="Title"/>
    <w:basedOn w:val="1"/>
    <w:next w:val="1"/>
    <w:qFormat/>
    <w:uiPriority w:val="0"/>
    <w:pPr>
      <w:spacing w:before="240" w:after="60"/>
      <w:jc w:val="center"/>
      <w:outlineLvl w:val="0"/>
    </w:pPr>
    <w:rPr>
      <w:rFonts w:ascii="Cambria" w:hAnsi="Cambria"/>
      <w:b/>
      <w:bCs/>
      <w:sz w:val="32"/>
      <w:szCs w:val="32"/>
    </w:rPr>
  </w:style>
  <w:style w:type="paragraph" w:styleId="24">
    <w:name w:val="Body Text First Indent 2"/>
    <w:basedOn w:val="14"/>
    <w:qFormat/>
    <w:uiPriority w:val="0"/>
    <w:pPr>
      <w:adjustRightInd w:val="0"/>
      <w:spacing w:line="360" w:lineRule="auto"/>
      <w:ind w:left="0" w:leftChars="0" w:firstLine="420"/>
      <w:textAlignment w:val="baseline"/>
    </w:pPr>
    <w:rPr>
      <w:rFonts w:eastAsia="等线" w:cs="Times New Roman"/>
      <w:color w:val="000000"/>
      <w:szCs w:val="24"/>
    </w:rPr>
  </w:style>
  <w:style w:type="table" w:styleId="26">
    <w:name w:val="Table Grid"/>
    <w:basedOn w:val="25"/>
    <w:unhideWhenUsed/>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22"/>
    <w:rPr>
      <w:rFonts w:eastAsia="宋体"/>
      <w:b/>
      <w:bCs/>
      <w:kern w:val="2"/>
      <w:sz w:val="24"/>
      <w:szCs w:val="24"/>
      <w:lang w:val="en-US" w:eastAsia="zh-CN" w:bidi="ar-SA"/>
    </w:rPr>
  </w:style>
  <w:style w:type="character" w:styleId="29">
    <w:name w:val="page number"/>
    <w:basedOn w:val="27"/>
    <w:qFormat/>
    <w:uiPriority w:val="0"/>
  </w:style>
  <w:style w:type="character" w:styleId="30">
    <w:name w:val="annotation reference"/>
    <w:basedOn w:val="27"/>
    <w:qFormat/>
    <w:uiPriority w:val="0"/>
    <w:rPr>
      <w:sz w:val="21"/>
      <w:szCs w:val="21"/>
    </w:rPr>
  </w:style>
  <w:style w:type="paragraph" w:customStyle="1" w:styleId="31">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 w:type="character" w:customStyle="1" w:styleId="32">
    <w:name w:val="纯文本 Char"/>
    <w:basedOn w:val="27"/>
    <w:link w:val="15"/>
    <w:qFormat/>
    <w:uiPriority w:val="0"/>
    <w:rPr>
      <w:rFonts w:ascii="宋体" w:hAnsi="Courier New" w:eastAsia="宋体" w:cs="Courier New"/>
      <w:sz w:val="21"/>
      <w:szCs w:val="21"/>
      <w:lang w:val="en-US" w:eastAsia="zh-CN" w:bidi="ar-SA"/>
    </w:rPr>
  </w:style>
  <w:style w:type="paragraph" w:customStyle="1" w:styleId="33">
    <w:name w:val="Char Char2 Char"/>
    <w:basedOn w:val="1"/>
    <w:qFormat/>
    <w:uiPriority w:val="0"/>
  </w:style>
  <w:style w:type="paragraph" w:customStyle="1" w:styleId="34">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35">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36">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37">
    <w:name w:val="Char Char Char Char"/>
    <w:basedOn w:val="1"/>
    <w:qFormat/>
    <w:uiPriority w:val="0"/>
  </w:style>
  <w:style w:type="paragraph" w:customStyle="1" w:styleId="38">
    <w:name w:val="文一"/>
    <w:basedOn w:val="1"/>
    <w:qFormat/>
    <w:uiPriority w:val="0"/>
    <w:pPr>
      <w:topLinePunct/>
      <w:adjustRightInd w:val="0"/>
      <w:snapToGrid w:val="0"/>
      <w:spacing w:line="360" w:lineRule="auto"/>
      <w:ind w:firstLine="200" w:firstLineChars="200"/>
    </w:pPr>
    <w:rPr>
      <w:snapToGrid w:val="0"/>
      <w:spacing w:val="4"/>
      <w:kern w:val="0"/>
      <w:sz w:val="24"/>
    </w:rPr>
  </w:style>
  <w:style w:type="paragraph" w:customStyle="1" w:styleId="39">
    <w:name w:val="Char"/>
    <w:basedOn w:val="1"/>
    <w:qFormat/>
    <w:uiPriority w:val="0"/>
    <w:pPr>
      <w:spacing w:line="480" w:lineRule="exact"/>
    </w:pPr>
    <w:rPr>
      <w:sz w:val="24"/>
    </w:rPr>
  </w:style>
  <w:style w:type="paragraph" w:customStyle="1" w:styleId="40">
    <w:name w:val="题注4"/>
    <w:basedOn w:val="1"/>
    <w:next w:val="10"/>
    <w:qFormat/>
    <w:uiPriority w:val="0"/>
    <w:pPr>
      <w:ind w:left="-132" w:leftChars="-64" w:right="-105" w:rightChars="-50" w:hanging="2"/>
      <w:jc w:val="center"/>
    </w:pPr>
    <w:rPr>
      <w:b/>
      <w:color w:val="FF0000"/>
      <w:szCs w:val="21"/>
      <w:lang w:val="en-GB"/>
    </w:rPr>
  </w:style>
  <w:style w:type="paragraph" w:customStyle="1" w:styleId="41">
    <w:name w:val="表格文字"/>
    <w:basedOn w:val="1"/>
    <w:qFormat/>
    <w:uiPriority w:val="0"/>
    <w:pPr>
      <w:spacing w:before="25" w:after="25"/>
      <w:jc w:val="left"/>
    </w:pPr>
    <w:rPr>
      <w:bCs/>
      <w:spacing w:val="10"/>
      <w:kern w:val="0"/>
      <w:sz w:val="24"/>
      <w:szCs w:val="20"/>
    </w:rPr>
  </w:style>
  <w:style w:type="character" w:customStyle="1" w:styleId="42">
    <w:name w:val="标题 1 Char"/>
    <w:basedOn w:val="27"/>
    <w:link w:val="4"/>
    <w:qFormat/>
    <w:uiPriority w:val="0"/>
    <w:rPr>
      <w:b/>
      <w:bCs/>
      <w:kern w:val="44"/>
      <w:sz w:val="44"/>
      <w:szCs w:val="44"/>
    </w:rPr>
  </w:style>
  <w:style w:type="paragraph" w:styleId="4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44">
    <w:name w:val="正文文本缩进 2 Char"/>
    <w:basedOn w:val="27"/>
    <w:link w:val="16"/>
    <w:semiHidden/>
    <w:qFormat/>
    <w:uiPriority w:val="0"/>
    <w:rPr>
      <w:kern w:val="2"/>
      <w:sz w:val="21"/>
      <w:szCs w:val="24"/>
    </w:rPr>
  </w:style>
  <w:style w:type="paragraph" w:customStyle="1" w:styleId="45">
    <w:name w:val="_Style 4"/>
    <w:basedOn w:val="4"/>
    <w:next w:val="1"/>
    <w:qFormat/>
    <w:uiPriority w:val="0"/>
    <w:pPr>
      <w:keepNext w:val="0"/>
      <w:keepLines w:val="0"/>
      <w:spacing w:before="0" w:after="0" w:line="576" w:lineRule="auto"/>
      <w:jc w:val="left"/>
      <w:outlineLvl w:val="9"/>
    </w:pPr>
    <w:rPr>
      <w:rFonts w:ascii="Calibri" w:hAnsi="Calibri" w:eastAsia="黑体"/>
      <w:b w:val="0"/>
      <w:bCs w:val="0"/>
      <w:kern w:val="0"/>
      <w:lang w:eastAsia="en-US"/>
    </w:rPr>
  </w:style>
  <w:style w:type="paragraph" w:styleId="46">
    <w:name w:val="List Paragraph"/>
    <w:basedOn w:val="1"/>
    <w:qFormat/>
    <w:uiPriority w:val="99"/>
    <w:pPr>
      <w:ind w:firstLine="420" w:firstLineChars="200"/>
    </w:pPr>
    <w:rPr>
      <w:rFonts w:ascii="Calibri" w:hAnsi="Calibri"/>
      <w:szCs w:val="22"/>
    </w:rPr>
  </w:style>
  <w:style w:type="paragraph" w:customStyle="1" w:styleId="47">
    <w:name w:val="列出段落1"/>
    <w:basedOn w:val="1"/>
    <w:qFormat/>
    <w:uiPriority w:val="34"/>
    <w:pPr>
      <w:ind w:firstLine="420" w:firstLineChars="200"/>
    </w:pPr>
    <w:rPr>
      <w:rFonts w:ascii="Calibri" w:hAnsi="Calibri"/>
    </w:rPr>
  </w:style>
  <w:style w:type="paragraph" w:customStyle="1" w:styleId="48">
    <w:name w:val="正文仿宋小四缩进"/>
    <w:basedOn w:val="1"/>
    <w:qFormat/>
    <w:uiPriority w:val="0"/>
    <w:pPr>
      <w:adjustRightInd w:val="0"/>
      <w:snapToGrid w:val="0"/>
      <w:spacing w:line="300" w:lineRule="auto"/>
      <w:ind w:firstLine="202" w:firstLineChars="202"/>
      <w:jc w:val="left"/>
    </w:pPr>
    <w:rPr>
      <w:rFonts w:eastAsia="仿宋_GB2312"/>
      <w:kern w:val="0"/>
      <w:sz w:val="28"/>
      <w:szCs w:val="28"/>
      <w:lang w:val="zh-CN"/>
    </w:rPr>
  </w:style>
  <w:style w:type="paragraph" w:customStyle="1" w:styleId="49">
    <w:name w:val="PEMS body"/>
    <w:basedOn w:val="50"/>
    <w:qFormat/>
    <w:uiPriority w:val="0"/>
    <w:pPr>
      <w:tabs>
        <w:tab w:val="left" w:pos="720"/>
        <w:tab w:val="left" w:pos="1440"/>
      </w:tabs>
    </w:pPr>
  </w:style>
  <w:style w:type="paragraph" w:customStyle="1" w:styleId="50">
    <w:name w:val="body"/>
    <w:qFormat/>
    <w:uiPriority w:val="0"/>
    <w:pPr>
      <w:tabs>
        <w:tab w:val="left" w:pos="720"/>
        <w:tab w:val="left" w:pos="1440"/>
      </w:tabs>
      <w:spacing w:after="240"/>
    </w:pPr>
    <w:rPr>
      <w:rFonts w:ascii="Times New Roman" w:hAnsi="Times New Roman" w:eastAsia="宋体" w:cs="Times New Roman"/>
      <w:sz w:val="24"/>
      <w:lang w:val="en-US" w:eastAsia="en-US" w:bidi="ar-SA"/>
    </w:rPr>
  </w:style>
  <w:style w:type="paragraph" w:customStyle="1" w:styleId="51">
    <w:name w:val="列表段落1"/>
    <w:basedOn w:val="1"/>
    <w:qFormat/>
    <w:uiPriority w:val="34"/>
    <w:pPr>
      <w:ind w:left="720"/>
      <w:contextualSpacing/>
    </w:pPr>
  </w:style>
  <w:style w:type="character" w:customStyle="1" w:styleId="52">
    <w:name w:val="文档结构图 Char"/>
    <w:basedOn w:val="27"/>
    <w:link w:val="11"/>
    <w:semiHidden/>
    <w:qFormat/>
    <w:uiPriority w:val="0"/>
    <w:rPr>
      <w:rFonts w:ascii="宋体"/>
      <w:kern w:val="2"/>
      <w:sz w:val="18"/>
      <w:szCs w:val="18"/>
    </w:rPr>
  </w:style>
  <w:style w:type="character" w:customStyle="1" w:styleId="53">
    <w:name w:val="批注文字 Char"/>
    <w:link w:val="12"/>
    <w:qFormat/>
    <w:uiPriority w:val="0"/>
    <w:rPr>
      <w:kern w:val="2"/>
      <w:sz w:val="21"/>
      <w:szCs w:val="24"/>
    </w:rPr>
  </w:style>
  <w:style w:type="paragraph" w:customStyle="1" w:styleId="54">
    <w:name w:val="z-窗体顶端1"/>
    <w:basedOn w:val="1"/>
    <w:qFormat/>
    <w:uiPriority w:val="34"/>
    <w:pPr>
      <w:ind w:firstLine="420" w:firstLineChars="200"/>
    </w:pPr>
    <w:rPr>
      <w:rFonts w:ascii="Calibri" w:hAnsi="Calibri"/>
      <w:szCs w:val="22"/>
    </w:rPr>
  </w:style>
  <w:style w:type="character" w:customStyle="1" w:styleId="55">
    <w:name w:val="font11"/>
    <w:basedOn w:val="27"/>
    <w:qFormat/>
    <w:uiPriority w:val="0"/>
    <w:rPr>
      <w:rFonts w:hint="eastAsia" w:ascii="宋体" w:hAnsi="宋体" w:eastAsia="宋体" w:cs="宋体"/>
      <w:color w:val="000000"/>
      <w:sz w:val="20"/>
      <w:szCs w:val="20"/>
      <w:u w:val="none"/>
    </w:rPr>
  </w:style>
  <w:style w:type="character" w:customStyle="1" w:styleId="56">
    <w:name w:val="font01"/>
    <w:basedOn w:val="27"/>
    <w:qFormat/>
    <w:uiPriority w:val="0"/>
    <w:rPr>
      <w:rFonts w:ascii="Helvetica" w:hAnsi="Helvetica" w:eastAsia="Helvetica" w:cs="Helvetica"/>
      <w:color w:val="000000"/>
      <w:sz w:val="20"/>
      <w:szCs w:val="20"/>
      <w:u w:val="none"/>
    </w:rPr>
  </w:style>
  <w:style w:type="paragraph" w:customStyle="1" w:styleId="57">
    <w:name w:val="*正文"/>
    <w:basedOn w:val="1"/>
    <w:next w:val="1"/>
    <w:qFormat/>
    <w:uiPriority w:val="0"/>
    <w:pPr>
      <w:widowControl/>
      <w:spacing w:line="240" w:lineRule="auto"/>
      <w:ind w:firstLine="200" w:firstLineChars="200"/>
    </w:pPr>
    <w:rPr>
      <w:rFonts w:ascii="仿宋_GB2312" w:hAnsi="Times New Roman" w:eastAsia="仿宋_GB2312"/>
      <w:kern w:val="0"/>
      <w:szCs w:val="28"/>
    </w:rPr>
  </w:style>
  <w:style w:type="paragraph" w:customStyle="1" w:styleId="58">
    <w:name w:val="列出段落3"/>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67</Pages>
  <Words>4898</Words>
  <Characters>27919</Characters>
  <Lines>232</Lines>
  <Paragraphs>65</Paragraphs>
  <TotalTime>7</TotalTime>
  <ScaleCrop>false</ScaleCrop>
  <LinksUpToDate>false</LinksUpToDate>
  <CharactersWithSpaces>32752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2020-06-08T07:10:00Z</dcterms:created>
  <dc:creator>Administrator</dc:creator>
  <cp:lastModifiedBy>林煜韩</cp:lastModifiedBy>
  <cp:lastPrinted>2021-09-02T01:59:00Z</cp:lastPrinted>
  <dcterms:modified xsi:type="dcterms:W3CDTF">2021-09-29T08:34:10Z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