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广州市净水有限公司2022年大坦沙、石井净、江高分公司管道改造项目</w:t>
      </w:r>
    </w:p>
    <w:p>
      <w:pPr>
        <w:pStyle w:val="2"/>
        <w:rPr>
          <w:rFonts w:hint="default"/>
          <w:color w:val="auto"/>
          <w:highlight w:val="none"/>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color w:val="auto"/>
          <w:highlight w:val="none"/>
        </w:rPr>
      </w:pPr>
    </w:p>
    <w:p>
      <w:pPr>
        <w:jc w:val="center"/>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4"/>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26148"/>
      <w:bookmarkStart w:id="1" w:name="_Toc18145"/>
    </w:p>
    <w:p>
      <w:pPr>
        <w:rPr>
          <w:rFonts w:hint="eastAsia"/>
          <w:color w:val="auto"/>
          <w:highlight w:val="none"/>
        </w:rPr>
      </w:pPr>
    </w:p>
    <w:p>
      <w:pPr>
        <w:pStyle w:val="4"/>
        <w:rPr>
          <w:rFonts w:hint="eastAsia"/>
          <w:color w:val="auto"/>
          <w:highlight w:val="none"/>
        </w:rPr>
      </w:pPr>
      <w:bookmarkStart w:id="2" w:name="_Toc1711"/>
      <w:bookmarkStart w:id="3" w:name="_Toc17696"/>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19609"/>
      <w:bookmarkStart w:id="5" w:name="_Toc1669"/>
      <w:bookmarkStart w:id="6" w:name="_Toc11322"/>
      <w:bookmarkStart w:id="7" w:name="_Toc31938"/>
      <w:bookmarkStart w:id="8" w:name="_Toc17801"/>
      <w:bookmarkStart w:id="9" w:name="_Toc4275"/>
      <w:bookmarkStart w:id="10" w:name="_Toc7519"/>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69504;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68480;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6"/>
        <w:rPr>
          <w:color w:val="auto"/>
          <w:highlight w:val="none"/>
        </w:rPr>
      </w:pPr>
    </w:p>
    <w:p>
      <w:pPr>
        <w:pStyle w:val="4"/>
        <w:rPr>
          <w:color w:val="auto"/>
          <w:highlight w:val="none"/>
        </w:rPr>
      </w:pPr>
      <w:bookmarkStart w:id="11" w:name="_Toc5230"/>
      <w:bookmarkStart w:id="12" w:name="_Toc8201"/>
      <w:bookmarkStart w:id="13" w:name="_Toc10122"/>
      <w:bookmarkStart w:id="14" w:name="_Toc2659"/>
      <w:bookmarkStart w:id="15" w:name="_Toc30131"/>
      <w:bookmarkStart w:id="16" w:name="_Toc15709"/>
      <w:bookmarkStart w:id="17" w:name="_Toc14238"/>
      <w:bookmarkStart w:id="18" w:name="_Toc26363"/>
      <w:bookmarkStart w:id="19" w:name="_Toc30989"/>
      <w:bookmarkStart w:id="20" w:name="_Toc999"/>
      <w:bookmarkStart w:id="21" w:name="_Toc88209924"/>
      <w:bookmarkStart w:id="22" w:name="_Toc28995"/>
      <w:r>
        <w:rPr>
          <w:rFonts w:hint="eastAsia"/>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5"/>
        <w:spacing w:line="600" w:lineRule="exact"/>
        <w:rPr>
          <w:rFonts w:hint="eastAsia"/>
          <w:color w:val="auto"/>
          <w:highlight w:val="none"/>
        </w:rPr>
      </w:pPr>
      <w:bookmarkStart w:id="23" w:name="_Toc21373"/>
      <w:bookmarkStart w:id="24" w:name="_Toc9680"/>
      <w:r>
        <w:rPr>
          <w:rFonts w:hint="eastAsia"/>
          <w:color w:val="auto"/>
          <w:highlight w:val="none"/>
          <w:u w:val="single"/>
          <w:lang w:val="en-US" w:eastAsia="zh-CN"/>
        </w:rPr>
        <w:t>广州市净水有限公司2022年大坦沙、石井净、江高分公司管道改造项目</w:t>
      </w:r>
      <w:r>
        <w:rPr>
          <w:rFonts w:hint="eastAsia"/>
          <w:color w:val="auto"/>
          <w:highlight w:val="none"/>
        </w:rPr>
        <w:t>采购公告</w:t>
      </w:r>
      <w:bookmarkEnd w:id="23"/>
      <w:bookmarkEnd w:id="24"/>
    </w:p>
    <w:p>
      <w:pPr>
        <w:pStyle w:val="5"/>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广州市净水有限公司2022年大坦沙、石井净、江高分公司管道改造项目</w:t>
      </w:r>
      <w:r>
        <w:rPr>
          <w:rFonts w:hint="eastAsia" w:ascii="仿宋_GB2312" w:eastAsia="仿宋_GB2312"/>
          <w:color w:val="auto"/>
          <w:sz w:val="28"/>
          <w:szCs w:val="28"/>
          <w:highlight w:val="none"/>
        </w:rPr>
        <w:t>已具备采购条件，现对该</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  □货物 □服务项目实施公开采购活动，采用</w:t>
      </w:r>
      <w:r>
        <w:rPr>
          <w:rFonts w:hint="eastAsia" w:ascii="仿宋_GB2312" w:eastAsia="仿宋_GB2312"/>
          <w:color w:val="auto"/>
          <w:sz w:val="28"/>
          <w:szCs w:val="28"/>
          <w:highlight w:val="none"/>
          <w:u w:val="none"/>
        </w:rPr>
        <w:t>询比采购</w:t>
      </w:r>
      <w:r>
        <w:rPr>
          <w:rFonts w:hint="eastAsia" w:ascii="仿宋_GB2312" w:eastAsia="仿宋_GB2312"/>
          <w:color w:val="auto"/>
          <w:sz w:val="28"/>
          <w:szCs w:val="28"/>
          <w:highlight w:val="none"/>
        </w:rPr>
        <w:t>方式公开邀请合格供应商参加本项目采购竞争。</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广州市净水有限公司2022年大坦沙、石井净、江高分公司管道改造项目</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项目一：大坦沙分公司2022年三期污水泵房管道改造项目</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lang w:val="en-US" w:eastAsia="zh-CN"/>
        </w:rPr>
        <w:t>项目二：</w:t>
      </w:r>
      <w:r>
        <w:rPr>
          <w:rFonts w:hint="eastAsia" w:ascii="仿宋_GB2312" w:eastAsia="仿宋_GB2312"/>
          <w:color w:val="auto"/>
          <w:sz w:val="28"/>
          <w:szCs w:val="28"/>
          <w:highlight w:val="none"/>
          <w:u w:val="none"/>
        </w:rPr>
        <w:t>石井净分公司2022年二期厂区生产区域自来水及中水系统完善</w:t>
      </w:r>
      <w:r>
        <w:rPr>
          <w:rFonts w:hint="eastAsia" w:ascii="仿宋_GB2312" w:eastAsia="仿宋_GB2312"/>
          <w:color w:val="auto"/>
          <w:sz w:val="28"/>
          <w:szCs w:val="28"/>
          <w:highlight w:val="none"/>
          <w:u w:val="none"/>
          <w:lang w:val="en-US" w:eastAsia="zh-CN"/>
        </w:rPr>
        <w:t>工程</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lang w:val="en-US" w:eastAsia="zh-CN"/>
        </w:rPr>
        <w:t>项目三：</w:t>
      </w:r>
      <w:r>
        <w:rPr>
          <w:rFonts w:hint="eastAsia" w:ascii="仿宋_GB2312" w:eastAsia="仿宋_GB2312"/>
          <w:color w:val="auto"/>
          <w:sz w:val="28"/>
          <w:szCs w:val="28"/>
          <w:highlight w:val="none"/>
          <w:u w:val="none"/>
          <w:lang w:val="en-US" w:eastAsia="zh-CN"/>
        </w:rPr>
        <w:t>江高</w:t>
      </w:r>
      <w:r>
        <w:rPr>
          <w:rFonts w:hint="eastAsia" w:ascii="仿宋_GB2312" w:eastAsia="仿宋_GB2312"/>
          <w:color w:val="auto"/>
          <w:sz w:val="28"/>
          <w:szCs w:val="28"/>
          <w:highlight w:val="none"/>
          <w:u w:val="none"/>
        </w:rPr>
        <w:t>分公司生产区域增加自来水、中水及对应排水项目</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lang w:val="en-US" w:eastAsia="zh-CN"/>
        </w:rPr>
        <w:t>项目四：江高</w:t>
      </w:r>
      <w:r>
        <w:rPr>
          <w:rFonts w:hint="eastAsia" w:ascii="仿宋_GB2312" w:eastAsia="仿宋_GB2312"/>
          <w:color w:val="auto"/>
          <w:sz w:val="28"/>
          <w:szCs w:val="28"/>
          <w:highlight w:val="none"/>
          <w:u w:val="none"/>
        </w:rPr>
        <w:t>分公司2022年一期机修车间改造项目</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（以下分别简称“项目一、项目二、项目</w:t>
      </w:r>
      <w:r>
        <w:rPr>
          <w:rFonts w:hint="eastAsia" w:ascii="仿宋_GB2312" w:eastAsia="仿宋_GB2312"/>
          <w:color w:val="auto"/>
          <w:sz w:val="28"/>
          <w:szCs w:val="28"/>
          <w:highlight w:val="none"/>
          <w:lang w:val="en-US" w:eastAsia="zh-CN"/>
        </w:rPr>
        <w:t>三</w:t>
      </w:r>
      <w:r>
        <w:rPr>
          <w:rFonts w:hint="eastAsia" w:ascii="仿宋_GB2312" w:eastAsia="仿宋_GB2312"/>
          <w:color w:val="auto"/>
          <w:sz w:val="28"/>
          <w:szCs w:val="28"/>
          <w:highlight w:val="none"/>
        </w:rPr>
        <w:t>、项目</w:t>
      </w:r>
      <w:r>
        <w:rPr>
          <w:rFonts w:hint="eastAsia" w:ascii="仿宋_GB2312" w:eastAsia="仿宋_GB2312"/>
          <w:color w:val="auto"/>
          <w:sz w:val="28"/>
          <w:szCs w:val="28"/>
          <w:highlight w:val="none"/>
          <w:lang w:val="en-US" w:eastAsia="zh-CN"/>
        </w:rPr>
        <w:t>四</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XJ-20220928-3</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921425.7</w:t>
      </w:r>
      <w:r>
        <w:rPr>
          <w:rFonts w:hint="eastAsia" w:ascii="仿宋_GB2312" w:eastAsia="仿宋_GB2312"/>
          <w:color w:val="auto"/>
          <w:sz w:val="28"/>
          <w:szCs w:val="28"/>
          <w:highlight w:val="none"/>
          <w:u w:val="single"/>
          <w:lang w:val="en-US" w:eastAsia="zh-CN"/>
        </w:rPr>
        <w:t>195元人民币</w:t>
      </w:r>
      <w:r>
        <w:rPr>
          <w:rFonts w:hint="eastAsia" w:ascii="仿宋_GB2312" w:eastAsia="仿宋_GB2312"/>
          <w:color w:val="auto"/>
          <w:sz w:val="28"/>
          <w:szCs w:val="28"/>
          <w:highlight w:val="none"/>
          <w:u w:val="single"/>
        </w:rPr>
        <w:t xml:space="preserve"> </w:t>
      </w:r>
    </w:p>
    <w:p>
      <w:pPr>
        <w:pStyle w:val="2"/>
        <w:rPr>
          <w:rFonts w:hint="eastAsia" w:ascii="仿宋_GB2312" w:eastAsia="仿宋_GB2312"/>
          <w:color w:val="auto"/>
          <w:sz w:val="28"/>
          <w:szCs w:val="28"/>
          <w:highlight w:val="none"/>
          <w:u w:val="single"/>
        </w:rPr>
      </w:pPr>
    </w:p>
    <w:p>
      <w:pPr>
        <w:pStyle w:val="2"/>
        <w:rPr>
          <w:rFonts w:hint="eastAsia" w:ascii="仿宋_GB2312" w:eastAsia="仿宋_GB2312"/>
          <w:color w:val="auto"/>
          <w:sz w:val="28"/>
          <w:szCs w:val="28"/>
          <w:highlight w:val="none"/>
          <w:u w:val="single"/>
        </w:rPr>
      </w:pPr>
    </w:p>
    <w:p>
      <w:pPr>
        <w:pStyle w:val="2"/>
        <w:rPr>
          <w:rFonts w:hint="eastAsia" w:ascii="仿宋_GB2312" w:eastAsia="仿宋_GB2312"/>
          <w:color w:val="auto"/>
          <w:sz w:val="28"/>
          <w:szCs w:val="28"/>
          <w:highlight w:val="none"/>
          <w:u w:val="single"/>
        </w:rPr>
      </w:pPr>
    </w:p>
    <w:tbl>
      <w:tblPr>
        <w:tblStyle w:val="2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0"/>
        <w:gridCol w:w="1351"/>
        <w:gridCol w:w="1777"/>
        <w:gridCol w:w="1267"/>
        <w:gridCol w:w="1100"/>
        <w:gridCol w:w="716"/>
        <w:gridCol w:w="21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29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76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10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项目名称</w:t>
            </w:r>
          </w:p>
        </w:tc>
        <w:tc>
          <w:tcPr>
            <w:tcW w:w="714" w:type="pc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620" w:type="pc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40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tc>
        <w:tc>
          <w:tcPr>
            <w:tcW w:w="12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29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大坦沙分公司</w:t>
            </w:r>
          </w:p>
        </w:tc>
        <w:tc>
          <w:tcPr>
            <w:tcW w:w="10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sz w:val="22"/>
                <w:szCs w:val="22"/>
                <w:highlight w:val="none"/>
                <w:u w:val="none"/>
                <w:lang w:val="en-US" w:eastAsia="zh-CN"/>
              </w:rPr>
              <w:t>大坦沙分公司2022年三期污水泵房管道改造项目</w:t>
            </w:r>
          </w:p>
        </w:tc>
        <w:tc>
          <w:tcPr>
            <w:tcW w:w="7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401534.48</w:t>
            </w:r>
          </w:p>
        </w:tc>
        <w:tc>
          <w:tcPr>
            <w:tcW w:w="6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 xml:space="preserve">368380.25 </w:t>
            </w:r>
          </w:p>
        </w:tc>
        <w:tc>
          <w:tcPr>
            <w:tcW w:w="40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 xml:space="preserve">9 </w:t>
            </w:r>
          </w:p>
        </w:tc>
        <w:tc>
          <w:tcPr>
            <w:tcW w:w="12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 xml:space="preserve">绿色措施费为17244.71元（其中安装费为14517.32元，市政2650.24元，绿化77.15元）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29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石井净分公司</w:t>
            </w:r>
          </w:p>
        </w:tc>
        <w:tc>
          <w:tcPr>
            <w:tcW w:w="10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石井净分公司2022年二期厂区生产区域自来水及中水系统完善工程</w:t>
            </w:r>
          </w:p>
        </w:tc>
        <w:tc>
          <w:tcPr>
            <w:tcW w:w="7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294089.22</w:t>
            </w:r>
          </w:p>
        </w:tc>
        <w:tc>
          <w:tcPr>
            <w:tcW w:w="6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269806.62</w:t>
            </w:r>
          </w:p>
        </w:tc>
        <w:tc>
          <w:tcPr>
            <w:tcW w:w="40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9</w:t>
            </w:r>
          </w:p>
        </w:tc>
        <w:tc>
          <w:tcPr>
            <w:tcW w:w="12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绿色措施费为28211.26元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29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江高分公司</w:t>
            </w:r>
          </w:p>
        </w:tc>
        <w:tc>
          <w:tcPr>
            <w:tcW w:w="10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江高分公司生产区域增加自来水、中水及对应排水项目</w:t>
            </w:r>
          </w:p>
        </w:tc>
        <w:tc>
          <w:tcPr>
            <w:tcW w:w="7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59339.4</w:t>
            </w:r>
          </w:p>
        </w:tc>
        <w:tc>
          <w:tcPr>
            <w:tcW w:w="6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54439.82</w:t>
            </w:r>
          </w:p>
        </w:tc>
        <w:tc>
          <w:tcPr>
            <w:tcW w:w="40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9</w:t>
            </w:r>
          </w:p>
        </w:tc>
        <w:tc>
          <w:tcPr>
            <w:tcW w:w="12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绿色措施费为6332.15元，暂列金4132.74元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29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江高分公司</w:t>
            </w:r>
          </w:p>
        </w:tc>
        <w:tc>
          <w:tcPr>
            <w:tcW w:w="10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江高分公司2022年一期机修车间改造项目</w:t>
            </w:r>
          </w:p>
        </w:tc>
        <w:tc>
          <w:tcPr>
            <w:tcW w:w="71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166462.6195</w:t>
            </w:r>
          </w:p>
        </w:tc>
        <w:tc>
          <w:tcPr>
            <w:tcW w:w="62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152718.0005</w:t>
            </w:r>
          </w:p>
        </w:tc>
        <w:tc>
          <w:tcPr>
            <w:tcW w:w="40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9</w:t>
            </w:r>
          </w:p>
        </w:tc>
        <w:tc>
          <w:tcPr>
            <w:tcW w:w="12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绿色措施为3312.4885元（其中建筑专业为1987.704元，安装专业为1324.7845元</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u w:val="single"/>
          <w:lang w:val="zh-CN"/>
        </w:rPr>
        <w:t>绿色施工安全防护措施费</w:t>
      </w:r>
      <w:r>
        <w:rPr>
          <w:rFonts w:hint="eastAsia" w:ascii="仿宋" w:hAnsi="仿宋" w:eastAsia="仿宋" w:cs="仿宋"/>
          <w:b/>
          <w:bCs/>
          <w:color w:val="auto"/>
          <w:sz w:val="28"/>
          <w:szCs w:val="28"/>
          <w:highlight w:val="none"/>
          <w:u w:val="single"/>
          <w:lang w:val="en-US" w:eastAsia="zh-CN"/>
        </w:rPr>
        <w:t>及暂列金</w:t>
      </w:r>
      <w:r>
        <w:rPr>
          <w:rFonts w:hint="eastAsia" w:ascii="仿宋" w:hAnsi="仿宋" w:eastAsia="仿宋" w:cs="仿宋"/>
          <w:b/>
          <w:bCs/>
          <w:color w:val="auto"/>
          <w:sz w:val="28"/>
          <w:szCs w:val="28"/>
          <w:highlight w:val="none"/>
          <w:u w:val="single"/>
          <w:lang w:val="zh-CN"/>
        </w:rPr>
        <w:t>为非竞争性费用，在报价时须按询价文件规定的金额填写，不得参与竞争，否则按无效报价处理。</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无</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u w:val="single"/>
          <w:lang w:eastAsia="zh-CN"/>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项目一：详见第五章：采购需求（项目需求维修</w:t>
      </w:r>
      <w:r>
        <w:rPr>
          <w:rFonts w:hint="default" w:ascii="仿宋_GB2312" w:eastAsia="仿宋_GB2312"/>
          <w:color w:val="auto"/>
          <w:sz w:val="28"/>
          <w:szCs w:val="28"/>
          <w:highlight w:val="none"/>
          <w:u w:val="none"/>
          <w:lang w:val="en-US" w:eastAsia="zh-CN"/>
        </w:rPr>
        <w:t>方案</w:t>
      </w:r>
      <w:r>
        <w:rPr>
          <w:rFonts w:hint="eastAsia" w:ascii="仿宋_GB2312" w:eastAsia="仿宋_GB2312"/>
          <w:color w:val="auto"/>
          <w:sz w:val="28"/>
          <w:szCs w:val="28"/>
          <w:highlight w:val="none"/>
          <w:u w:val="none"/>
          <w:lang w:val="en-US" w:eastAsia="zh-CN"/>
        </w:rPr>
        <w:t>、项目需求实施</w:t>
      </w:r>
      <w:r>
        <w:rPr>
          <w:rFonts w:hint="default" w:ascii="仿宋_GB2312" w:eastAsia="仿宋_GB2312"/>
          <w:color w:val="auto"/>
          <w:sz w:val="28"/>
          <w:szCs w:val="28"/>
          <w:highlight w:val="none"/>
          <w:u w:val="none"/>
          <w:lang w:val="en-US" w:eastAsia="zh-CN"/>
        </w:rPr>
        <w:t>方案</w:t>
      </w:r>
      <w:r>
        <w:rPr>
          <w:rFonts w:hint="eastAsia" w:ascii="仿宋_GB2312" w:eastAsia="仿宋_GB2312"/>
          <w:color w:val="auto"/>
          <w:sz w:val="28"/>
          <w:szCs w:val="28"/>
          <w:highlight w:val="none"/>
          <w:u w:val="none"/>
          <w:lang w:val="en-US" w:eastAsia="zh-CN"/>
        </w:rPr>
        <w:t>）</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lang w:val="en-US" w:eastAsia="zh-CN"/>
        </w:rPr>
        <w:t>项目二：</w:t>
      </w:r>
      <w:r>
        <w:rPr>
          <w:rFonts w:hint="eastAsia" w:ascii="仿宋_GB2312" w:eastAsia="仿宋_GB2312"/>
          <w:color w:val="auto"/>
          <w:sz w:val="28"/>
          <w:szCs w:val="28"/>
          <w:highlight w:val="none"/>
          <w:u w:val="none"/>
        </w:rPr>
        <w:t>石井净分公司二期负一、负二层生产区域原设计未设置完善的中水及自来水系统，为满足日常生产用水及维护清洁需求，提高中水回用量，降低用水成本，拟参照一期厂区生产区域自来水及中水系统，完善二期厂区生产区域自来水及中水系统。二期厂区生产区域自来水系统的主要管道拟采用DN25的PE电熔管，出水口接水龙头，中水系统的主要管道拟采用DN65的PE电熔管，出水口接消火栓卡口，方便日常使用。</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项目三：</w:t>
      </w:r>
      <w:r>
        <w:rPr>
          <w:rFonts w:hint="eastAsia" w:ascii="仿宋_GB2312" w:eastAsia="仿宋_GB2312"/>
          <w:color w:val="auto"/>
          <w:sz w:val="28"/>
          <w:szCs w:val="28"/>
          <w:highlight w:val="none"/>
          <w:u w:val="none"/>
        </w:rPr>
        <w:t>该项目是对江高分公司</w:t>
      </w:r>
      <w:r>
        <w:rPr>
          <w:rFonts w:hint="eastAsia" w:ascii="仿宋_GB2312" w:eastAsia="仿宋_GB2312"/>
          <w:color w:val="auto"/>
          <w:sz w:val="28"/>
          <w:szCs w:val="28"/>
          <w:highlight w:val="none"/>
          <w:u w:val="none"/>
          <w:lang w:val="en-US" w:eastAsia="zh-CN"/>
        </w:rPr>
        <w:t>生产区域（负一、负二层）自来水管、中水管、排水管进行改造，计划增加自来水接口（加水龙头）15个，中水管1处，排水设施约21处</w:t>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其中，所有管线均需加装在墙壁上，以镀锌角钢支架承载。</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四：江高分公司现时机修间因为没有动力电源及维修电源，不能安装使用维修用的钻床，车床，砂轮机等常用设备；现时机修间没有砂轮机专用间隔用房，未能达到安全使用规范；现时没有维修电源，电器类设备及自控类设备无专业维修条件。</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为满足维修班组机修间的正常使用需求：</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1.采购安装机修间总电源柜1个，负责机修间车床，铣床、砂轮机维修电源等主要设备供电。</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2.采购并铺设一组4*70+1*35预处理低压电房到机修间电源电缆。</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3.采购并间隔高度3米带装修混合结构硬顶砂轮机房、维修工作室、储物室厕所、更衣室、浴室等功能区共占地面积56.25平方带装修铝天花吊顶结构。</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none"/>
          <w:lang w:val="en-US" w:eastAsia="zh-CN"/>
        </w:rPr>
        <w:t>：195天</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none"/>
          <w:lang w:val="en-US" w:eastAsia="zh-CN"/>
        </w:rPr>
        <w:t>其中项目一：45天；项目二：30天；项目三：60天；项目四：60天。</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p>
    <w:p>
      <w:pP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项目一：</w:t>
      </w:r>
      <w:r>
        <w:rPr>
          <w:rFonts w:hint="eastAsia" w:ascii="仿宋_GB2312" w:eastAsia="仿宋_GB2312"/>
          <w:color w:val="auto"/>
          <w:sz w:val="28"/>
          <w:szCs w:val="28"/>
          <w:highlight w:val="none"/>
          <w:u w:val="none"/>
        </w:rPr>
        <w:t>广州市净水有限公司</w:t>
      </w:r>
      <w:r>
        <w:rPr>
          <w:rFonts w:hint="eastAsia" w:ascii="仿宋_GB2312" w:eastAsia="仿宋_GB2312"/>
          <w:color w:val="auto"/>
          <w:sz w:val="28"/>
          <w:szCs w:val="28"/>
          <w:highlight w:val="none"/>
          <w:u w:val="none"/>
          <w:lang w:val="en-US" w:eastAsia="zh-CN"/>
        </w:rPr>
        <w:t>大坦沙分公司三期厂区</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lang w:val="en-US" w:eastAsia="zh-CN"/>
        </w:rPr>
        <w:t>项目二：</w:t>
      </w:r>
      <w:r>
        <w:rPr>
          <w:rFonts w:hint="eastAsia" w:ascii="仿宋_GB2312" w:eastAsia="仿宋_GB2312"/>
          <w:color w:val="auto"/>
          <w:sz w:val="28"/>
          <w:szCs w:val="28"/>
          <w:highlight w:val="none"/>
          <w:u w:val="none"/>
        </w:rPr>
        <w:t>广州市净水有限公司石井净水分公司</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lang w:val="en-US" w:eastAsia="zh-CN"/>
        </w:rPr>
        <w:t>项目三：</w:t>
      </w:r>
      <w:r>
        <w:rPr>
          <w:rFonts w:hint="eastAsia" w:ascii="仿宋_GB2312" w:eastAsia="仿宋_GB2312"/>
          <w:color w:val="auto"/>
          <w:sz w:val="28"/>
          <w:szCs w:val="28"/>
          <w:highlight w:val="none"/>
          <w:u w:val="none"/>
        </w:rPr>
        <w:t>广州市净水有限公司</w:t>
      </w:r>
      <w:r>
        <w:rPr>
          <w:rFonts w:hint="eastAsia" w:ascii="仿宋_GB2312" w:eastAsia="仿宋_GB2312"/>
          <w:color w:val="auto"/>
          <w:sz w:val="28"/>
          <w:szCs w:val="28"/>
          <w:highlight w:val="none"/>
          <w:u w:val="none"/>
          <w:lang w:val="en-US" w:eastAsia="zh-CN"/>
        </w:rPr>
        <w:t>江高</w:t>
      </w:r>
      <w:r>
        <w:rPr>
          <w:rFonts w:hint="eastAsia" w:ascii="仿宋_GB2312" w:eastAsia="仿宋_GB2312"/>
          <w:color w:val="auto"/>
          <w:sz w:val="28"/>
          <w:szCs w:val="28"/>
          <w:highlight w:val="none"/>
          <w:u w:val="none"/>
        </w:rPr>
        <w:t>分公司</w:t>
      </w:r>
    </w:p>
    <w:p>
      <w:pPr>
        <w:adjustRightInd w:val="0"/>
        <w:snapToGrid w:val="0"/>
        <w:spacing w:line="600" w:lineRule="exact"/>
        <w:jc w:val="left"/>
        <w:rPr>
          <w:color w:val="auto"/>
          <w:highlight w:val="none"/>
          <w:u w:val="none"/>
        </w:rPr>
      </w:pPr>
      <w:r>
        <w:rPr>
          <w:rFonts w:hint="eastAsia" w:ascii="仿宋_GB2312" w:eastAsia="仿宋_GB2312"/>
          <w:color w:val="auto"/>
          <w:sz w:val="28"/>
          <w:szCs w:val="28"/>
          <w:highlight w:val="none"/>
          <w:u w:val="none"/>
          <w:lang w:val="en-US" w:eastAsia="zh-CN"/>
        </w:rPr>
        <w:t>项目四：</w:t>
      </w:r>
      <w:r>
        <w:rPr>
          <w:rFonts w:hint="eastAsia" w:ascii="仿宋_GB2312" w:eastAsia="仿宋_GB2312"/>
          <w:color w:val="auto"/>
          <w:sz w:val="28"/>
          <w:szCs w:val="28"/>
          <w:highlight w:val="none"/>
          <w:u w:val="none"/>
        </w:rPr>
        <w:t>广州市净水有限公司</w:t>
      </w:r>
      <w:r>
        <w:rPr>
          <w:rFonts w:hint="eastAsia" w:ascii="仿宋_GB2312" w:eastAsia="仿宋_GB2312"/>
          <w:color w:val="auto"/>
          <w:sz w:val="28"/>
          <w:szCs w:val="28"/>
          <w:highlight w:val="none"/>
          <w:u w:val="none"/>
          <w:lang w:val="en-US" w:eastAsia="zh-CN"/>
        </w:rPr>
        <w:t>江高</w:t>
      </w:r>
      <w:r>
        <w:rPr>
          <w:rFonts w:hint="eastAsia" w:ascii="仿宋_GB2312" w:eastAsia="仿宋_GB2312"/>
          <w:color w:val="auto"/>
          <w:sz w:val="28"/>
          <w:szCs w:val="28"/>
          <w:highlight w:val="none"/>
          <w:u w:val="none"/>
        </w:rPr>
        <w:t>分公司</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t>2.4质量要求：</w:t>
      </w: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施工质量要求   □货物质量标准或主要技术性能指标  □服务质量要求或服务标准如下：</w:t>
      </w:r>
      <w:r>
        <w:rPr>
          <w:rFonts w:hint="eastAsia" w:ascii="仿宋_GB2312" w:eastAsia="仿宋_GB2312"/>
          <w:color w:val="auto"/>
          <w:sz w:val="28"/>
          <w:szCs w:val="28"/>
          <w:highlight w:val="none"/>
          <w:u w:val="none"/>
          <w:lang w:val="en-US" w:eastAsia="zh-CN"/>
        </w:rPr>
        <w:t xml:space="preserve">项目完工后，设备材料需于询价文件描述的一致或优于询价文件描述且通过招标方同意，本项目与方案技术要求相符，且满足相关国家法律法规。 </w:t>
      </w:r>
      <w:r>
        <w:rPr>
          <w:rFonts w:hint="eastAsia" w:ascii="仿宋_GB2312" w:eastAsia="仿宋_GB2312"/>
          <w:color w:val="auto"/>
          <w:sz w:val="28"/>
          <w:szCs w:val="28"/>
          <w:highlight w:val="none"/>
          <w:u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t xml:space="preserve">2.5其他：□安全目标如下：                                         </w:t>
      </w:r>
    </w:p>
    <w:p>
      <w:pPr>
        <w:adjustRightInd w:val="0"/>
        <w:snapToGrid w:val="0"/>
        <w:spacing w:line="600" w:lineRule="exact"/>
        <w:jc w:val="left"/>
        <w:rPr>
          <w:rFonts w:hint="eastAsia" w:asciiTheme="minorEastAsia" w:hAnsiTheme="minorEastAsia" w:eastAsiaTheme="minorEastAsia"/>
          <w:b/>
          <w:color w:val="auto"/>
          <w:sz w:val="32"/>
          <w:szCs w:val="32"/>
          <w:highlight w:val="none"/>
          <w:u w:val="none"/>
          <w:lang w:eastAsia="zh-CN"/>
        </w:rPr>
      </w:pPr>
      <w:r>
        <w:rPr>
          <w:rFonts w:hint="eastAsia" w:asciiTheme="minorEastAsia" w:hAnsiTheme="minorEastAsia"/>
          <w:b/>
          <w:color w:val="auto"/>
          <w:sz w:val="32"/>
          <w:szCs w:val="32"/>
          <w:highlight w:val="none"/>
          <w:u w:val="none"/>
        </w:rPr>
        <w:t>3.供应商资格要求</w:t>
      </w:r>
      <w:r>
        <w:rPr>
          <w:rFonts w:hint="eastAsia" w:asciiTheme="minorEastAsia" w:hAnsiTheme="minorEastAsia"/>
          <w:b/>
          <w:color w:val="auto"/>
          <w:sz w:val="32"/>
          <w:szCs w:val="32"/>
          <w:highlight w:val="none"/>
          <w:u w:val="none"/>
          <w:lang w:eastAsia="zh-CN"/>
        </w:rPr>
        <w:t>（</w:t>
      </w:r>
      <w:r>
        <w:rPr>
          <w:rFonts w:hint="eastAsia" w:asciiTheme="minorEastAsia" w:hAnsiTheme="minorEastAsia"/>
          <w:b/>
          <w:color w:val="auto"/>
          <w:sz w:val="32"/>
          <w:szCs w:val="32"/>
          <w:highlight w:val="none"/>
          <w:u w:val="none"/>
          <w:lang w:val="en-US" w:eastAsia="zh-CN"/>
        </w:rPr>
        <w:t>须提供复印件并加盖单位公章</w:t>
      </w:r>
      <w:r>
        <w:rPr>
          <w:rFonts w:hint="eastAsia" w:asciiTheme="minorEastAsia" w:hAnsiTheme="minorEastAsia"/>
          <w:b/>
          <w:color w:val="auto"/>
          <w:sz w:val="32"/>
          <w:szCs w:val="32"/>
          <w:highlight w:val="none"/>
          <w:u w:val="none"/>
          <w:lang w:eastAsia="zh-CN"/>
        </w:rPr>
        <w:t>）</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u w:val="none"/>
          <w:lang w:eastAsia="zh-CN"/>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1</w:t>
      </w:r>
      <w:r>
        <w:rPr>
          <w:rFonts w:hint="eastAsia" w:ascii="仿宋_GB2312" w:eastAsia="仿宋_GB2312"/>
          <w:color w:val="auto"/>
          <w:sz w:val="28"/>
          <w:szCs w:val="28"/>
          <w:highlight w:val="none"/>
          <w:u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 xml:space="preserve">供应商应当具备 </w:t>
      </w:r>
      <w:r>
        <w:rPr>
          <w:rFonts w:hint="eastAsia" w:ascii="仿宋_GB2312" w:eastAsia="仿宋_GB2312" w:hAnsiTheme="minorHAnsi" w:cstheme="minorBidi"/>
          <w:i w:val="0"/>
          <w:caps w:val="0"/>
          <w:color w:val="auto"/>
          <w:spacing w:val="0"/>
          <w:sz w:val="28"/>
          <w:szCs w:val="28"/>
          <w:highlight w:val="none"/>
          <w:u w:val="none"/>
          <w:shd w:val="clear" w:fill="auto"/>
        </w:rPr>
        <w:t>市政公用工程施工总承包资质三级</w:t>
      </w:r>
      <w:r>
        <w:rPr>
          <w:rFonts w:hint="eastAsia" w:ascii="仿宋_GB2312" w:eastAsia="仿宋_GB2312" w:cstheme="minorBidi"/>
          <w:i w:val="0"/>
          <w:caps w:val="0"/>
          <w:color w:val="auto"/>
          <w:spacing w:val="0"/>
          <w:sz w:val="28"/>
          <w:szCs w:val="28"/>
          <w:highlight w:val="none"/>
          <w:u w:val="none"/>
          <w:shd w:val="clear" w:fill="auto"/>
          <w:lang w:eastAsia="zh-CN"/>
        </w:rPr>
        <w:t>（</w:t>
      </w:r>
      <w:r>
        <w:rPr>
          <w:rFonts w:hint="eastAsia" w:ascii="仿宋_GB2312" w:eastAsia="仿宋_GB2312" w:hAnsiTheme="minorHAnsi" w:cstheme="minorBidi"/>
          <w:i w:val="0"/>
          <w:caps w:val="0"/>
          <w:color w:val="auto"/>
          <w:spacing w:val="0"/>
          <w:sz w:val="28"/>
          <w:szCs w:val="28"/>
          <w:highlight w:val="none"/>
          <w:u w:val="none"/>
          <w:shd w:val="clear" w:fill="auto"/>
        </w:rPr>
        <w:t>或以上</w:t>
      </w:r>
      <w:r>
        <w:rPr>
          <w:rFonts w:hint="eastAsia" w:ascii="仿宋_GB2312" w:eastAsia="仿宋_GB2312" w:cstheme="minorBidi"/>
          <w:i w:val="0"/>
          <w:caps w:val="0"/>
          <w:color w:val="auto"/>
          <w:spacing w:val="0"/>
          <w:sz w:val="28"/>
          <w:szCs w:val="28"/>
          <w:highlight w:val="none"/>
          <w:u w:val="none"/>
          <w:shd w:val="clear" w:fill="auto"/>
          <w:lang w:eastAsia="zh-CN"/>
        </w:rPr>
        <w:t>）</w:t>
      </w:r>
      <w:r>
        <w:rPr>
          <w:rFonts w:hint="eastAsia" w:ascii="仿宋_GB2312" w:eastAsia="仿宋_GB2312" w:hAnsiTheme="minorHAnsi" w:cstheme="minorBidi"/>
          <w:i w:val="0"/>
          <w:caps w:val="0"/>
          <w:color w:val="auto"/>
          <w:spacing w:val="0"/>
          <w:sz w:val="28"/>
          <w:szCs w:val="28"/>
          <w:highlight w:val="none"/>
          <w:u w:val="none"/>
          <w:shd w:val="clear" w:fill="auto"/>
        </w:rPr>
        <w:t>资质</w:t>
      </w:r>
      <w:r>
        <w:rPr>
          <w:rFonts w:hint="eastAsia" w:ascii="仿宋_GB2312" w:eastAsia="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具有建设主管部门颁发且在有效期内的《安全生产许可证》</w:t>
      </w:r>
      <w:r>
        <w:rPr>
          <w:rFonts w:hint="eastAsia" w:ascii="仿宋_GB2312" w:eastAsia="仿宋_GB2312"/>
          <w:color w:val="auto"/>
          <w:sz w:val="28"/>
          <w:szCs w:val="28"/>
          <w:highlight w:val="none"/>
          <w:u w:val="none"/>
        </w:rPr>
        <w:t xml:space="preserve"> 资质。</w:t>
      </w:r>
    </w:p>
    <w:p>
      <w:pP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2" w:char="00A3"/>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2019年1月1日至今，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 xml:space="preserve">一项 / </w:t>
      </w:r>
      <w:r>
        <w:rPr>
          <w:rFonts w:hint="eastAsia" w:ascii="仿宋_GB2312" w:eastAsia="仿宋_GB2312"/>
          <w:color w:val="auto"/>
          <w:sz w:val="28"/>
          <w:szCs w:val="28"/>
          <w:highlight w:val="none"/>
          <w:u w:val="none"/>
        </w:rPr>
        <w:t>项目的业绩。（提供合同复印件证明，包括但不限于项目名称、金额及实施内容、合同盖章</w:t>
      </w:r>
      <w:r>
        <w:rPr>
          <w:rFonts w:hint="eastAsia" w:ascii="仿宋_GB2312" w:eastAsia="仿宋_GB2312"/>
          <w:color w:val="auto"/>
          <w:sz w:val="28"/>
          <w:szCs w:val="28"/>
          <w:highlight w:val="none"/>
          <w:u w:val="none"/>
          <w:lang w:eastAsia="zh-CN"/>
        </w:rPr>
        <w:t>、</w:t>
      </w:r>
      <w:bookmarkStart w:id="165" w:name="_GoBack"/>
      <w:bookmarkEnd w:id="165"/>
      <w:r>
        <w:rPr>
          <w:rFonts w:hint="eastAsia" w:ascii="仿宋_GB2312" w:eastAsia="仿宋_GB2312"/>
          <w:color w:val="auto"/>
          <w:sz w:val="28"/>
          <w:szCs w:val="28"/>
          <w:highlight w:val="none"/>
          <w:u w:val="none"/>
        </w:rPr>
        <w:t>签订日期，加盖单位公章）</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 xml:space="preserve">）项目负责人应当具备 </w:t>
      </w:r>
      <w:r>
        <w:rPr>
          <w:rFonts w:hint="eastAsia" w:ascii="仿宋_GB2312" w:eastAsia="仿宋_GB2312"/>
          <w:color w:val="auto"/>
          <w:sz w:val="28"/>
          <w:szCs w:val="28"/>
          <w:highlight w:val="none"/>
          <w:u w:val="none"/>
          <w:lang w:val="en-US" w:eastAsia="zh-CN"/>
        </w:rPr>
        <w:t>市政</w:t>
      </w:r>
      <w:r>
        <w:rPr>
          <w:rFonts w:hint="eastAsia" w:ascii="仿宋_GB2312" w:eastAsia="仿宋_GB2312"/>
          <w:color w:val="auto"/>
          <w:sz w:val="28"/>
          <w:szCs w:val="28"/>
          <w:highlight w:val="none"/>
          <w:u w:val="none"/>
        </w:rPr>
        <w:t>工程专业二级（或以上级别）的注册建造师（须提供最新电子证书）或具备符合粤建市〔2010〕26号文规定的小型项目负责人资格，同时持有项目负责人安全生产考核合格证（B类）（或能够提供广东省建筑施工企业管理人员安全生产考核信息系统安全生产管理人员证书信息的网页截图）。（注：注册建造师电子证书须由本人在个人签名处手写签名，未手写签名或与签名图像笔迹不一致的，电子证书无效） 资格条件。</w:t>
      </w:r>
    </w:p>
    <w:p>
      <w:pPr>
        <w:pStyle w:val="2"/>
        <w:spacing w:line="600" w:lineRule="exact"/>
        <w:ind w:firstLine="0"/>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6</w:t>
      </w:r>
      <w:r>
        <w:rPr>
          <w:rFonts w:hint="eastAsia" w:ascii="仿宋_GB2312" w:eastAsia="仿宋_GB2312"/>
          <w:color w:val="auto"/>
          <w:sz w:val="28"/>
          <w:szCs w:val="28"/>
          <w:highlight w:val="none"/>
          <w:u w:val="none"/>
        </w:rPr>
        <w:t>）其他要求： 专职安全人员要求：须具有安全生产考核合格证（C类）（或能够提供广东省建筑施工企业管理人员安全生产考核信息系统安全生产管理人员证书信息的网页截图）。项目负责人不得同时兼任本项目专职安全人员。</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u w:val="none"/>
        </w:rPr>
        <w:t>3.2供应商在响应文件提交截止日期止不得存在下列情形之一</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须出具承诺函</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lang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项目一、项目三</w:t>
      </w:r>
      <w:r>
        <w:rPr>
          <w:rFonts w:hint="eastAsia" w:ascii="仿宋_GB2312" w:eastAsia="仿宋_GB2312"/>
          <w:color w:val="auto"/>
          <w:sz w:val="28"/>
          <w:szCs w:val="28"/>
          <w:highlight w:val="none"/>
          <w:lang w:eastAsia="zh-CN"/>
        </w:rPr>
        <w:t>）</w:t>
      </w:r>
    </w:p>
    <w:p>
      <w:pPr>
        <w:adjustRightInd w:val="0"/>
        <w:snapToGrid w:val="0"/>
        <w:spacing w:line="600" w:lineRule="exact"/>
        <w:ind w:firstLine="0" w:firstLineChars="0"/>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项目二、项目四</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adjustRightInd w:val="0"/>
        <w:snapToGrid w:val="0"/>
        <w:spacing w:line="360" w:lineRule="auto"/>
        <w:ind w:firstLine="560" w:firstLineChars="200"/>
        <w:rPr>
          <w:rFonts w:hint="eastAsia" w:ascii="仿宋_GB2312" w:hAnsi="仿宋" w:eastAsia="仿宋_GB2312" w:cs="仿宋_GB2312"/>
          <w:color w:val="auto"/>
          <w:sz w:val="28"/>
          <w:szCs w:val="28"/>
          <w:highlight w:val="none"/>
          <w:lang w:val="zh-CN"/>
        </w:rPr>
      </w:pPr>
      <w:r>
        <w:rPr>
          <w:rFonts w:hint="eastAsia" w:ascii="仿宋_GB2312" w:hAnsi="仿宋" w:eastAsia="仿宋_GB2312" w:cs="仿宋_GB2312"/>
          <w:color w:val="auto"/>
          <w:sz w:val="28"/>
          <w:szCs w:val="28"/>
          <w:highlight w:val="none"/>
          <w:lang w:val="zh-CN"/>
        </w:rPr>
        <w:t>防疫要求：基于疫情防控形势，授权委托人须通过“广州净水公司”微信公众号当天（提前）预约，填写访客预约信息</w:t>
      </w:r>
      <w:r>
        <w:rPr>
          <w:rFonts w:hint="eastAsia" w:ascii="仿宋_GB2312" w:eastAsia="仿宋_GB2312"/>
          <w:color w:val="auto"/>
          <w:sz w:val="28"/>
          <w:szCs w:val="28"/>
          <w:highlight w:val="none"/>
          <w:lang w:val="en-US" w:eastAsia="zh-CN"/>
        </w:rPr>
        <w:t>（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24小时内的核酸检测证明）。待被访部室审核员审批通过后，凭访客手机生成的“通行访客码”通行。于门岗处测温并扫码填写调查问卷，手机显示问卷“提交成功”后方可进入厂区。</w:t>
      </w:r>
    </w:p>
    <w:p>
      <w:pPr>
        <w:adjustRightInd w:val="0"/>
        <w:snapToGrid w:val="0"/>
        <w:spacing w:line="600" w:lineRule="exact"/>
        <w:ind w:firstLine="560" w:firstLineChars="200"/>
        <w:jc w:val="left"/>
        <w:rPr>
          <w:rFonts w:hint="eastAsia" w:ascii="仿宋_GB2312" w:eastAsia="仿宋_GB2312"/>
          <w:color w:val="auto"/>
          <w:sz w:val="28"/>
          <w:szCs w:val="28"/>
          <w:highlight w:val="none"/>
          <w:u w:val="none"/>
          <w:lang w:val="en-US" w:eastAsia="zh-CN"/>
        </w:rPr>
      </w:pPr>
      <w:r>
        <w:rPr>
          <w:rFonts w:hint="eastAsia" w:ascii="仿宋_GB2312" w:eastAsia="仿宋_GB2312" w:cstheme="minorBidi"/>
          <w:color w:val="auto"/>
          <w:kern w:val="2"/>
          <w:sz w:val="28"/>
          <w:szCs w:val="28"/>
          <w:highlight w:val="none"/>
          <w:lang w:val="en-US" w:eastAsia="zh-CN"/>
        </w:rPr>
        <w:t>项目二：</w:t>
      </w:r>
    </w:p>
    <w:p>
      <w:pPr>
        <w:spacing w:line="360" w:lineRule="auto"/>
        <w:ind w:firstLine="560" w:firstLineChars="200"/>
        <w:rPr>
          <w:rFonts w:hint="eastAsia" w:ascii="仿宋_GB2312" w:eastAsia="仿宋_GB2312" w:hAnsiTheme="minorHAnsi" w:cstheme="minorBidi"/>
          <w:color w:val="auto"/>
          <w:kern w:val="2"/>
          <w:sz w:val="28"/>
          <w:szCs w:val="28"/>
          <w:highlight w:val="none"/>
          <w:lang w:val="zh-CN" w:eastAsia="zh-CN"/>
        </w:rPr>
      </w:pPr>
      <w:r>
        <w:rPr>
          <w:rFonts w:hint="eastAsia" w:ascii="仿宋_GB2312" w:eastAsia="仿宋_GB2312" w:hAnsiTheme="minorHAnsi" w:cstheme="minorBidi"/>
          <w:color w:val="auto"/>
          <w:kern w:val="2"/>
          <w:sz w:val="28"/>
          <w:szCs w:val="28"/>
          <w:highlight w:val="none"/>
          <w:lang w:val="en-US" w:eastAsia="zh-CN"/>
        </w:rPr>
        <w:t>踏勘现场联系人：陆</w:t>
      </w:r>
      <w:r>
        <w:rPr>
          <w:rFonts w:hint="eastAsia" w:ascii="仿宋_GB2312" w:eastAsia="仿宋_GB2312" w:hAnsiTheme="minorHAnsi" w:cstheme="minorBidi"/>
          <w:color w:val="auto"/>
          <w:kern w:val="2"/>
          <w:sz w:val="28"/>
          <w:szCs w:val="28"/>
          <w:highlight w:val="none"/>
          <w:lang w:val="zh-CN" w:eastAsia="zh-CN"/>
        </w:rPr>
        <w:t>工</w:t>
      </w:r>
    </w:p>
    <w:p>
      <w:pPr>
        <w:spacing w:line="360" w:lineRule="auto"/>
        <w:ind w:firstLine="560" w:firstLineChars="20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zh-CN" w:eastAsia="zh-CN"/>
        </w:rPr>
        <w:t>踏勘现场联系人联系方式：</w:t>
      </w:r>
      <w:r>
        <w:rPr>
          <w:rFonts w:hint="eastAsia" w:ascii="仿宋_GB2312" w:eastAsia="仿宋_GB2312" w:hAnsiTheme="minorHAnsi" w:cstheme="minorBidi"/>
          <w:color w:val="auto"/>
          <w:kern w:val="2"/>
          <w:sz w:val="28"/>
          <w:szCs w:val="28"/>
          <w:highlight w:val="none"/>
          <w:lang w:val="en-US" w:eastAsia="zh-CN"/>
        </w:rPr>
        <w:t>13632377684</w:t>
      </w:r>
    </w:p>
    <w:p>
      <w:pPr>
        <w:spacing w:line="360" w:lineRule="auto"/>
        <w:ind w:left="559" w:leftChars="266" w:firstLine="0" w:firstLineChars="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zh-CN" w:eastAsia="zh-CN"/>
        </w:rPr>
        <w:t>踏勘（答疑会）集合时间：</w:t>
      </w:r>
      <w:r>
        <w:rPr>
          <w:rFonts w:hint="eastAsia" w:ascii="仿宋_GB2312" w:eastAsia="仿宋_GB2312" w:cstheme="minorBidi"/>
          <w:color w:val="auto"/>
          <w:kern w:val="2"/>
          <w:sz w:val="28"/>
          <w:szCs w:val="28"/>
          <w:highlight w:val="none"/>
          <w:lang w:val="en-US" w:eastAsia="zh-CN"/>
        </w:rPr>
        <w:t>2022年10月9日9时00分至9时30分</w:t>
      </w:r>
      <w:r>
        <w:rPr>
          <w:rFonts w:hint="eastAsia" w:ascii="仿宋_GB2312" w:eastAsia="仿宋_GB2312" w:cstheme="minorBidi"/>
          <w:color w:val="auto"/>
          <w:kern w:val="2"/>
          <w:sz w:val="28"/>
          <w:szCs w:val="28"/>
          <w:highlight w:val="none"/>
          <w:lang w:val="en-US" w:eastAsia="zh-CN"/>
        </w:rPr>
        <w:br w:type="textWrapping"/>
      </w:r>
      <w:r>
        <w:rPr>
          <w:rFonts w:hint="eastAsia" w:ascii="仿宋_GB2312" w:eastAsia="仿宋_GB2312" w:hAnsiTheme="minorHAnsi" w:cstheme="minorBidi"/>
          <w:color w:val="auto"/>
          <w:kern w:val="2"/>
          <w:sz w:val="28"/>
          <w:szCs w:val="28"/>
          <w:highlight w:val="none"/>
        </w:rPr>
        <w:t>踏勘集中地点：广州市白云区石槎路695号</w:t>
      </w:r>
      <w:r>
        <w:rPr>
          <w:rFonts w:hint="eastAsia" w:ascii="仿宋_GB2312" w:eastAsia="仿宋_GB2312" w:cstheme="minorBidi"/>
          <w:color w:val="auto"/>
          <w:kern w:val="2"/>
          <w:sz w:val="28"/>
          <w:szCs w:val="28"/>
          <w:highlight w:val="none"/>
          <w:lang w:eastAsia="zh-CN"/>
        </w:rPr>
        <w:t>（</w:t>
      </w:r>
      <w:r>
        <w:rPr>
          <w:rFonts w:hint="eastAsia" w:ascii="仿宋_GB2312" w:eastAsia="仿宋_GB2312"/>
          <w:color w:val="auto"/>
          <w:sz w:val="28"/>
          <w:szCs w:val="28"/>
          <w:highlight w:val="none"/>
          <w:u w:val="none"/>
        </w:rPr>
        <w:t>广州市净水有限公司石井净水分公司</w:t>
      </w:r>
      <w:r>
        <w:rPr>
          <w:rFonts w:hint="eastAsia" w:ascii="仿宋_GB2312" w:eastAsia="仿宋_GB2312"/>
          <w:color w:val="auto"/>
          <w:sz w:val="28"/>
          <w:szCs w:val="28"/>
          <w:highlight w:val="none"/>
          <w:u w:val="none"/>
          <w:lang w:eastAsia="zh-CN"/>
        </w:rPr>
        <w:t>）</w:t>
      </w:r>
    </w:p>
    <w:p>
      <w:pPr>
        <w:adjustRightInd w:val="0"/>
        <w:snapToGrid w:val="0"/>
        <w:spacing w:line="600" w:lineRule="exact"/>
        <w:ind w:firstLine="560" w:firstLineChars="200"/>
        <w:jc w:val="left"/>
        <w:rPr>
          <w:rFonts w:hint="eastAsia" w:ascii="仿宋_GB2312" w:eastAsia="仿宋_GB2312" w:cstheme="minorBidi"/>
          <w:color w:val="auto"/>
          <w:kern w:val="2"/>
          <w:sz w:val="28"/>
          <w:szCs w:val="28"/>
          <w:highlight w:val="none"/>
          <w:lang w:val="en-US" w:eastAsia="zh-CN"/>
        </w:rPr>
      </w:pPr>
      <w:r>
        <w:rPr>
          <w:rFonts w:hint="eastAsia" w:ascii="仿宋_GB2312" w:eastAsia="仿宋_GB2312" w:cstheme="minorBidi"/>
          <w:color w:val="auto"/>
          <w:kern w:val="2"/>
          <w:sz w:val="28"/>
          <w:szCs w:val="28"/>
          <w:highlight w:val="none"/>
          <w:lang w:val="en-US" w:eastAsia="zh-CN"/>
        </w:rPr>
        <w:t>项目四：</w:t>
      </w:r>
    </w:p>
    <w:p>
      <w:pPr>
        <w:spacing w:line="360" w:lineRule="auto"/>
        <w:ind w:firstLine="560" w:firstLineChars="200"/>
        <w:rPr>
          <w:rFonts w:hint="eastAsia" w:ascii="仿宋_GB2312" w:eastAsia="仿宋_GB2312" w:hAnsiTheme="minorHAnsi" w:cstheme="minorBidi"/>
          <w:color w:val="auto"/>
          <w:kern w:val="2"/>
          <w:sz w:val="28"/>
          <w:szCs w:val="28"/>
          <w:highlight w:val="none"/>
          <w:lang w:val="zh-CN" w:eastAsia="zh-CN"/>
        </w:rPr>
      </w:pPr>
      <w:r>
        <w:rPr>
          <w:rFonts w:hint="eastAsia" w:ascii="仿宋_GB2312" w:eastAsia="仿宋_GB2312" w:hAnsiTheme="minorHAnsi" w:cstheme="minorBidi"/>
          <w:color w:val="auto"/>
          <w:kern w:val="2"/>
          <w:sz w:val="28"/>
          <w:szCs w:val="28"/>
          <w:highlight w:val="none"/>
          <w:lang w:val="en-US" w:eastAsia="zh-CN"/>
        </w:rPr>
        <w:t>踏勘现场联系人：</w:t>
      </w:r>
      <w:r>
        <w:rPr>
          <w:rFonts w:hint="eastAsia" w:ascii="仿宋_GB2312" w:eastAsia="仿宋_GB2312" w:hAnsiTheme="minorHAnsi" w:cstheme="minorBidi"/>
          <w:color w:val="auto"/>
          <w:kern w:val="2"/>
          <w:sz w:val="28"/>
          <w:szCs w:val="28"/>
          <w:highlight w:val="none"/>
          <w:lang w:val="zh-CN" w:eastAsia="zh-CN"/>
        </w:rPr>
        <w:t>邓工</w:t>
      </w:r>
    </w:p>
    <w:p>
      <w:pPr>
        <w:spacing w:line="360" w:lineRule="auto"/>
        <w:ind w:firstLine="560" w:firstLineChars="200"/>
        <w:rPr>
          <w:rFonts w:hint="eastAsia" w:ascii="仿宋_GB2312" w:eastAsia="仿宋_GB2312" w:hAnsiTheme="minorHAnsi" w:cstheme="minorBidi"/>
          <w:color w:val="auto"/>
          <w:kern w:val="2"/>
          <w:sz w:val="28"/>
          <w:szCs w:val="28"/>
          <w:highlight w:val="none"/>
          <w:lang w:val="zh-CN" w:eastAsia="zh-CN"/>
        </w:rPr>
      </w:pPr>
      <w:r>
        <w:rPr>
          <w:rFonts w:hint="eastAsia" w:ascii="仿宋_GB2312" w:eastAsia="仿宋_GB2312" w:hAnsiTheme="minorHAnsi" w:cstheme="minorBidi"/>
          <w:color w:val="auto"/>
          <w:kern w:val="2"/>
          <w:sz w:val="28"/>
          <w:szCs w:val="28"/>
          <w:highlight w:val="none"/>
          <w:lang w:val="zh-CN" w:eastAsia="zh-CN"/>
        </w:rPr>
        <w:t>踏勘现场联系人联系方式：18202043629</w:t>
      </w:r>
    </w:p>
    <w:p>
      <w:pPr>
        <w:pStyle w:val="2"/>
        <w:ind w:left="559" w:leftChars="266" w:firstLine="0" w:firstLineChars="0"/>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stheme="minorBidi"/>
          <w:color w:val="auto"/>
          <w:kern w:val="2"/>
          <w:sz w:val="28"/>
          <w:szCs w:val="28"/>
          <w:highlight w:val="none"/>
          <w:lang w:val="zh-CN" w:eastAsia="zh-CN"/>
        </w:rPr>
        <w:t>踏勘（答疑会）集合时间：</w:t>
      </w:r>
      <w:r>
        <w:rPr>
          <w:rFonts w:hint="eastAsia" w:ascii="仿宋_GB2312" w:eastAsia="仿宋_GB2312" w:hAnsiTheme="minorHAnsi" w:cstheme="minorBidi"/>
          <w:color w:val="auto"/>
          <w:kern w:val="2"/>
          <w:sz w:val="28"/>
          <w:szCs w:val="28"/>
          <w:highlight w:val="none"/>
          <w:lang w:val="en-US" w:eastAsia="zh-CN"/>
        </w:rPr>
        <w:t>2022年10月9日10时30分至11时00分</w:t>
      </w:r>
      <w:r>
        <w:rPr>
          <w:rFonts w:hint="eastAsia" w:ascii="仿宋_GB2312" w:eastAsia="仿宋_GB2312" w:hAnsiTheme="minorHAnsi" w:cstheme="minorBidi"/>
          <w:color w:val="auto"/>
          <w:kern w:val="2"/>
          <w:sz w:val="28"/>
          <w:szCs w:val="28"/>
          <w:highlight w:val="none"/>
          <w:lang w:val="zh-CN" w:eastAsia="zh-CN"/>
        </w:rPr>
        <w:br w:type="textWrapping"/>
      </w:r>
      <w:r>
        <w:rPr>
          <w:rFonts w:hint="eastAsia" w:ascii="仿宋_GB2312" w:eastAsia="仿宋_GB2312" w:hAnsiTheme="minorHAnsi" w:cstheme="minorBidi"/>
          <w:color w:val="auto"/>
          <w:kern w:val="2"/>
          <w:sz w:val="28"/>
          <w:szCs w:val="28"/>
          <w:highlight w:val="none"/>
        </w:rPr>
        <w:t>踏勘集中地点：广州市白云区江高镇南岗村南贤路1号</w:t>
      </w:r>
      <w:r>
        <w:rPr>
          <w:rFonts w:hint="eastAsia" w:ascii="仿宋_GB2312" w:eastAsia="仿宋_GB2312" w:hAnsiTheme="minorHAnsi" w:cstheme="minorBidi"/>
          <w:color w:val="auto"/>
          <w:kern w:val="2"/>
          <w:sz w:val="28"/>
          <w:szCs w:val="28"/>
          <w:highlight w:val="none"/>
          <w:lang w:eastAsia="zh-CN"/>
        </w:rPr>
        <w:t>（</w:t>
      </w:r>
      <w:r>
        <w:rPr>
          <w:rFonts w:hint="eastAsia" w:ascii="仿宋_GB2312" w:eastAsia="仿宋_GB2312"/>
          <w:color w:val="auto"/>
          <w:sz w:val="28"/>
          <w:szCs w:val="28"/>
          <w:highlight w:val="none"/>
          <w:u w:val="none"/>
        </w:rPr>
        <w:t>广州市净水有限公司</w:t>
      </w:r>
      <w:r>
        <w:rPr>
          <w:rFonts w:hint="eastAsia" w:ascii="仿宋_GB2312" w:eastAsia="仿宋_GB2312"/>
          <w:color w:val="auto"/>
          <w:sz w:val="28"/>
          <w:szCs w:val="28"/>
          <w:highlight w:val="none"/>
          <w:u w:val="none"/>
          <w:lang w:val="en-US" w:eastAsia="zh-CN"/>
        </w:rPr>
        <w:t>江高</w:t>
      </w:r>
      <w:r>
        <w:rPr>
          <w:rFonts w:hint="eastAsia" w:ascii="仿宋_GB2312" w:eastAsia="仿宋_GB2312"/>
          <w:color w:val="auto"/>
          <w:sz w:val="28"/>
          <w:szCs w:val="28"/>
          <w:highlight w:val="none"/>
          <w:u w:val="none"/>
        </w:rPr>
        <w:t>分公司</w:t>
      </w:r>
      <w:r>
        <w:rPr>
          <w:rFonts w:hint="eastAsia" w:ascii="仿宋_GB2312" w:eastAsia="仿宋_GB2312" w:hAnsiTheme="minorHAnsi"/>
          <w:color w:val="auto"/>
          <w:sz w:val="28"/>
          <w:szCs w:val="28"/>
          <w:highlight w:val="none"/>
          <w:u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
        <w:ind w:firstLine="560" w:firstLineChars="200"/>
        <w:rPr>
          <w:rFonts w:hint="default" w:eastAsia="仿宋_GB2312"/>
          <w:color w:val="auto"/>
          <w:highlight w:val="none"/>
          <w:lang w:val="en-US" w:eastAsia="zh-CN"/>
        </w:rPr>
      </w:pPr>
      <w:r>
        <w:rPr>
          <w:rFonts w:hint="eastAsia" w:ascii="仿宋_GB2312" w:eastAsia="仿宋_GB2312"/>
          <w:color w:val="auto"/>
          <w:sz w:val="28"/>
          <w:szCs w:val="28"/>
          <w:highlight w:val="none"/>
          <w:lang w:val="en-US" w:eastAsia="zh-CN"/>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2240" w:firstLineChars="8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lang w:val="en-US" w:eastAsia="zh-CN"/>
              </w:rPr>
              <w:t xml:space="preserve">2022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28</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ind w:left="0" w:leftChars="0" w:firstLine="0" w:firstLineChars="0"/>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ind w:firstLine="0"/>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25" w:name="_Toc10891"/>
    </w:p>
    <w:p>
      <w:pPr>
        <w:pStyle w:val="4"/>
        <w:rPr>
          <w:color w:val="auto"/>
          <w:highlight w:val="none"/>
        </w:rPr>
      </w:pPr>
      <w:bookmarkStart w:id="26" w:name="_Toc9448"/>
      <w:bookmarkStart w:id="27" w:name="_Toc32588"/>
      <w:bookmarkStart w:id="28" w:name="_Toc7340"/>
      <w:bookmarkStart w:id="29" w:name="_Toc19295"/>
      <w:bookmarkStart w:id="30" w:name="_Toc16705"/>
      <w:bookmarkStart w:id="31" w:name="_Toc2331"/>
      <w:bookmarkStart w:id="32" w:name="_Toc23749"/>
      <w:bookmarkStart w:id="33" w:name="_Toc16557"/>
      <w:bookmarkStart w:id="34" w:name="_Toc25603"/>
      <w:bookmarkStart w:id="35" w:name="_Toc2324"/>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25"/>
      <w:bookmarkEnd w:id="26"/>
      <w:bookmarkEnd w:id="27"/>
      <w:bookmarkEnd w:id="28"/>
      <w:bookmarkEnd w:id="29"/>
      <w:bookmarkEnd w:id="30"/>
      <w:bookmarkEnd w:id="31"/>
      <w:bookmarkEnd w:id="32"/>
      <w:bookmarkEnd w:id="33"/>
      <w:bookmarkEnd w:id="34"/>
      <w:bookmarkEnd w:id="35"/>
    </w:p>
    <w:p>
      <w:pPr>
        <w:pStyle w:val="5"/>
        <w:rPr>
          <w:rFonts w:hint="eastAsia"/>
          <w:color w:val="auto"/>
          <w:highlight w:val="none"/>
        </w:rPr>
      </w:pPr>
    </w:p>
    <w:p>
      <w:pPr>
        <w:pStyle w:val="5"/>
        <w:rPr>
          <w:color w:val="auto"/>
          <w:highlight w:val="none"/>
        </w:rPr>
      </w:pPr>
      <w:bookmarkStart w:id="36" w:name="_Toc3416"/>
      <w:bookmarkStart w:id="37" w:name="_Toc2339"/>
      <w:r>
        <w:rPr>
          <w:rFonts w:hint="eastAsia"/>
          <w:color w:val="auto"/>
          <w:highlight w:val="none"/>
        </w:rPr>
        <w:t>供应商须知</w:t>
      </w:r>
      <w:bookmarkEnd w:id="36"/>
      <w:bookmarkEnd w:id="37"/>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（1）采购公告</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会议地点：采购公告中指定地点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.本次交易的特别规定</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对于施工技术方案简单、工期较短、季节性强的中小型工程，或者标准通用设备、材料以及有关服务的采购，可以不要求供应商编制施工组织设计、安装调试方案或服务大纲等技术响应文件，可不进行技术评审。</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采购公告、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6"/>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6"/>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6"/>
        <w:rPr>
          <w:color w:val="auto"/>
          <w:highlight w:val="none"/>
        </w:rPr>
      </w:pPr>
    </w:p>
    <w:p>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38" w:name="_Toc2867"/>
      <w:bookmarkStart w:id="39"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38"/>
      <w:bookmarkEnd w:id="39"/>
    </w:p>
    <w:p>
      <w:pPr>
        <w:pStyle w:val="36"/>
        <w:rPr>
          <w:color w:val="auto"/>
          <w:highlight w:val="none"/>
        </w:rPr>
      </w:pPr>
    </w:p>
    <w:p>
      <w:pPr>
        <w:pStyle w:val="5"/>
        <w:rPr>
          <w:color w:val="auto"/>
          <w:highlight w:val="none"/>
        </w:rPr>
      </w:pPr>
      <w:bookmarkStart w:id="40" w:name="_Toc7040"/>
      <w:bookmarkStart w:id="41" w:name="_Toc7303"/>
      <w:bookmarkStart w:id="42" w:name="_Toc87616371"/>
      <w:bookmarkStart w:id="43" w:name="_Toc88209934"/>
      <w:r>
        <w:rPr>
          <w:rFonts w:hint="eastAsia"/>
          <w:color w:val="auto"/>
          <w:highlight w:val="none"/>
        </w:rPr>
        <w:t>采购方法</w:t>
      </w:r>
      <w:bookmarkEnd w:id="40"/>
      <w:bookmarkEnd w:id="41"/>
      <w:bookmarkEnd w:id="42"/>
      <w:bookmarkEnd w:id="43"/>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color w:val="auto"/>
          <w:highlight w:val="none"/>
        </w:rPr>
      </w:pPr>
      <w:bookmarkStart w:id="44" w:name="_Toc3789"/>
      <w:bookmarkStart w:id="45" w:name="_Toc24895"/>
      <w:r>
        <w:rPr>
          <w:rFonts w:hint="eastAsia"/>
          <w:color w:val="auto"/>
          <w:highlight w:val="none"/>
        </w:rPr>
        <w:t>询比采购</w:t>
      </w:r>
      <w:bookmarkEnd w:id="44"/>
      <w:bookmarkEnd w:id="45"/>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公开询比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46" w:name="_Toc4952"/>
      <w:bookmarkStart w:id="47" w:name="_Toc7437"/>
      <w:bookmarkStart w:id="48" w:name="_Toc19759"/>
      <w:bookmarkStart w:id="49" w:name="_Toc20594"/>
      <w:bookmarkStart w:id="50" w:name="_Toc14552"/>
      <w:bookmarkStart w:id="51" w:name="_Toc3156"/>
      <w:bookmarkStart w:id="52" w:name="_Toc7118"/>
      <w:bookmarkStart w:id="53" w:name="_Toc23581"/>
      <w:bookmarkStart w:id="54" w:name="_Toc10930"/>
      <w:bookmarkStart w:id="55" w:name="_Toc14870"/>
      <w:bookmarkStart w:id="56" w:name="_Toc1905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46"/>
      <w:bookmarkEnd w:id="47"/>
      <w:bookmarkEnd w:id="48"/>
      <w:bookmarkEnd w:id="49"/>
      <w:bookmarkEnd w:id="50"/>
      <w:bookmarkEnd w:id="51"/>
      <w:bookmarkEnd w:id="52"/>
      <w:bookmarkEnd w:id="53"/>
      <w:bookmarkEnd w:id="54"/>
      <w:bookmarkEnd w:id="55"/>
      <w:bookmarkEnd w:id="56"/>
    </w:p>
    <w:p>
      <w:pPr>
        <w:pStyle w:val="36"/>
        <w:rPr>
          <w:color w:val="auto"/>
          <w:highlight w:val="none"/>
        </w:rPr>
      </w:pPr>
    </w:p>
    <w:p>
      <w:pPr>
        <w:pStyle w:val="4"/>
        <w:rPr>
          <w:color w:val="auto"/>
          <w:highlight w:val="none"/>
        </w:rPr>
      </w:pPr>
      <w:bookmarkStart w:id="57" w:name="_Toc12177"/>
      <w:bookmarkStart w:id="58" w:name="_Toc22212"/>
      <w:bookmarkStart w:id="59" w:name="_Toc7831"/>
      <w:bookmarkStart w:id="60" w:name="_Toc88209941"/>
      <w:bookmarkStart w:id="61" w:name="_Toc21840"/>
      <w:bookmarkStart w:id="62" w:name="_Toc29345"/>
      <w:bookmarkStart w:id="63" w:name="_Toc6308"/>
      <w:bookmarkStart w:id="64" w:name="_Toc30530"/>
      <w:bookmarkStart w:id="65" w:name="_Toc21079"/>
      <w:bookmarkStart w:id="66" w:name="_Toc13898"/>
      <w:bookmarkStart w:id="67" w:name="_Toc29484"/>
      <w:bookmarkStart w:id="68" w:name="_Toc32607"/>
      <w:bookmarkStart w:id="69" w:name="_Toc87616378"/>
      <w:r>
        <w:rPr>
          <w:rFonts w:hint="eastAsia"/>
          <w:color w:val="auto"/>
          <w:highlight w:val="none"/>
        </w:rPr>
        <w:t>评审办法</w:t>
      </w:r>
      <w:bookmarkEnd w:id="57"/>
      <w:bookmarkEnd w:id="58"/>
      <w:bookmarkEnd w:id="59"/>
      <w:bookmarkEnd w:id="60"/>
      <w:bookmarkEnd w:id="61"/>
      <w:bookmarkEnd w:id="62"/>
      <w:bookmarkEnd w:id="63"/>
      <w:bookmarkEnd w:id="64"/>
      <w:bookmarkEnd w:id="65"/>
      <w:bookmarkEnd w:id="66"/>
      <w:bookmarkEnd w:id="67"/>
      <w:bookmarkEnd w:id="68"/>
      <w:bookmarkEnd w:id="6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70" w:name="_Toc26826"/>
      <w:bookmarkStart w:id="71" w:name="_Toc23033"/>
      <w:r>
        <w:rPr>
          <w:rFonts w:hint="eastAsia"/>
          <w:color w:val="auto"/>
          <w:highlight w:val="none"/>
        </w:rPr>
        <w:t>经评审的最低价法</w:t>
      </w:r>
      <w:bookmarkEnd w:id="70"/>
      <w:bookmarkEnd w:id="71"/>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法定代表人授权委托</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有授权书</w:t>
            </w:r>
            <w:r>
              <w:rPr>
                <w:rFonts w:hint="eastAsia" w:ascii="仿宋_GB2312" w:eastAsia="仿宋_GB2312"/>
                <w:color w:val="auto"/>
                <w:sz w:val="24"/>
                <w:szCs w:val="24"/>
                <w:highlight w:val="none"/>
              </w:rPr>
              <w:t>，</w:t>
            </w:r>
            <w:r>
              <w:rPr>
                <w:rFonts w:ascii="仿宋_GB2312" w:eastAsia="仿宋_GB2312"/>
                <w:color w:val="auto"/>
                <w:sz w:val="24"/>
                <w:szCs w:val="24"/>
                <w:highlight w:val="none"/>
              </w:rPr>
              <w:t>授权书有法定代表人及其委托代理人签字并加盖单位</w:t>
            </w:r>
            <w:r>
              <w:rPr>
                <w:rFonts w:hint="eastAsia" w:ascii="仿宋_GB2312" w:eastAsia="仿宋_GB2312"/>
                <w:color w:val="auto"/>
                <w:sz w:val="24"/>
                <w:szCs w:val="24"/>
                <w:highlight w:val="none"/>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72" w:name="_Toc88209947"/>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pStyle w:val="5"/>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bookmarkEnd w:id="72"/>
    <w:p>
      <w:pPr>
        <w:adjustRightInd w:val="0"/>
        <w:snapToGrid w:val="0"/>
        <w:spacing w:line="600" w:lineRule="exact"/>
        <w:ind w:firstLine="0" w:firstLineChars="0"/>
        <w:jc w:val="left"/>
        <w:rPr>
          <w:rFonts w:ascii="仿宋_GB2312" w:eastAsia="仿宋_GB2312"/>
          <w:color w:val="auto"/>
          <w:sz w:val="28"/>
          <w:szCs w:val="28"/>
          <w:highlight w:val="none"/>
        </w:rPr>
      </w:pPr>
    </w:p>
    <w:p>
      <w:pPr>
        <w:pStyle w:val="2"/>
        <w:ind w:left="0" w:leftChars="0" w:firstLine="0" w:firstLineChars="0"/>
        <w:rPr>
          <w:rFonts w:hint="eastAsia" w:ascii="仿宋_GB2312" w:eastAsia="仿宋_GB2312"/>
          <w:b/>
          <w:bCs/>
          <w:color w:val="auto"/>
          <w:sz w:val="28"/>
          <w:szCs w:val="28"/>
          <w:highlight w:val="none"/>
          <w:lang w:val="en-US" w:eastAsia="zh-CN"/>
        </w:rPr>
      </w:pPr>
    </w:p>
    <w:p>
      <w:pPr>
        <w:pStyle w:val="2"/>
        <w:ind w:left="0" w:leftChars="0" w:firstLine="0" w:firstLineChars="0"/>
        <w:rPr>
          <w:rFonts w:hint="eastAsia" w:ascii="仿宋_GB2312" w:eastAsia="仿宋_GB2312"/>
          <w:b/>
          <w:bCs/>
          <w:color w:val="auto"/>
          <w:sz w:val="28"/>
          <w:szCs w:val="28"/>
          <w:highlight w:val="none"/>
          <w:u w:val="none"/>
          <w:lang w:val="en-US" w:eastAsia="zh-CN"/>
        </w:rPr>
      </w:pPr>
      <w:r>
        <w:rPr>
          <w:rFonts w:hint="eastAsia" w:ascii="仿宋_GB2312" w:eastAsia="仿宋_GB2312"/>
          <w:b/>
          <w:bCs/>
          <w:color w:val="auto"/>
          <w:sz w:val="28"/>
          <w:szCs w:val="28"/>
          <w:highlight w:val="none"/>
          <w:lang w:val="en-US" w:eastAsia="zh-CN"/>
        </w:rPr>
        <w:t>项目一：</w:t>
      </w:r>
      <w:r>
        <w:rPr>
          <w:rFonts w:hint="eastAsia" w:ascii="仿宋_GB2312" w:eastAsia="仿宋_GB2312"/>
          <w:b/>
          <w:bCs/>
          <w:color w:val="auto"/>
          <w:sz w:val="28"/>
          <w:szCs w:val="28"/>
          <w:highlight w:val="none"/>
          <w:u w:val="single"/>
          <w:lang w:val="en-US" w:eastAsia="zh-CN"/>
        </w:rPr>
        <w:t>大坦沙分公司2022年三期污水泵房管道改造项目</w:t>
      </w:r>
      <w:r>
        <w:rPr>
          <w:rFonts w:hint="eastAsia" w:ascii="仿宋_GB2312" w:eastAsia="仿宋_GB2312"/>
          <w:b/>
          <w:bCs/>
          <w:color w:val="auto"/>
          <w:sz w:val="28"/>
          <w:szCs w:val="28"/>
          <w:highlight w:val="none"/>
          <w:u w:val="single"/>
        </w:rPr>
        <w:t xml:space="preserve"> </w:t>
      </w:r>
    </w:p>
    <w:p>
      <w:pPr>
        <w:keepNext w:val="0"/>
        <w:keepLines w:val="0"/>
        <w:widowControl w:val="0"/>
        <w:numPr>
          <w:ilvl w:val="0"/>
          <w:numId w:val="4"/>
        </w:numPr>
        <w:suppressLineNumbers w:val="0"/>
        <w:spacing w:before="0" w:beforeAutospacing="0" w:after="0" w:afterAutospacing="0" w:line="360" w:lineRule="auto"/>
        <w:ind w:right="0" w:rightChars="0"/>
        <w:jc w:val="both"/>
        <w:rPr>
          <w:rFonts w:hint="default" w:ascii="仿宋_GB2312" w:hAnsi="Times New Roman" w:eastAsia="仿宋_GB2312" w:cs="仿宋_GB2312"/>
          <w:b/>
          <w:bCs w:val="0"/>
          <w:color w:val="auto"/>
          <w:kern w:val="2"/>
          <w:sz w:val="32"/>
          <w:szCs w:val="32"/>
          <w:highlight w:val="none"/>
          <w:lang w:val="en-US" w:eastAsia="zh-CN" w:bidi="ar"/>
        </w:rPr>
      </w:pPr>
      <w:r>
        <w:rPr>
          <w:rFonts w:hint="eastAsia" w:ascii="仿宋_GB2312" w:hAnsi="Times New Roman" w:eastAsia="仿宋_GB2312" w:cs="仿宋_GB2312"/>
          <w:b/>
          <w:bCs w:val="0"/>
          <w:color w:val="auto"/>
          <w:kern w:val="2"/>
          <w:sz w:val="32"/>
          <w:szCs w:val="32"/>
          <w:highlight w:val="none"/>
          <w:lang w:val="en-US" w:eastAsia="zh-CN" w:bidi="ar"/>
        </w:rPr>
        <w:t>项目需求维修</w:t>
      </w:r>
      <w:r>
        <w:rPr>
          <w:rFonts w:hint="default" w:ascii="仿宋_GB2312" w:hAnsi="Times New Roman" w:eastAsia="仿宋_GB2312" w:cs="仿宋_GB2312"/>
          <w:b/>
          <w:bCs w:val="0"/>
          <w:color w:val="auto"/>
          <w:kern w:val="2"/>
          <w:sz w:val="32"/>
          <w:szCs w:val="32"/>
          <w:highlight w:val="none"/>
          <w:lang w:val="en-US" w:eastAsia="zh-CN" w:bidi="ar"/>
        </w:rPr>
        <w:t>方案</w:t>
      </w:r>
    </w:p>
    <w:p>
      <w:pPr>
        <w:numPr>
          <w:ilvl w:val="0"/>
          <w:numId w:val="0"/>
        </w:numPr>
        <w:spacing w:line="360" w:lineRule="auto"/>
        <w:ind w:leftChars="0"/>
        <w:rPr>
          <w:rFonts w:hint="default" w:ascii="仿宋_GB2312" w:hAnsi="Calibri" w:eastAsia="仿宋_GB2312" w:cs="Times New Roman"/>
          <w:b/>
          <w:bCs w:val="0"/>
          <w:color w:val="auto"/>
          <w:sz w:val="32"/>
          <w:szCs w:val="32"/>
          <w:highlight w:val="none"/>
          <w:lang w:val="en-US" w:eastAsia="zh-CN"/>
        </w:rPr>
      </w:pPr>
      <w:r>
        <w:rPr>
          <w:rFonts w:hint="eastAsia" w:ascii="仿宋_GB2312" w:hAnsi="Calibri" w:eastAsia="仿宋_GB2312" w:cs="Times New Roman"/>
          <w:b/>
          <w:bCs w:val="0"/>
          <w:color w:val="auto"/>
          <w:sz w:val="32"/>
          <w:szCs w:val="32"/>
          <w:highlight w:val="none"/>
          <w:lang w:val="en-US" w:eastAsia="zh-CN"/>
        </w:rPr>
        <w:t xml:space="preserve"> 1、污水泵房铺设导水管并加设活动式围栏</w:t>
      </w:r>
    </w:p>
    <w:p>
      <w:pPr>
        <w:numPr>
          <w:ilvl w:val="0"/>
          <w:numId w:val="0"/>
        </w:numPr>
        <w:spacing w:line="360" w:lineRule="auto"/>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①于污水泵房格栅前设置3个DN300接头厚度≥8mm，接头形式能满足（迪沃）泵便捷安装。</w:t>
      </w:r>
    </w:p>
    <w:p>
      <w:pPr>
        <w:numPr>
          <w:ilvl w:val="0"/>
          <w:numId w:val="0"/>
        </w:numPr>
        <w:spacing w:line="360" w:lineRule="auto"/>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②每个DN300接头都安装有DN300闸阀（甲供），令接头满足单个、多个及日常停用等多种使用要求。</w:t>
      </w:r>
    </w:p>
    <w:p>
      <w:pPr>
        <w:numPr>
          <w:ilvl w:val="0"/>
          <w:numId w:val="0"/>
        </w:numPr>
        <w:spacing w:line="360" w:lineRule="auto"/>
        <w:rPr>
          <w:rFonts w:hint="default"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③3个接头汇总至DN600导水主管厚度≥14mm，主管材质为碳钢，管道外壁及内壁做防腐处理，防腐根据管道内介质规则所定颜色。（主管铺设形式图后附）</w:t>
      </w:r>
    </w:p>
    <w:p>
      <w:pPr>
        <w:numPr>
          <w:ilvl w:val="0"/>
          <w:numId w:val="0"/>
        </w:numPr>
        <w:spacing w:line="360" w:lineRule="auto"/>
        <w:ind w:left="481" w:leftChars="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④土方开挖，根据现场情况尽可能使用埋地管后覆土形式进行施工，开挖宽度约为1.2M，管顶覆土≥30CM。但由于该管道铺设路径可挖深度未明，实际施工过程中将对管道尽可能埋深，减少外露。</w:t>
      </w:r>
    </w:p>
    <w:p>
      <w:pPr>
        <w:numPr>
          <w:ilvl w:val="0"/>
          <w:numId w:val="0"/>
        </w:numPr>
        <w:spacing w:line="360" w:lineRule="auto"/>
        <w:ind w:left="481" w:leftChars="0"/>
        <w:rPr>
          <w:rFonts w:hint="default"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⑤DN600污水泵房水泵出水支管开孔。（形式图后附）</w:t>
      </w:r>
    </w:p>
    <w:p>
      <w:pPr>
        <w:numPr>
          <w:ilvl w:val="0"/>
          <w:numId w:val="0"/>
        </w:numPr>
        <w:spacing w:line="360" w:lineRule="auto"/>
        <w:ind w:left="481" w:leftChars="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⑥DN600导水主管铺设至DN600污水泵房水泵出水支管，并与之焊接。</w:t>
      </w:r>
    </w:p>
    <w:p>
      <w:pPr>
        <w:numPr>
          <w:ilvl w:val="0"/>
          <w:numId w:val="0"/>
        </w:numPr>
        <w:spacing w:line="360" w:lineRule="auto"/>
        <w:ind w:left="481" w:leftChars="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⑦路面开挖后恢复，清理碎石及台湾草进行复绿。</w:t>
      </w:r>
    </w:p>
    <w:p>
      <w:pPr>
        <w:numPr>
          <w:ilvl w:val="0"/>
          <w:numId w:val="0"/>
        </w:numPr>
        <w:spacing w:line="360" w:lineRule="auto"/>
        <w:ind w:left="481" w:leftChars="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   ⑧施工完成后做好管道标识工作，埋地管使用立桩标识牌形式，外露管于管身标注方向箭头。</w:t>
      </w:r>
    </w:p>
    <w:p>
      <w:pPr>
        <w:numPr>
          <w:ilvl w:val="0"/>
          <w:numId w:val="0"/>
        </w:numPr>
        <w:spacing w:line="360" w:lineRule="auto"/>
        <w:ind w:firstLine="960" w:firstLineChars="3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⑨于污水泵房格栅前使用20a工字钢新造高度2m，跨度4.5m的吊架便于导水泵的吊装，并且吊架安装3台行走小车。</w:t>
      </w:r>
    </w:p>
    <w:p>
      <w:pPr>
        <w:numPr>
          <w:ilvl w:val="0"/>
          <w:numId w:val="0"/>
        </w:numPr>
        <w:spacing w:line="360" w:lineRule="auto"/>
        <w:ind w:left="481" w:leftChars="0"/>
        <w:jc w:val="center"/>
        <w:rPr>
          <w:color w:val="auto"/>
          <w:highlight w:val="none"/>
        </w:rPr>
      </w:pPr>
      <w:r>
        <w:rPr>
          <w:rFonts w:hint="eastAsia" w:ascii="仿宋_GB2312" w:hAnsi="Calibri" w:eastAsia="仿宋_GB2312" w:cs="Times New Roman"/>
          <w:b w:val="0"/>
          <w:bCs/>
          <w:color w:val="auto"/>
          <w:sz w:val="32"/>
          <w:szCs w:val="32"/>
          <w:highlight w:val="none"/>
          <w:lang w:val="en-US" w:eastAsia="zh-CN"/>
        </w:rPr>
        <w:t>图示</w:t>
      </w:r>
    </w:p>
    <w:p>
      <w:pPr>
        <w:numPr>
          <w:ilvl w:val="0"/>
          <w:numId w:val="0"/>
        </w:numPr>
        <w:spacing w:line="360" w:lineRule="auto"/>
        <w:ind w:left="481" w:leftChars="0"/>
        <w:jc w:val="center"/>
        <w:rPr>
          <w:color w:val="auto"/>
          <w:highlight w:val="none"/>
        </w:rPr>
      </w:pPr>
      <w:r>
        <w:rPr>
          <w:color w:val="auto"/>
          <w:highlight w:val="none"/>
        </w:rPr>
        <w:drawing>
          <wp:inline distT="0" distB="0" distL="114300" distR="114300">
            <wp:extent cx="5274310" cy="3598545"/>
            <wp:effectExtent l="0" t="0" r="254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274310" cy="3598545"/>
                    </a:xfrm>
                    <a:prstGeom prst="rect">
                      <a:avLst/>
                    </a:prstGeom>
                    <a:noFill/>
                    <a:ln>
                      <a:noFill/>
                    </a:ln>
                  </pic:spPr>
                </pic:pic>
              </a:graphicData>
            </a:graphic>
          </wp:inline>
        </w:drawing>
      </w:r>
    </w:p>
    <w:p>
      <w:pPr>
        <w:numPr>
          <w:ilvl w:val="0"/>
          <w:numId w:val="0"/>
        </w:numPr>
        <w:spacing w:line="360" w:lineRule="auto"/>
        <w:ind w:left="481" w:leftChars="0"/>
        <w:jc w:val="center"/>
        <w:rPr>
          <w:color w:val="auto"/>
          <w:highlight w:val="none"/>
        </w:rPr>
      </w:pPr>
      <w:r>
        <w:rPr>
          <w:color w:val="auto"/>
          <w:highlight w:val="none"/>
        </w:rPr>
        <w:drawing>
          <wp:inline distT="0" distB="0" distL="114300" distR="114300">
            <wp:extent cx="5026025" cy="3245485"/>
            <wp:effectExtent l="0" t="0" r="3175" b="1206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11"/>
                    <a:stretch>
                      <a:fillRect/>
                    </a:stretch>
                  </pic:blipFill>
                  <pic:spPr>
                    <a:xfrm>
                      <a:off x="0" y="0"/>
                      <a:ext cx="5026025" cy="3245485"/>
                    </a:xfrm>
                    <a:prstGeom prst="rect">
                      <a:avLst/>
                    </a:prstGeom>
                    <a:noFill/>
                    <a:ln>
                      <a:noFill/>
                    </a:ln>
                  </pic:spPr>
                </pic:pic>
              </a:graphicData>
            </a:graphic>
          </wp:inline>
        </w:drawing>
      </w:r>
    </w:p>
    <w:p>
      <w:pPr>
        <w:numPr>
          <w:ilvl w:val="0"/>
          <w:numId w:val="0"/>
        </w:numPr>
        <w:spacing w:line="360" w:lineRule="auto"/>
        <w:jc w:val="center"/>
        <w:rPr>
          <w:rFonts w:hint="default" w:ascii="仿宋_GB2312" w:hAnsi="Calibri" w:eastAsia="仿宋_GB2312" w:cs="Times New Roman"/>
          <w:b w:val="0"/>
          <w:bCs/>
          <w:color w:val="auto"/>
          <w:sz w:val="32"/>
          <w:szCs w:val="32"/>
          <w:highlight w:val="none"/>
          <w:lang w:val="en-US" w:eastAsia="zh-CN"/>
        </w:rPr>
      </w:pPr>
      <w:r>
        <w:rPr>
          <w:color w:val="auto"/>
          <w:highlight w:val="none"/>
        </w:rPr>
        <w:drawing>
          <wp:inline distT="0" distB="0" distL="114300" distR="114300">
            <wp:extent cx="5162550" cy="3483610"/>
            <wp:effectExtent l="0" t="0" r="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162550" cy="3483610"/>
                    </a:xfrm>
                    <a:prstGeom prst="rect">
                      <a:avLst/>
                    </a:prstGeom>
                    <a:noFill/>
                    <a:ln>
                      <a:noFill/>
                    </a:ln>
                  </pic:spPr>
                </pic:pic>
              </a:graphicData>
            </a:graphic>
          </wp:inline>
        </w:drawing>
      </w:r>
    </w:p>
    <w:p>
      <w:pPr>
        <w:numPr>
          <w:ilvl w:val="0"/>
          <w:numId w:val="0"/>
        </w:numPr>
        <w:spacing w:line="360" w:lineRule="auto"/>
        <w:ind w:left="0" w:leftChars="0"/>
        <w:jc w:val="center"/>
        <w:rPr>
          <w:rFonts w:hint="eastAsia" w:ascii="仿宋_GB2312" w:hAnsi="Calibri" w:eastAsia="仿宋_GB2312" w:cs="Times New Roman"/>
          <w:b/>
          <w:bCs w:val="0"/>
          <w:color w:val="auto"/>
          <w:sz w:val="32"/>
          <w:szCs w:val="32"/>
          <w:highlight w:val="none"/>
          <w:lang w:val="en-US" w:eastAsia="zh-CN"/>
        </w:rPr>
      </w:pPr>
      <w:r>
        <w:rPr>
          <w:color w:val="auto"/>
          <w:highlight w:val="none"/>
        </w:rPr>
        <w:drawing>
          <wp:inline distT="0" distB="0" distL="114300" distR="114300">
            <wp:extent cx="3861435" cy="4305935"/>
            <wp:effectExtent l="0" t="0" r="5715" b="18415"/>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3"/>
                    <a:stretch>
                      <a:fillRect/>
                    </a:stretch>
                  </pic:blipFill>
                  <pic:spPr>
                    <a:xfrm>
                      <a:off x="0" y="0"/>
                      <a:ext cx="3861435" cy="4305935"/>
                    </a:xfrm>
                    <a:prstGeom prst="rect">
                      <a:avLst/>
                    </a:prstGeom>
                    <a:noFill/>
                    <a:ln>
                      <a:noFill/>
                    </a:ln>
                  </pic:spPr>
                </pic:pic>
              </a:graphicData>
            </a:graphic>
          </wp:inline>
        </w:drawing>
      </w:r>
    </w:p>
    <w:p>
      <w:pPr>
        <w:numPr>
          <w:ilvl w:val="0"/>
          <w:numId w:val="0"/>
        </w:numPr>
        <w:spacing w:line="360" w:lineRule="auto"/>
        <w:ind w:firstLine="640" w:firstLineChars="200"/>
        <w:jc w:val="left"/>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⑩与图示区域为围栏做活动式套口。</w:t>
      </w:r>
    </w:p>
    <w:p>
      <w:pPr>
        <w:numPr>
          <w:ilvl w:val="0"/>
          <w:numId w:val="0"/>
        </w:numPr>
        <w:spacing w:line="360" w:lineRule="auto"/>
        <w:ind w:firstLine="640" w:firstLineChars="200"/>
        <w:jc w:val="left"/>
        <w:rPr>
          <w:rFonts w:hint="eastAsia" w:ascii="仿宋_GB2312" w:hAnsi="Calibri" w:eastAsia="仿宋_GB2312" w:cs="Times New Roman"/>
          <w:bCs/>
          <w:color w:val="auto"/>
          <w:sz w:val="32"/>
          <w:szCs w:val="32"/>
          <w:highlight w:val="none"/>
          <w:lang w:val="en-US" w:eastAsia="zh-CN"/>
        </w:rPr>
      </w:pPr>
      <w:r>
        <w:rPr>
          <w:rFonts w:hint="eastAsia" w:ascii="仿宋_GB2312" w:hAnsi="Calibri" w:eastAsia="仿宋_GB2312" w:cs="Times New Roman"/>
          <w:bCs/>
          <w:i w:val="0"/>
          <w:caps w:val="0"/>
          <w:color w:val="auto"/>
          <w:spacing w:val="0"/>
          <w:sz w:val="32"/>
          <w:szCs w:val="32"/>
          <w:highlight w:val="none"/>
          <w:shd w:val="clear"/>
        </w:rPr>
        <w:t>⑪</w:t>
      </w:r>
      <w:r>
        <w:rPr>
          <w:rFonts w:hint="eastAsia" w:ascii="仿宋_GB2312" w:hAnsi="Calibri" w:eastAsia="仿宋_GB2312" w:cs="Times New Roman"/>
          <w:bCs/>
          <w:color w:val="auto"/>
          <w:sz w:val="32"/>
          <w:szCs w:val="32"/>
          <w:highlight w:val="none"/>
          <w:lang w:val="en-US" w:eastAsia="zh-CN"/>
        </w:rPr>
        <w:t>可移动插入式304不锈钢栏杆。栏杆高度1.2m。</w:t>
      </w:r>
    </w:p>
    <w:p>
      <w:pPr>
        <w:numPr>
          <w:ilvl w:val="0"/>
          <w:numId w:val="0"/>
        </w:numPr>
        <w:spacing w:line="360" w:lineRule="auto"/>
        <w:ind w:left="0" w:leftChars="0" w:firstLine="640" w:firstLineChars="200"/>
        <w:jc w:val="left"/>
        <w:rPr>
          <w:rFonts w:hint="eastAsia"/>
          <w:color w:val="auto"/>
          <w:sz w:val="30"/>
          <w:szCs w:val="30"/>
          <w:highlight w:val="none"/>
          <w:lang w:val="en-US" w:eastAsia="zh-CN"/>
        </w:rPr>
      </w:pPr>
      <w:r>
        <w:rPr>
          <w:rFonts w:hint="eastAsia" w:ascii="仿宋_GB2312" w:hAnsi="Calibri" w:eastAsia="仿宋_GB2312" w:cs="Times New Roman"/>
          <w:bCs/>
          <w:i w:val="0"/>
          <w:caps w:val="0"/>
          <w:color w:val="auto"/>
          <w:spacing w:val="0"/>
          <w:sz w:val="32"/>
          <w:szCs w:val="32"/>
          <w:highlight w:val="none"/>
          <w:shd w:val="clear"/>
        </w:rPr>
        <w:t>⑫</w:t>
      </w:r>
      <w:r>
        <w:rPr>
          <w:rFonts w:hint="eastAsia" w:ascii="仿宋_GB2312" w:hAnsi="Calibri" w:eastAsia="仿宋_GB2312" w:cs="Times New Roman"/>
          <w:bCs/>
          <w:color w:val="auto"/>
          <w:sz w:val="32"/>
          <w:szCs w:val="32"/>
          <w:highlight w:val="none"/>
          <w:lang w:val="en-US" w:eastAsia="zh-CN"/>
        </w:rPr>
        <w:t>三</w:t>
      </w:r>
      <w:r>
        <w:rPr>
          <w:rFonts w:hint="eastAsia"/>
          <w:color w:val="auto"/>
          <w:sz w:val="30"/>
          <w:szCs w:val="30"/>
          <w:highlight w:val="none"/>
          <w:lang w:val="en-US" w:eastAsia="zh-CN"/>
        </w:rPr>
        <w:t>处围栏视情况焊不锈钢活页做≥1m开活动门。</w:t>
      </w:r>
    </w:p>
    <w:p>
      <w:pPr>
        <w:numPr>
          <w:ilvl w:val="0"/>
          <w:numId w:val="0"/>
        </w:numPr>
        <w:spacing w:line="360" w:lineRule="auto"/>
        <w:ind w:left="160" w:leftChars="0"/>
        <w:jc w:val="center"/>
        <w:rPr>
          <w:rFonts w:hint="eastAsia"/>
          <w:color w:val="auto"/>
          <w:sz w:val="30"/>
          <w:szCs w:val="30"/>
          <w:highlight w:val="none"/>
          <w:lang w:val="en-US" w:eastAsia="zh-CN"/>
        </w:rPr>
      </w:pPr>
      <w:r>
        <w:rPr>
          <w:rFonts w:hint="eastAsia"/>
          <w:color w:val="auto"/>
          <w:sz w:val="30"/>
          <w:szCs w:val="30"/>
          <w:highlight w:val="none"/>
          <w:lang w:val="en-US" w:eastAsia="zh-CN"/>
        </w:rPr>
        <w:t>（围栏加工样式参考下图）</w:t>
      </w:r>
    </w:p>
    <w:p>
      <w:pPr>
        <w:numPr>
          <w:ilvl w:val="0"/>
          <w:numId w:val="0"/>
        </w:numPr>
        <w:spacing w:line="360" w:lineRule="auto"/>
        <w:ind w:left="160"/>
        <w:jc w:val="left"/>
        <w:rPr>
          <w:color w:val="auto"/>
          <w:highlight w:val="none"/>
        </w:rPr>
      </w:pPr>
      <w:r>
        <w:rPr>
          <w:color w:val="auto"/>
          <w:highlight w:val="none"/>
        </w:rPr>
        <w:drawing>
          <wp:inline distT="0" distB="0" distL="114300" distR="114300">
            <wp:extent cx="5273040" cy="5718810"/>
            <wp:effectExtent l="0" t="0" r="3810" b="1524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14"/>
                    <a:stretch>
                      <a:fillRect/>
                    </a:stretch>
                  </pic:blipFill>
                  <pic:spPr>
                    <a:xfrm>
                      <a:off x="0" y="0"/>
                      <a:ext cx="5273040" cy="5718810"/>
                    </a:xfrm>
                    <a:prstGeom prst="rect">
                      <a:avLst/>
                    </a:prstGeom>
                    <a:noFill/>
                    <a:ln>
                      <a:noFill/>
                    </a:ln>
                  </pic:spPr>
                </pic:pic>
              </a:graphicData>
            </a:graphic>
          </wp:inline>
        </w:drawing>
      </w:r>
    </w:p>
    <w:p>
      <w:pPr>
        <w:numPr>
          <w:ilvl w:val="0"/>
          <w:numId w:val="0"/>
        </w:numPr>
        <w:spacing w:line="360" w:lineRule="auto"/>
        <w:ind w:left="160" w:leftChars="0"/>
        <w:jc w:val="center"/>
        <w:rPr>
          <w:rFonts w:hint="eastAsia"/>
          <w:color w:val="auto"/>
          <w:sz w:val="30"/>
          <w:szCs w:val="30"/>
          <w:highlight w:val="none"/>
          <w:lang w:val="en-US" w:eastAsia="zh-CN"/>
        </w:rPr>
      </w:pPr>
      <w:r>
        <w:rPr>
          <w:rFonts w:hint="eastAsia"/>
          <w:color w:val="auto"/>
          <w:sz w:val="30"/>
          <w:szCs w:val="30"/>
          <w:highlight w:val="none"/>
          <w:lang w:val="en-US" w:eastAsia="zh-CN"/>
        </w:rPr>
        <w:t>（加设围栏区域参考下图）</w:t>
      </w:r>
    </w:p>
    <w:p>
      <w:pPr>
        <w:numPr>
          <w:ilvl w:val="0"/>
          <w:numId w:val="0"/>
        </w:numPr>
        <w:spacing w:line="360" w:lineRule="auto"/>
        <w:jc w:val="center"/>
        <w:rPr>
          <w:color w:val="auto"/>
          <w:highlight w:val="none"/>
        </w:rPr>
      </w:pPr>
      <w:r>
        <w:rPr>
          <w:color w:val="auto"/>
          <w:highlight w:val="none"/>
        </w:rPr>
        <w:drawing>
          <wp:inline distT="0" distB="0" distL="114300" distR="114300">
            <wp:extent cx="5272405" cy="4360545"/>
            <wp:effectExtent l="0" t="0" r="4445" b="190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15"/>
                    <a:stretch>
                      <a:fillRect/>
                    </a:stretch>
                  </pic:blipFill>
                  <pic:spPr>
                    <a:xfrm>
                      <a:off x="0" y="0"/>
                      <a:ext cx="5272405" cy="4360545"/>
                    </a:xfrm>
                    <a:prstGeom prst="rect">
                      <a:avLst/>
                    </a:prstGeom>
                    <a:noFill/>
                    <a:ln>
                      <a:noFill/>
                    </a:ln>
                  </pic:spPr>
                </pic:pic>
              </a:graphicData>
            </a:graphic>
          </wp:inline>
        </w:drawing>
      </w:r>
    </w:p>
    <w:p>
      <w:pPr>
        <w:numPr>
          <w:ilvl w:val="0"/>
          <w:numId w:val="0"/>
        </w:numPr>
        <w:spacing w:line="360" w:lineRule="auto"/>
        <w:jc w:val="center"/>
        <w:rPr>
          <w:color w:val="auto"/>
          <w:highlight w:val="none"/>
        </w:rPr>
      </w:pPr>
      <w:r>
        <w:rPr>
          <w:color w:val="auto"/>
          <w:highlight w:val="none"/>
        </w:rPr>
        <w:drawing>
          <wp:inline distT="0" distB="0" distL="114300" distR="114300">
            <wp:extent cx="5273040" cy="3424555"/>
            <wp:effectExtent l="0" t="0" r="3810" b="444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16"/>
                    <a:stretch>
                      <a:fillRect/>
                    </a:stretch>
                  </pic:blipFill>
                  <pic:spPr>
                    <a:xfrm>
                      <a:off x="0" y="0"/>
                      <a:ext cx="5273040" cy="3424555"/>
                    </a:xfrm>
                    <a:prstGeom prst="rect">
                      <a:avLst/>
                    </a:prstGeom>
                    <a:noFill/>
                    <a:ln>
                      <a:noFill/>
                    </a:ln>
                  </pic:spPr>
                </pic:pic>
              </a:graphicData>
            </a:graphic>
          </wp:inline>
        </w:drawing>
      </w:r>
    </w:p>
    <w:p>
      <w:pPr>
        <w:numPr>
          <w:ilvl w:val="0"/>
          <w:numId w:val="0"/>
        </w:numPr>
        <w:spacing w:line="360" w:lineRule="auto"/>
        <w:jc w:val="cente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266690" cy="3534410"/>
            <wp:effectExtent l="0" t="0" r="10160" b="8890"/>
            <wp:docPr id="89" name="图片 89" descr="164810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648108532(1)"/>
                    <pic:cNvPicPr>
                      <a:picLocks noChangeAspect="1"/>
                    </pic:cNvPicPr>
                  </pic:nvPicPr>
                  <pic:blipFill>
                    <a:blip r:embed="rId17"/>
                    <a:stretch>
                      <a:fillRect/>
                    </a:stretch>
                  </pic:blipFill>
                  <pic:spPr>
                    <a:xfrm>
                      <a:off x="0" y="0"/>
                      <a:ext cx="5266690" cy="3534410"/>
                    </a:xfrm>
                    <a:prstGeom prst="rect">
                      <a:avLst/>
                    </a:prstGeom>
                  </pic:spPr>
                </pic:pic>
              </a:graphicData>
            </a:graphic>
          </wp:inline>
        </w:drawing>
      </w:r>
    </w:p>
    <w:p>
      <w:pPr>
        <w:numPr>
          <w:ilvl w:val="0"/>
          <w:numId w:val="0"/>
        </w:numPr>
        <w:spacing w:line="360" w:lineRule="auto"/>
        <w:ind w:left="160" w:leftChars="0"/>
        <w:jc w:val="left"/>
        <w:rPr>
          <w:rFonts w:hint="default" w:ascii="仿宋_GB2312" w:hAnsi="Calibri" w:eastAsia="仿宋_GB2312" w:cs="Times New Roman"/>
          <w:b/>
          <w:bCs w:val="0"/>
          <w:color w:val="auto"/>
          <w:sz w:val="32"/>
          <w:szCs w:val="32"/>
          <w:highlight w:val="none"/>
          <w:lang w:val="en-US" w:eastAsia="zh-CN"/>
        </w:rPr>
      </w:pPr>
      <w:r>
        <w:rPr>
          <w:rFonts w:hint="eastAsia" w:ascii="仿宋_GB2312" w:hAnsi="Calibri" w:eastAsia="仿宋_GB2312" w:cs="Times New Roman"/>
          <w:b/>
          <w:bCs w:val="0"/>
          <w:color w:val="auto"/>
          <w:sz w:val="32"/>
          <w:szCs w:val="32"/>
          <w:highlight w:val="none"/>
          <w:lang w:val="en-US" w:eastAsia="zh-CN"/>
        </w:rPr>
        <w:t>2、三期污水泵管道更换</w:t>
      </w:r>
    </w:p>
    <w:p>
      <w:pPr>
        <w:pStyle w:val="33"/>
        <w:widowControl/>
        <w:numPr>
          <w:ilvl w:val="0"/>
          <w:numId w:val="0"/>
        </w:numPr>
        <w:spacing w:line="360" w:lineRule="auto"/>
        <w:ind w:leftChars="200" w:right="0" w:rightChars="0" w:firstLine="320" w:firstLineChars="100"/>
        <w:rPr>
          <w:rFonts w:hint="eastAsia" w:ascii="仿宋_GB2312" w:hAnsi="Times New Roman" w:eastAsia="仿宋_GB2312" w:cs="Times New Roman"/>
          <w:color w:val="auto"/>
          <w:kern w:val="2"/>
          <w:sz w:val="30"/>
          <w:szCs w:val="30"/>
          <w:highlight w:val="none"/>
          <w:lang w:val="en-US" w:eastAsia="zh-CN" w:bidi="ar"/>
        </w:rPr>
      </w:pPr>
      <w:r>
        <w:rPr>
          <w:rFonts w:hint="eastAsia" w:ascii="仿宋_GB2312" w:hAnsi="Calibri" w:eastAsia="仿宋_GB2312" w:cs="Times New Roman"/>
          <w:b w:val="0"/>
          <w:bCs/>
          <w:color w:val="auto"/>
          <w:sz w:val="32"/>
          <w:szCs w:val="32"/>
          <w:highlight w:val="none"/>
          <w:lang w:val="en-US" w:eastAsia="zh-CN"/>
        </w:rPr>
        <w:t>①</w:t>
      </w:r>
      <w:r>
        <w:rPr>
          <w:rFonts w:hint="eastAsia" w:ascii="仿宋_GB2312" w:hAnsi="Times New Roman" w:eastAsia="仿宋_GB2312" w:cs="Times New Roman"/>
          <w:color w:val="auto"/>
          <w:kern w:val="2"/>
          <w:sz w:val="30"/>
          <w:szCs w:val="30"/>
          <w:highlight w:val="none"/>
          <w:lang w:val="en-US" w:eastAsia="zh-CN" w:bidi="ar"/>
        </w:rPr>
        <w:t>配合污水泵房铺设导水管实施，导水管安装完毕后，利用新安装管道下泵抽水，格栅前污水超越至反应池。</w:t>
      </w: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Times New Roman"/>
          <w:color w:val="auto"/>
          <w:kern w:val="2"/>
          <w:sz w:val="30"/>
          <w:szCs w:val="30"/>
          <w:highlight w:val="none"/>
          <w:lang w:val="en-US" w:eastAsia="zh-CN" w:bidi="ar"/>
        </w:rPr>
        <w:t>②关闭格栅前进水阀，污水泵房提升泵抽空污水泵房内所有污水直至露出整段管道。</w:t>
      </w: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Times New Roman"/>
          <w:color w:val="auto"/>
          <w:kern w:val="2"/>
          <w:sz w:val="30"/>
          <w:szCs w:val="30"/>
          <w:highlight w:val="none"/>
          <w:lang w:val="en-US" w:eastAsia="zh-CN" w:bidi="ar"/>
        </w:rPr>
        <w:t>③布置有限空间作业安全措施，严格按照有限空间作业相关标准要求。</w:t>
      </w: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Times New Roman"/>
          <w:color w:val="auto"/>
          <w:kern w:val="2"/>
          <w:sz w:val="30"/>
          <w:szCs w:val="30"/>
          <w:highlight w:val="none"/>
          <w:lang w:val="en-US" w:eastAsia="zh-CN" w:bidi="ar"/>
        </w:rPr>
        <w:t>④下池冲洗污水泵房，并搭建活动式脚手架，视现场情况可将电动式升降平台设备放置进池底代替脚手架，增加施工灵活便捷性。</w:t>
      </w: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Times New Roman"/>
          <w:color w:val="auto"/>
          <w:kern w:val="2"/>
          <w:sz w:val="30"/>
          <w:szCs w:val="30"/>
          <w:highlight w:val="none"/>
          <w:lang w:val="en-US" w:eastAsia="zh-CN" w:bidi="ar"/>
        </w:rPr>
        <w:t>⑤拆除现严重老化腐蚀管道。</w:t>
      </w: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Times New Roman"/>
          <w:color w:val="auto"/>
          <w:kern w:val="2"/>
          <w:sz w:val="30"/>
          <w:szCs w:val="30"/>
          <w:highlight w:val="none"/>
          <w:lang w:val="en-US" w:eastAsia="zh-CN" w:bidi="ar"/>
        </w:rPr>
        <w:t>⑥4台污水泵旧管吊出并参照原样更换新管，管道直段选用≥8mm厚内外衬防腐无缝碳钢管，弯头选用≥8mm厚304不锈钢材质，其余管道安装附件如伸缩节、连接螺栓均使用304不锈钢材质（后附图示）。</w:t>
      </w:r>
    </w:p>
    <w:p>
      <w:pPr>
        <w:pStyle w:val="33"/>
        <w:widowControl/>
        <w:numPr>
          <w:ilvl w:val="0"/>
          <w:numId w:val="0"/>
        </w:numPr>
        <w:spacing w:line="360" w:lineRule="auto"/>
        <w:ind w:leftChars="200" w:right="0" w:rightChars="0" w:firstLine="321" w:firstLineChars="100"/>
        <w:rPr>
          <w:rFonts w:hint="eastAsia"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仿宋_GB2312"/>
          <w:b/>
          <w:bCs w:val="0"/>
          <w:color w:val="auto"/>
          <w:kern w:val="2"/>
          <w:sz w:val="32"/>
          <w:szCs w:val="32"/>
          <w:highlight w:val="none"/>
          <w:lang w:eastAsia="zh-CN"/>
        </w:rPr>
        <w:drawing>
          <wp:anchor distT="0" distB="0" distL="114300" distR="114300" simplePos="0" relativeHeight="251674624" behindDoc="1" locked="0" layoutInCell="1" allowOverlap="1">
            <wp:simplePos x="0" y="0"/>
            <wp:positionH relativeFrom="column">
              <wp:posOffset>1417955</wp:posOffset>
            </wp:positionH>
            <wp:positionV relativeFrom="paragraph">
              <wp:posOffset>254635</wp:posOffset>
            </wp:positionV>
            <wp:extent cx="2836545" cy="5566410"/>
            <wp:effectExtent l="0" t="0" r="1905" b="15240"/>
            <wp:wrapTight wrapText="bothSides">
              <wp:wrapPolygon>
                <wp:start x="0" y="0"/>
                <wp:lineTo x="0" y="21511"/>
                <wp:lineTo x="21469" y="21511"/>
                <wp:lineTo x="21469" y="0"/>
                <wp:lineTo x="0" y="0"/>
              </wp:wrapPolygon>
            </wp:wrapTight>
            <wp:docPr id="90" name="图片 90"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Page0001"/>
                    <pic:cNvPicPr>
                      <a:picLocks noChangeAspect="1"/>
                    </pic:cNvPicPr>
                  </pic:nvPicPr>
                  <pic:blipFill>
                    <a:blip r:embed="rId18"/>
                    <a:srcRect l="28029" t="10315" r="23850" b="13878"/>
                    <a:stretch>
                      <a:fillRect/>
                    </a:stretch>
                  </pic:blipFill>
                  <pic:spPr>
                    <a:xfrm>
                      <a:off x="0" y="0"/>
                      <a:ext cx="2836545" cy="5566410"/>
                    </a:xfrm>
                    <a:prstGeom prst="rect">
                      <a:avLst/>
                    </a:prstGeom>
                  </pic:spPr>
                </pic:pic>
              </a:graphicData>
            </a:graphic>
          </wp:anchor>
        </w:drawing>
      </w: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jc w:val="center"/>
        <w:rPr>
          <w:rFonts w:hint="eastAsia" w:ascii="仿宋_GB2312" w:hAnsi="Times New Roman" w:eastAsia="仿宋_GB2312" w:cs="Times New Roman"/>
          <w:color w:val="auto"/>
          <w:kern w:val="2"/>
          <w:sz w:val="30"/>
          <w:szCs w:val="30"/>
          <w:highlight w:val="none"/>
          <w:lang w:val="en-US" w:eastAsia="zh-CN" w:bidi="ar"/>
        </w:rPr>
      </w:pPr>
    </w:p>
    <w:p>
      <w:pPr>
        <w:pStyle w:val="33"/>
        <w:widowControl/>
        <w:numPr>
          <w:ilvl w:val="0"/>
          <w:numId w:val="0"/>
        </w:numPr>
        <w:spacing w:line="360" w:lineRule="auto"/>
        <w:ind w:leftChars="200" w:right="0" w:rightChars="0" w:firstLine="300" w:firstLineChars="100"/>
        <w:jc w:val="center"/>
        <w:rPr>
          <w:rFonts w:hint="default"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Times New Roman"/>
          <w:color w:val="auto"/>
          <w:kern w:val="2"/>
          <w:sz w:val="30"/>
          <w:szCs w:val="30"/>
          <w:highlight w:val="none"/>
          <w:lang w:val="en-US" w:eastAsia="zh-CN" w:bidi="ar"/>
        </w:rPr>
        <w:t>（单台泵管道样式，现场共4台）</w:t>
      </w:r>
    </w:p>
    <w:p>
      <w:pPr>
        <w:pStyle w:val="33"/>
        <w:widowControl/>
        <w:numPr>
          <w:ilvl w:val="0"/>
          <w:numId w:val="0"/>
        </w:numPr>
        <w:spacing w:line="360" w:lineRule="auto"/>
        <w:ind w:right="0" w:rightChars="0"/>
        <w:jc w:val="center"/>
        <w:rPr>
          <w:rFonts w:hint="eastAsia" w:ascii="仿宋_GB2312" w:hAnsi="Times New Roman" w:eastAsia="仿宋_GB2312" w:cs="Times New Roman"/>
          <w:color w:val="auto"/>
          <w:kern w:val="2"/>
          <w:sz w:val="30"/>
          <w:szCs w:val="30"/>
          <w:highlight w:val="none"/>
          <w:lang w:val="en-US" w:eastAsia="zh-CN" w:bidi="ar"/>
        </w:rPr>
      </w:pPr>
      <w:r>
        <w:rPr>
          <w:rFonts w:hint="default" w:ascii="仿宋_GB2312" w:hAnsi="Times New Roman" w:eastAsia="仿宋_GB2312" w:cs="Times New Roman"/>
          <w:color w:val="auto"/>
          <w:kern w:val="2"/>
          <w:sz w:val="30"/>
          <w:szCs w:val="30"/>
          <w:highlight w:val="none"/>
          <w:lang w:val="en-US" w:eastAsia="zh-CN" w:bidi="ar"/>
        </w:rPr>
        <w:drawing>
          <wp:inline distT="0" distB="0" distL="114300" distR="114300">
            <wp:extent cx="5288915" cy="3547745"/>
            <wp:effectExtent l="0" t="0" r="6985" b="14605"/>
            <wp:docPr id="91" name="图片 91" descr="c50755bd19e91cd78cc79f1044d307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50755bd19e91cd78cc79f1044d3072_副本"/>
                    <pic:cNvPicPr>
                      <a:picLocks noChangeAspect="1"/>
                    </pic:cNvPicPr>
                  </pic:nvPicPr>
                  <pic:blipFill>
                    <a:blip r:embed="rId19"/>
                    <a:stretch>
                      <a:fillRect/>
                    </a:stretch>
                  </pic:blipFill>
                  <pic:spPr>
                    <a:xfrm>
                      <a:off x="0" y="0"/>
                      <a:ext cx="5288915" cy="3547745"/>
                    </a:xfrm>
                    <a:prstGeom prst="rect">
                      <a:avLst/>
                    </a:prstGeom>
                  </pic:spPr>
                </pic:pic>
              </a:graphicData>
            </a:graphic>
          </wp:inline>
        </w:drawing>
      </w:r>
    </w:p>
    <w:p>
      <w:pPr>
        <w:pStyle w:val="33"/>
        <w:widowControl/>
        <w:numPr>
          <w:ilvl w:val="0"/>
          <w:numId w:val="0"/>
        </w:numPr>
        <w:spacing w:line="360" w:lineRule="auto"/>
        <w:ind w:leftChars="200" w:right="0" w:rightChars="0" w:firstLine="2700" w:firstLineChars="900"/>
        <w:jc w:val="both"/>
        <w:rPr>
          <w:rFonts w:hint="default" w:ascii="仿宋_GB2312" w:hAnsi="Times New Roman" w:eastAsia="仿宋_GB2312" w:cs="Times New Roman"/>
          <w:color w:val="auto"/>
          <w:kern w:val="2"/>
          <w:sz w:val="30"/>
          <w:szCs w:val="30"/>
          <w:highlight w:val="none"/>
          <w:lang w:val="en-US" w:eastAsia="zh-CN" w:bidi="ar"/>
        </w:rPr>
      </w:pPr>
      <w:r>
        <w:rPr>
          <w:rFonts w:hint="eastAsia" w:ascii="仿宋_GB2312" w:hAnsi="Times New Roman" w:eastAsia="仿宋_GB2312" w:cs="Times New Roman"/>
          <w:color w:val="auto"/>
          <w:kern w:val="2"/>
          <w:sz w:val="30"/>
          <w:szCs w:val="30"/>
          <w:highlight w:val="none"/>
          <w:lang w:val="en-US" w:eastAsia="zh-CN" w:bidi="ar"/>
        </w:rPr>
        <w:t>（污水泵房剖面图）</w:t>
      </w:r>
    </w:p>
    <w:p>
      <w:pPr>
        <w:pStyle w:val="33"/>
        <w:widowControl/>
        <w:numPr>
          <w:ilvl w:val="0"/>
          <w:numId w:val="0"/>
        </w:numPr>
        <w:spacing w:line="360" w:lineRule="auto"/>
        <w:ind w:right="0" w:rightChars="0"/>
        <w:rPr>
          <w:rFonts w:hint="eastAsia" w:ascii="仿宋_GB2312" w:hAnsi="Times New Roman" w:eastAsia="仿宋_GB2312" w:cs="Times New Roman"/>
          <w:color w:val="auto"/>
          <w:kern w:val="2"/>
          <w:sz w:val="30"/>
          <w:szCs w:val="30"/>
          <w:highlight w:val="none"/>
          <w:lang w:val="en-US" w:eastAsia="zh-CN" w:bidi="ar"/>
        </w:rPr>
      </w:pPr>
      <w:r>
        <w:rPr>
          <w:color w:val="auto"/>
          <w:highlight w:val="none"/>
        </w:rPr>
        <w:drawing>
          <wp:inline distT="0" distB="0" distL="114300" distR="114300">
            <wp:extent cx="5612130" cy="3641725"/>
            <wp:effectExtent l="0" t="0" r="7620" b="15875"/>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20"/>
                    <a:stretch>
                      <a:fillRect/>
                    </a:stretch>
                  </pic:blipFill>
                  <pic:spPr>
                    <a:xfrm>
                      <a:off x="0" y="0"/>
                      <a:ext cx="5612130" cy="3641725"/>
                    </a:xfrm>
                    <a:prstGeom prst="rect">
                      <a:avLst/>
                    </a:prstGeom>
                    <a:noFill/>
                    <a:ln>
                      <a:noFill/>
                    </a:ln>
                  </pic:spPr>
                </pic:pic>
              </a:graphicData>
            </a:graphic>
          </wp:inline>
        </w:drawing>
      </w:r>
    </w:p>
    <w:p>
      <w:pPr>
        <w:numPr>
          <w:ilvl w:val="0"/>
          <w:numId w:val="0"/>
        </w:numPr>
        <w:spacing w:line="360" w:lineRule="auto"/>
        <w:ind w:left="160"/>
        <w:jc w:val="center"/>
        <w:rPr>
          <w:rFonts w:hint="default" w:ascii="仿宋_GB2312" w:hAnsi="Times New Roman" w:eastAsia="仿宋_GB2312" w:cs="仿宋_GB2312"/>
          <w:b/>
          <w:bCs w:val="0"/>
          <w:color w:val="auto"/>
          <w:kern w:val="2"/>
          <w:sz w:val="32"/>
          <w:szCs w:val="32"/>
          <w:highlight w:val="none"/>
          <w:lang w:val="en-US" w:eastAsia="zh-CN" w:bidi="ar"/>
        </w:rPr>
      </w:pPr>
      <w:r>
        <w:rPr>
          <w:rFonts w:hint="eastAsia" w:ascii="仿宋_GB2312" w:hAnsi="Calibri" w:eastAsia="仿宋_GB2312" w:cs="Times New Roman"/>
          <w:b w:val="0"/>
          <w:bCs/>
          <w:color w:val="auto"/>
          <w:sz w:val="32"/>
          <w:szCs w:val="32"/>
          <w:highlight w:val="none"/>
          <w:lang w:val="en-US" w:eastAsia="zh-CN"/>
        </w:rPr>
        <w:t>（</w:t>
      </w:r>
      <w:r>
        <w:rPr>
          <w:rFonts w:hint="eastAsia" w:ascii="仿宋_GB2312" w:hAnsi="Times New Roman" w:eastAsia="仿宋_GB2312" w:cs="Times New Roman"/>
          <w:color w:val="auto"/>
          <w:kern w:val="2"/>
          <w:sz w:val="30"/>
          <w:szCs w:val="30"/>
          <w:highlight w:val="none"/>
          <w:lang w:val="en-US" w:eastAsia="zh-CN" w:bidi="ar"/>
        </w:rPr>
        <w:t>严重老化腐蚀管道</w:t>
      </w:r>
      <w:r>
        <w:rPr>
          <w:rFonts w:hint="eastAsia" w:ascii="仿宋_GB2312" w:hAnsi="Calibri" w:eastAsia="仿宋_GB2312" w:cs="Times New Roman"/>
          <w:b w:val="0"/>
          <w:bCs/>
          <w:color w:val="auto"/>
          <w:sz w:val="32"/>
          <w:szCs w:val="32"/>
          <w:highlight w:val="none"/>
          <w:lang w:val="en-US" w:eastAsia="zh-CN"/>
        </w:rPr>
        <w:t>）</w:t>
      </w:r>
    </w:p>
    <w:p>
      <w:pPr>
        <w:pStyle w:val="33"/>
        <w:widowControl/>
        <w:numPr>
          <w:ilvl w:val="0"/>
          <w:numId w:val="4"/>
        </w:numPr>
        <w:spacing w:line="360" w:lineRule="auto"/>
        <w:ind w:left="0" w:leftChars="0" w:firstLine="0" w:firstLineChars="0"/>
        <w:rPr>
          <w:rFonts w:hint="default" w:ascii="仿宋_GB2312" w:hAnsi="Times New Roman" w:eastAsia="仿宋_GB2312" w:cs="仿宋_GB2312"/>
          <w:b/>
          <w:bCs w:val="0"/>
          <w:color w:val="auto"/>
          <w:kern w:val="2"/>
          <w:sz w:val="32"/>
          <w:szCs w:val="32"/>
          <w:highlight w:val="none"/>
        </w:rPr>
      </w:pPr>
      <w:r>
        <w:rPr>
          <w:rFonts w:hint="eastAsia" w:ascii="仿宋_GB2312" w:hAnsi="Times New Roman" w:eastAsia="仿宋_GB2312" w:cs="仿宋_GB2312"/>
          <w:b/>
          <w:bCs w:val="0"/>
          <w:color w:val="auto"/>
          <w:kern w:val="2"/>
          <w:sz w:val="32"/>
          <w:szCs w:val="32"/>
          <w:highlight w:val="none"/>
          <w:lang w:val="en-US" w:eastAsia="zh-CN"/>
        </w:rPr>
        <w:t>项目需求</w:t>
      </w:r>
      <w:r>
        <w:rPr>
          <w:rFonts w:hint="eastAsia" w:ascii="仿宋_GB2312" w:hAnsi="Times New Roman" w:eastAsia="仿宋_GB2312" w:cs="仿宋_GB2312"/>
          <w:b/>
          <w:bCs w:val="0"/>
          <w:color w:val="auto"/>
          <w:kern w:val="2"/>
          <w:sz w:val="32"/>
          <w:szCs w:val="32"/>
          <w:highlight w:val="none"/>
          <w:lang w:eastAsia="zh-CN"/>
        </w:rPr>
        <w:t>实施</w:t>
      </w:r>
      <w:r>
        <w:rPr>
          <w:rFonts w:hint="default" w:ascii="仿宋_GB2312" w:hAnsi="Times New Roman" w:eastAsia="仿宋_GB2312" w:cs="仿宋_GB2312"/>
          <w:b/>
          <w:bCs w:val="0"/>
          <w:color w:val="auto"/>
          <w:kern w:val="2"/>
          <w:sz w:val="32"/>
          <w:szCs w:val="32"/>
          <w:highlight w:val="none"/>
        </w:rPr>
        <w:t>方案</w:t>
      </w:r>
    </w:p>
    <w:p>
      <w:pPr>
        <w:numPr>
          <w:ilvl w:val="0"/>
          <w:numId w:val="0"/>
        </w:numPr>
        <w:spacing w:line="360" w:lineRule="auto"/>
        <w:ind w:left="160" w:leftChars="0" w:firstLine="643"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bCs w:val="0"/>
          <w:color w:val="auto"/>
          <w:sz w:val="32"/>
          <w:szCs w:val="32"/>
          <w:highlight w:val="none"/>
          <w:lang w:val="en-US" w:eastAsia="zh-CN"/>
        </w:rPr>
        <w:t xml:space="preserve"> 1、污水泵房铺设导水管并加设活动式围栏</w:t>
      </w:r>
    </w:p>
    <w:p>
      <w:pPr>
        <w:numPr>
          <w:ilvl w:val="0"/>
          <w:numId w:val="0"/>
        </w:numPr>
        <w:spacing w:line="360" w:lineRule="auto"/>
        <w:ind w:left="160" w:leftChars="0" w:firstLine="640" w:firstLineChars="200"/>
        <w:rPr>
          <w:rFonts w:hint="default"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①先做好施工材料、临时用电的准备：如导水泵（甲供）、导水管管材、临时施工电缆、临时施工电箱、焊机等；</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②做好风险辨识以及按规章制度处理安全因素后方可开始施工，本项目主要涉及动火作业、安全用电、机械伤害等风险因素；</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③</w:t>
      </w:r>
      <w:r>
        <w:rPr>
          <w:rFonts w:hint="default" w:ascii="仿宋_GB2312" w:hAnsi="Calibri" w:eastAsia="仿宋_GB2312" w:cs="Times New Roman"/>
          <w:b w:val="0"/>
          <w:bCs/>
          <w:color w:val="auto"/>
          <w:sz w:val="32"/>
          <w:szCs w:val="32"/>
          <w:highlight w:val="none"/>
          <w:lang w:val="en-US" w:eastAsia="zh-CN"/>
        </w:rPr>
        <w:t>使用焊接连接对焊时必须对管道</w:t>
      </w:r>
      <w:r>
        <w:rPr>
          <w:rFonts w:hint="eastAsia" w:ascii="仿宋_GB2312" w:hAnsi="Calibri" w:eastAsia="仿宋_GB2312" w:cs="Times New Roman"/>
          <w:b w:val="0"/>
          <w:bCs/>
          <w:color w:val="auto"/>
          <w:sz w:val="32"/>
          <w:szCs w:val="32"/>
          <w:highlight w:val="none"/>
          <w:lang w:val="en-US" w:eastAsia="zh-CN"/>
        </w:rPr>
        <w:t>、弯头、法兰等管件</w:t>
      </w:r>
      <w:r>
        <w:rPr>
          <w:rFonts w:hint="default" w:ascii="仿宋_GB2312" w:hAnsi="Calibri" w:eastAsia="仿宋_GB2312" w:cs="Times New Roman"/>
          <w:b w:val="0"/>
          <w:bCs/>
          <w:color w:val="auto"/>
          <w:sz w:val="32"/>
          <w:szCs w:val="32"/>
          <w:highlight w:val="none"/>
          <w:lang w:val="en-US" w:eastAsia="zh-CN"/>
        </w:rPr>
        <w:t>进行坡口处理,以确保母材充分焊透</w:t>
      </w:r>
      <w:r>
        <w:rPr>
          <w:rFonts w:hint="eastAsia" w:ascii="仿宋_GB2312" w:hAnsi="Calibri" w:eastAsia="仿宋_GB2312" w:cs="Times New Roman"/>
          <w:b w:val="0"/>
          <w:bCs/>
          <w:color w:val="auto"/>
          <w:sz w:val="32"/>
          <w:szCs w:val="32"/>
          <w:highlight w:val="none"/>
          <w:lang w:val="en-US" w:eastAsia="zh-CN"/>
        </w:rPr>
        <w:t>；</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④管道焊接完成后做试压处理；</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⑤确保管道无泄漏情况后方可进行覆土；</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⑥做围栏做活动式套口；</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⑦不锈钢围栏加工好后运送到现场安装；</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⑧检查焊口处理效果及完全焊透；</w:t>
      </w:r>
    </w:p>
    <w:p>
      <w:pPr>
        <w:numPr>
          <w:ilvl w:val="0"/>
          <w:numId w:val="0"/>
        </w:numPr>
        <w:spacing w:line="360" w:lineRule="auto"/>
        <w:ind w:left="160" w:leftChars="0" w:firstLine="643" w:firstLineChars="200"/>
        <w:jc w:val="left"/>
        <w:rPr>
          <w:rFonts w:hint="default" w:ascii="仿宋_GB2312" w:hAnsi="Calibri" w:eastAsia="仿宋_GB2312" w:cs="Times New Roman"/>
          <w:b/>
          <w:bCs w:val="0"/>
          <w:color w:val="auto"/>
          <w:sz w:val="32"/>
          <w:szCs w:val="32"/>
          <w:highlight w:val="none"/>
          <w:lang w:val="en-US" w:eastAsia="zh-CN"/>
        </w:rPr>
      </w:pPr>
      <w:r>
        <w:rPr>
          <w:rFonts w:hint="eastAsia" w:ascii="仿宋_GB2312" w:hAnsi="Calibri" w:eastAsia="仿宋_GB2312" w:cs="Times New Roman"/>
          <w:b/>
          <w:bCs w:val="0"/>
          <w:color w:val="auto"/>
          <w:sz w:val="32"/>
          <w:szCs w:val="32"/>
          <w:highlight w:val="none"/>
          <w:lang w:val="en-US" w:eastAsia="zh-CN"/>
        </w:rPr>
        <w:t>2、三期污水泵管道更换</w:t>
      </w:r>
    </w:p>
    <w:p>
      <w:pPr>
        <w:numPr>
          <w:ilvl w:val="0"/>
          <w:numId w:val="0"/>
        </w:numPr>
        <w:spacing w:line="360" w:lineRule="auto"/>
        <w:ind w:left="160" w:leftChars="0" w:firstLine="640" w:firstLineChars="200"/>
        <w:rPr>
          <w:rFonts w:hint="default"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①严格执行“先通风、再检测、后作业”的原则，在有限空间的空气质量符合安全要求后方可作业，并持续通风。</w:t>
      </w:r>
    </w:p>
    <w:p>
      <w:pPr>
        <w:numPr>
          <w:ilvl w:val="0"/>
          <w:numId w:val="0"/>
        </w:numPr>
        <w:spacing w:line="360" w:lineRule="auto"/>
        <w:ind w:left="160" w:leftChars="0" w:firstLine="640" w:firstLineChars="200"/>
        <w:rPr>
          <w:rFonts w:hint="default"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②完成维修排水管道铺设后，关闭格栅前进水阀门，格栅前段使用排洪泵直接超越至反应池，污水泵房内剩余污水利用提升泵直接抽走直至露出整段管道。</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 xml:space="preserve">③将水泵吊离井内，对四台泵后管道逐一拆除，个别锈蚀严重的管道气切割拆除，拆除管道及附属设施后，手动葫芦将废旧管材吊离井内。 </w:t>
      </w:r>
    </w:p>
    <w:p>
      <w:pPr>
        <w:numPr>
          <w:ilvl w:val="0"/>
          <w:numId w:val="0"/>
        </w:numPr>
        <w:spacing w:line="360" w:lineRule="auto"/>
        <w:ind w:left="160" w:leftChars="0" w:firstLine="640" w:firstLineChars="200"/>
        <w:rPr>
          <w:rFonts w:hint="eastAsia"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④将预制好长度的管材及附属管件运至井内，定好位置，进行焊接。</w:t>
      </w:r>
    </w:p>
    <w:p>
      <w:pPr>
        <w:numPr>
          <w:ilvl w:val="0"/>
          <w:numId w:val="0"/>
        </w:numPr>
        <w:spacing w:line="360" w:lineRule="auto"/>
        <w:ind w:left="160" w:leftChars="0" w:firstLine="640" w:firstLineChars="200"/>
        <w:rPr>
          <w:rFonts w:hint="default"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⑤检查水泵耦合器基座是否牢固可靠，发现松脱进行基座加固。</w:t>
      </w:r>
    </w:p>
    <w:p>
      <w:pPr>
        <w:numPr>
          <w:ilvl w:val="0"/>
          <w:numId w:val="0"/>
        </w:numPr>
        <w:spacing w:line="360" w:lineRule="auto"/>
        <w:ind w:left="160" w:leftChars="0" w:firstLine="640" w:firstLineChars="200"/>
        <w:rPr>
          <w:rFonts w:hint="default" w:ascii="仿宋_GB2312" w:hAnsi="Calibri" w:eastAsia="仿宋_GB2312" w:cs="Times New Roman"/>
          <w:b w:val="0"/>
          <w:bCs/>
          <w:color w:val="auto"/>
          <w:sz w:val="32"/>
          <w:szCs w:val="32"/>
          <w:highlight w:val="none"/>
          <w:lang w:val="en-US" w:eastAsia="zh-CN"/>
        </w:rPr>
      </w:pPr>
      <w:r>
        <w:rPr>
          <w:rFonts w:hint="eastAsia" w:ascii="仿宋_GB2312" w:hAnsi="Calibri" w:eastAsia="仿宋_GB2312" w:cs="Times New Roman"/>
          <w:b w:val="0"/>
          <w:bCs/>
          <w:color w:val="auto"/>
          <w:sz w:val="32"/>
          <w:szCs w:val="32"/>
          <w:highlight w:val="none"/>
          <w:lang w:val="en-US" w:eastAsia="zh-CN"/>
        </w:rPr>
        <w:t>⑥安装管道后打开部分闸门放进部分水，水泵放入污水泵房内，开泵进行设备调试，测试管道密封性，管道正常后正产投入使用。</w:t>
      </w:r>
    </w:p>
    <w:p>
      <w:pPr>
        <w:rPr>
          <w:rFonts w:hint="eastAsia"/>
          <w:color w:val="auto"/>
          <w:highlight w:val="none"/>
          <w:lang w:val="en-US" w:eastAsia="zh-CN"/>
        </w:rPr>
      </w:pPr>
    </w:p>
    <w:p>
      <w:pPr>
        <w:pStyle w:val="33"/>
        <w:widowControl/>
        <w:numPr>
          <w:ilvl w:val="0"/>
          <w:numId w:val="4"/>
        </w:numPr>
        <w:spacing w:line="360" w:lineRule="auto"/>
        <w:ind w:left="0" w:leftChars="0" w:firstLine="0" w:firstLineChars="0"/>
        <w:rPr>
          <w:rFonts w:hint="eastAsia" w:ascii="仿宋_GB2312" w:hAnsi="Times New Roman" w:eastAsia="仿宋_GB2312" w:cs="仿宋_GB2312"/>
          <w:b/>
          <w:bCs w:val="0"/>
          <w:color w:val="auto"/>
          <w:kern w:val="2"/>
          <w:sz w:val="32"/>
          <w:szCs w:val="32"/>
          <w:highlight w:val="none"/>
          <w:lang w:val="en-US" w:eastAsia="zh-CN"/>
        </w:rPr>
      </w:pPr>
      <w:r>
        <w:rPr>
          <w:rFonts w:hint="eastAsia" w:ascii="仿宋_GB2312" w:hAnsi="Times New Roman" w:eastAsia="仿宋_GB2312" w:cs="仿宋_GB2312"/>
          <w:b/>
          <w:bCs w:val="0"/>
          <w:color w:val="auto"/>
          <w:kern w:val="2"/>
          <w:sz w:val="32"/>
          <w:szCs w:val="32"/>
          <w:highlight w:val="none"/>
          <w:lang w:val="en-US" w:eastAsia="zh-CN"/>
        </w:rPr>
        <w:t>项目工程量清单</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453"/>
        <w:gridCol w:w="3874"/>
        <w:gridCol w:w="886"/>
        <w:gridCol w:w="1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38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18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9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933"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38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18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9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38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18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9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4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导水管（DN300）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1.材质：无缝钢管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2.规格：DN300、厚度 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3.导水管弯头：DN300、厚度 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4.法兰盘：焊接到DN300管段，配套不锈钢螺栓便于安装阀门</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闸阀</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1.闸阀(甲供)</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导水管（DN600）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1.材质：无缝钢管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2.规格：DN600、厚度 14mm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3.导水管弯头：DN600、厚度 14mm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钢管开孔</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1.旧钢管开孔与新导水管焊接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2.开孔规格：DN600</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龙门架</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1.搭建龙门架:20a工字钢制作安装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2.高度2m，跨度4.5m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3.总长度:23m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龙门架行走小车</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1.重量:1t</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3.其他:行走小车为成品产品，符合1t能装上20a工字钢即可</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管道防腐蚀面层</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1.DN300钢管、弯头(内外面防腐）</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2.DN600钢管、弯头(内外面防腐）</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3.20a 工字钢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4.手工除锈(轻锈)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5.刷漆材料和遍数:红丹防锈底漆一遍;弹性聚氨酯面漆两遍</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双法兰偏心渐缩管拆除及安装 DN400*DN200 L=700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1.DN200端与水泵耦合器匹配，无缝钢管配套不锈钢螺丝及垫片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双法兰偏心渐缩管拆除及安装 DN500*DN400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L=600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1.无缝钢管配套不锈钢螺丝及垫片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双法兰直管拆除及安装管壁 DN500 L=5000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1.无缝钢管,内外衬防腐配套不锈钢螺丝及垫片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单法兰式伸缩接头拆除及安装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DN500 L=159/130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L=60 Lo=80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1.VSSJA型,304不锈钢，配套不锈钢螺丝及垫片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3.其他：已包含旧管拆除吊出，新管吊进安装的费用</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单法兰短管拆除及安装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DN500 L=1175</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1.按实际调整无缝钢管,配套不锈钢螺丝及垫片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90°双法兰弯管拆除及安装</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1.304不锈钢,配套不锈钢螺丝及垫片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3.其他：已包含旧管拆除吊出，新管吊进安装的费用</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管道固定支架拆除</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2.材质及规格:60×60×7 不锈钢角钢</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管道固定支架安装</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2.材质及规格:60×60×7 不锈钢角钢</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拆除水泵底水泥基座位面层</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1.拆除水泵底水泥基座位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2.尺寸：1.5*1.5m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3.厚度：0.3m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4.数量：4个</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修复水泵底水泥基座位面层</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1.修复水泵底水泥基座位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2.尺寸：1.5*1.5m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3.厚度：0.3m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4.混凝土强度等级：C30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5.数量：4个</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M20螺栓</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1.M20螺栓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2.部位：水泵底水泥基座位</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潜水泵安装（导水）</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1.离心式深水泵安装 设备重量(t 以内) 1</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潜水泵拆除（导水）</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1.离心式深水泵拆除 设备重量(t 以内) 1</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导水管安装（DN300）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1.材质：导水管(消防水带)安装 </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导水管拆除（DN300）</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1.材质：导水管(消防水带)拆除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导水泵临时户外电箱</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1.导水泵临时户外电箱</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2.配电箱尺寸:600×350×250mm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导水泵临时户外电箱拆除</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1.导水泵临时户外电箱拆除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2.配电箱尺寸:600×350×250mm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电力电缆</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1.导水泵临时电力电缆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2.电缆规格：VV-3×50+2×25mm2</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电力电缆拆除</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1.拆除导水泵临时电力电缆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2.电缆规格：VV-3×50+2×25mm2</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排水、降水</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1.乙方安装人员24h驻场，控泵导水，10天</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2.污水泵出口直径：150mm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洞内通风设施</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1.离心通风机风量：10000m3/h</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有毒气体检测</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1.有毒气体检测</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台·次</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抽水泵及管道搬运现场</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1.载货汽车将抽水泵及管道搬运现场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2.载货汽车规格:≥2t</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高层施工增加费</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1.高层施工增加费</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1.脚手架搭拆费</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水泵井内垂直运输</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1.水泵井内垂直运输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2.运输机械：手拉葫芦及单轨小车</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3.其他：操作手拉葫芦1人， 上下摆件各1人</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绿化路面开挖</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1.绿化路面开挖</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2.开挖长度：35m，宽度：1.2m，深度：1.2m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3.开挖方式：人工开挖</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垫层</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1.导水管垫层</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2.垫层材质:砂砾石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3.厚度:150mm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回填方</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1.导水管回填</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2.回填材质:砂砾石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3.厚度:回填到管面15cm沙砾石</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21.84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回填原土</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1.回填原土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2.回填土覆土深度：30cm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3.夯实方式：人工夯实</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管道标志牌</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1.材质：铝合金管道标识圆形牌</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2.规格:DN100圆形牌、厚2mm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不锈钢围栏</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1.不锈钢围栏</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2.不锈钢扶手规格及数量：Φ60×3mm-90m；不锈钢栏杆规格：Φ60×3.5mm-180m、Φ20×2mm-700m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3.不锈钢活页数量：26套</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围栏活动套口制作</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1.水泥面钻孔</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2.规格:Φ60mm、深 10cm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个</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余方弃置</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1.装土方式:人工装土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2.运距:20km</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38.98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余方弃置</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1.装土方式:人工装拆除废料</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2.运距:20km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3.部位：拆除水泵底水泥基座位</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m3</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13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铺种台湾草</w:t>
            </w:r>
          </w:p>
        </w:tc>
        <w:tc>
          <w:tcPr>
            <w:tcW w:w="218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1.植被：台湾草</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2.养护期：6个月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3.灌溉方式：机械灌溉</w:t>
            </w:r>
          </w:p>
        </w:tc>
        <w:tc>
          <w:tcPr>
            <w:tcW w:w="49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m2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42</w:t>
            </w:r>
          </w:p>
        </w:tc>
      </w:tr>
    </w:tbl>
    <w:p>
      <w:pPr>
        <w:pStyle w:val="2"/>
        <w:ind w:left="0" w:leftChars="0" w:firstLine="0" w:firstLineChars="0"/>
        <w:rPr>
          <w:color w:val="auto"/>
          <w:highlight w:val="none"/>
        </w:rPr>
      </w:pPr>
    </w:p>
    <w:p>
      <w:pPr>
        <w:pStyle w:val="2"/>
        <w:ind w:left="0" w:leftChars="0" w:firstLine="0" w:firstLineChars="0"/>
        <w:rPr>
          <w:rFonts w:hint="default" w:ascii="仿宋_GB2312" w:eastAsia="仿宋_GB2312"/>
          <w:color w:val="auto"/>
          <w:sz w:val="28"/>
          <w:szCs w:val="28"/>
          <w:highlight w:val="none"/>
          <w:lang w:val="en-US" w:eastAsia="zh-CN"/>
        </w:rPr>
      </w:pPr>
    </w:p>
    <w:p>
      <w:pPr>
        <w:pStyle w:val="2"/>
        <w:rPr>
          <w:rFonts w:ascii="仿宋_GB2312" w:eastAsia="仿宋_GB2312"/>
          <w:color w:val="auto"/>
          <w:sz w:val="28"/>
          <w:szCs w:val="28"/>
          <w:highlight w:val="none"/>
        </w:rPr>
      </w:pPr>
    </w:p>
    <w:p>
      <w:pPr>
        <w:pStyle w:val="2"/>
        <w:rPr>
          <w:rFonts w:hint="default"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项目二：</w:t>
      </w:r>
      <w:r>
        <w:rPr>
          <w:rFonts w:hint="eastAsia" w:ascii="仿宋_GB2312" w:eastAsia="仿宋_GB2312"/>
          <w:b/>
          <w:bCs/>
          <w:color w:val="auto"/>
          <w:sz w:val="28"/>
          <w:szCs w:val="28"/>
          <w:highlight w:val="none"/>
          <w:u w:val="single"/>
        </w:rPr>
        <w:t>石井净分公司2022年二期厂区生产区域自来水及中水系统完善工程</w:t>
      </w:r>
    </w:p>
    <w:p>
      <w:pPr>
        <w:pStyle w:val="13"/>
        <w:adjustRightInd w:val="0"/>
        <w:snapToGrid w:val="0"/>
        <w:spacing w:line="52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1.总体效果及验收要求</w:t>
      </w:r>
    </w:p>
    <w:p>
      <w:pPr>
        <w:pStyle w:val="13"/>
        <w:adjustRightInd w:val="0"/>
        <w:snapToGrid w:val="0"/>
        <w:spacing w:line="52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改造完成后一周内，相关管道及配水件运行正常，符合厂内使用要求，参考《给水排水管道工程施工及验收规范》GB 50268-2008等标准符合后进行项目验收。</w:t>
      </w:r>
    </w:p>
    <w:p>
      <w:pPr>
        <w:pStyle w:val="13"/>
        <w:adjustRightInd w:val="0"/>
        <w:snapToGrid w:val="0"/>
        <w:spacing w:line="52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2.项目工程量</w:t>
      </w:r>
    </w:p>
    <w:p>
      <w:pPr>
        <w:pStyle w:val="13"/>
        <w:adjustRightInd w:val="0"/>
        <w:snapToGrid w:val="0"/>
        <w:spacing w:line="52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参照一期厂区生产区域自来水及中水系统，二期厂区生产区域自来水系统的主要管道拟采用DN25的PE电熔管，出水口接水龙头，中水系统的主要管道拟采用DN65的PE电熔管，出水口接消火栓卡口，方便日常使用。 </w:t>
      </w:r>
    </w:p>
    <w:p>
      <w:pPr>
        <w:pStyle w:val="14"/>
        <w:rPr>
          <w:rFonts w:hint="eastAsia"/>
          <w:color w:val="auto"/>
          <w:highlight w:val="none"/>
          <w:lang w:val="en-US" w:eastAsia="zh-CN"/>
        </w:rPr>
      </w:pPr>
    </w:p>
    <w:p>
      <w:pPr>
        <w:pStyle w:val="14"/>
        <w:rPr>
          <w:rFonts w:hint="eastAsia"/>
          <w:color w:val="auto"/>
          <w:highlight w:val="none"/>
          <w:lang w:val="en-US" w:eastAsia="zh-CN"/>
        </w:rPr>
      </w:pPr>
      <w:r>
        <w:rPr>
          <w:rFonts w:hint="eastAsia"/>
          <w:color w:val="auto"/>
          <w:highlight w:val="none"/>
          <w:lang w:val="en-US" w:eastAsia="zh-CN"/>
        </w:rPr>
        <w:drawing>
          <wp:inline distT="0" distB="0" distL="114300" distR="114300">
            <wp:extent cx="5605145" cy="3971290"/>
            <wp:effectExtent l="0" t="0" r="14605" b="10160"/>
            <wp:docPr id="20" name="图片 20" descr="二期负一层中水自来水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二期负一层中水自来水布置图"/>
                    <pic:cNvPicPr>
                      <a:picLocks noChangeAspect="1"/>
                    </pic:cNvPicPr>
                  </pic:nvPicPr>
                  <pic:blipFill>
                    <a:blip r:embed="rId21"/>
                    <a:stretch>
                      <a:fillRect/>
                    </a:stretch>
                  </pic:blipFill>
                  <pic:spPr>
                    <a:xfrm>
                      <a:off x="0" y="0"/>
                      <a:ext cx="5605145" cy="3971290"/>
                    </a:xfrm>
                    <a:prstGeom prst="rect">
                      <a:avLst/>
                    </a:prstGeom>
                  </pic:spPr>
                </pic:pic>
              </a:graphicData>
            </a:graphic>
          </wp:inline>
        </w:drawing>
      </w:r>
    </w:p>
    <w:p>
      <w:pPr>
        <w:pStyle w:val="15"/>
        <w:jc w:val="center"/>
        <w:rPr>
          <w:rFonts w:hint="eastAsia"/>
          <w:color w:val="auto"/>
          <w:highlight w:val="none"/>
          <w:lang w:val="en-US" w:eastAsia="zh-CN"/>
        </w:rPr>
      </w:pPr>
      <w:r>
        <w:rPr>
          <w:rFonts w:hint="eastAsia" w:ascii="仿宋" w:hAnsi="仿宋" w:eastAsia="仿宋" w:cs="仿宋"/>
          <w:color w:val="auto"/>
          <w:sz w:val="28"/>
          <w:szCs w:val="28"/>
          <w:highlight w:val="none"/>
          <w:lang w:val="en-US" w:eastAsia="zh-CN" w:bidi="ar-SA"/>
        </w:rPr>
        <w:t>二期负一层中水自来水布置图</w:t>
      </w:r>
    </w:p>
    <w:p>
      <w:pPr>
        <w:pStyle w:val="14"/>
        <w:rPr>
          <w:rFonts w:hint="eastAsia"/>
          <w:color w:val="auto"/>
          <w:highlight w:val="none"/>
          <w:lang w:val="en-US" w:eastAsia="zh-CN"/>
        </w:rPr>
      </w:pPr>
      <w:r>
        <w:rPr>
          <w:rFonts w:hint="eastAsia"/>
          <w:color w:val="auto"/>
          <w:highlight w:val="none"/>
          <w:lang w:val="en-US" w:eastAsia="zh-CN"/>
        </w:rPr>
        <w:drawing>
          <wp:inline distT="0" distB="0" distL="114300" distR="114300">
            <wp:extent cx="5605145" cy="3967480"/>
            <wp:effectExtent l="0" t="0" r="14605" b="13970"/>
            <wp:docPr id="21" name="图片 21" descr="二期负二层中水自来水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二期负二层中水自来水布置图"/>
                    <pic:cNvPicPr>
                      <a:picLocks noChangeAspect="1"/>
                    </pic:cNvPicPr>
                  </pic:nvPicPr>
                  <pic:blipFill>
                    <a:blip r:embed="rId22"/>
                    <a:stretch>
                      <a:fillRect/>
                    </a:stretch>
                  </pic:blipFill>
                  <pic:spPr>
                    <a:xfrm>
                      <a:off x="0" y="0"/>
                      <a:ext cx="5605145" cy="3967480"/>
                    </a:xfrm>
                    <a:prstGeom prst="rect">
                      <a:avLst/>
                    </a:prstGeom>
                  </pic:spPr>
                </pic:pic>
              </a:graphicData>
            </a:graphic>
          </wp:inline>
        </w:drawing>
      </w:r>
    </w:p>
    <w:p>
      <w:pPr>
        <w:pStyle w:val="15"/>
        <w:jc w:val="center"/>
        <w:rPr>
          <w:rFonts w:hint="eastAsia"/>
          <w:color w:val="auto"/>
          <w:highlight w:val="none"/>
          <w:lang w:val="en-US" w:eastAsia="zh-CN"/>
        </w:rPr>
      </w:pPr>
      <w:r>
        <w:rPr>
          <w:rFonts w:hint="eastAsia" w:ascii="仿宋" w:hAnsi="仿宋" w:eastAsia="仿宋" w:cs="仿宋"/>
          <w:color w:val="auto"/>
          <w:sz w:val="28"/>
          <w:szCs w:val="28"/>
          <w:highlight w:val="none"/>
          <w:lang w:val="en-US" w:eastAsia="zh-CN" w:bidi="ar-SA"/>
        </w:rPr>
        <w:t>二期负二层中水自来水布置图</w:t>
      </w:r>
    </w:p>
    <w:p>
      <w:pPr>
        <w:pStyle w:val="46"/>
        <w:keepNext w:val="0"/>
        <w:keepLines w:val="0"/>
        <w:pageBreakBefore w:val="0"/>
        <w:numPr>
          <w:ilvl w:val="0"/>
          <w:numId w:val="0"/>
        </w:numPr>
        <w:kinsoku/>
        <w:wordWrap/>
        <w:overflowPunct/>
        <w:topLinePunct w:val="0"/>
        <w:bidi w:val="0"/>
        <w:spacing w:line="520" w:lineRule="exact"/>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工程量清单：</w:t>
      </w:r>
    </w:p>
    <w:tbl>
      <w:tblPr>
        <w:tblStyle w:val="23"/>
        <w:tblpPr w:leftFromText="180" w:rightFromText="180" w:vertAnchor="text" w:horzAnchor="page" w:tblpXSpec="center" w:tblpY="292"/>
        <w:tblOverlap w:val="never"/>
        <w:tblW w:w="9137" w:type="dxa"/>
        <w:jc w:val="center"/>
        <w:tblLayout w:type="autofit"/>
        <w:tblCellMar>
          <w:top w:w="0" w:type="dxa"/>
          <w:left w:w="0" w:type="dxa"/>
          <w:bottom w:w="0" w:type="dxa"/>
          <w:right w:w="0" w:type="dxa"/>
        </w:tblCellMar>
      </w:tblPr>
      <w:tblGrid>
        <w:gridCol w:w="1284"/>
        <w:gridCol w:w="2200"/>
        <w:gridCol w:w="3367"/>
        <w:gridCol w:w="857"/>
        <w:gridCol w:w="1429"/>
      </w:tblGrid>
      <w:tr>
        <w:tblPrEx>
          <w:tblCellMar>
            <w:top w:w="0" w:type="dxa"/>
            <w:left w:w="0" w:type="dxa"/>
            <w:bottom w:w="0" w:type="dxa"/>
            <w:right w:w="0" w:type="dxa"/>
          </w:tblCellMar>
        </w:tblPrEx>
        <w:trPr>
          <w:trHeight w:val="621" w:hRule="atLeast"/>
          <w:jc w:val="center"/>
        </w:trPr>
        <w:tc>
          <w:tcPr>
            <w:tcW w:w="1284"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序号</w:t>
            </w:r>
          </w:p>
        </w:tc>
        <w:tc>
          <w:tcPr>
            <w:tcW w:w="220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项目名称</w:t>
            </w:r>
          </w:p>
        </w:tc>
        <w:tc>
          <w:tcPr>
            <w:tcW w:w="3367"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项目特征描述</w:t>
            </w:r>
          </w:p>
        </w:tc>
        <w:tc>
          <w:tcPr>
            <w:tcW w:w="857"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计量单位</w:t>
            </w:r>
          </w:p>
        </w:tc>
        <w:tc>
          <w:tcPr>
            <w:tcW w:w="142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工程量</w:t>
            </w:r>
          </w:p>
        </w:tc>
      </w:tr>
      <w:tr>
        <w:tblPrEx>
          <w:tblCellMar>
            <w:top w:w="0" w:type="dxa"/>
            <w:left w:w="0" w:type="dxa"/>
            <w:bottom w:w="0" w:type="dxa"/>
            <w:right w:w="0" w:type="dxa"/>
          </w:tblCellMar>
        </w:tblPrEx>
        <w:trPr>
          <w:trHeight w:val="621" w:hRule="atLeast"/>
          <w:jc w:val="center"/>
        </w:trPr>
        <w:tc>
          <w:tcPr>
            <w:tcW w:w="1284"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22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336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85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142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r>
      <w:tr>
        <w:tblPrEx>
          <w:tblCellMar>
            <w:top w:w="0" w:type="dxa"/>
            <w:left w:w="0" w:type="dxa"/>
            <w:bottom w:w="0" w:type="dxa"/>
            <w:right w:w="0" w:type="dxa"/>
          </w:tblCellMar>
        </w:tblPrEx>
        <w:trPr>
          <w:trHeight w:val="621" w:hRule="atLeast"/>
          <w:jc w:val="center"/>
        </w:trPr>
        <w:tc>
          <w:tcPr>
            <w:tcW w:w="1284"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220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336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85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c>
          <w:tcPr>
            <w:tcW w:w="142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仿宋" w:hAnsi="仿宋" w:eastAsia="仿宋" w:cs="仿宋"/>
                <w:color w:val="auto"/>
                <w:sz w:val="20"/>
                <w:szCs w:val="20"/>
                <w:highlight w:val="none"/>
              </w:rPr>
            </w:pP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厂区二期负一层中水管安装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1.材质：PE电熔管</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2.规格：DN65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m</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686</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管卡安装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1.质:镀锌管卡</w:t>
            </w:r>
          </w:p>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2.规格: 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343</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材质: 角钢 50*5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1034.488</w:t>
            </w:r>
          </w:p>
        </w:tc>
      </w:tr>
      <w:tr>
        <w:tblPrEx>
          <w:tblCellMar>
            <w:top w:w="0" w:type="dxa"/>
            <w:left w:w="0" w:type="dxa"/>
            <w:bottom w:w="0" w:type="dxa"/>
            <w:right w:w="0" w:type="dxa"/>
          </w:tblCellMar>
        </w:tblPrEx>
        <w:trPr>
          <w:trHeight w:val="984"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管架刷防锈漆</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红丹环氧防锈漆、环氧磁漆各两遍</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1034.488</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PE电熔直通安装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规格：DN65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115</w:t>
            </w:r>
          </w:p>
        </w:tc>
      </w:tr>
      <w:tr>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6</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PE电熔三通安装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规格：DN65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PE电熔弯头安装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PE电熔变径头安装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规格：DN200*65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9</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室内消火栓安装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厂区二期负二层中水管安装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1.材质：PE电熔管</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2.规格：DN65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m</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258</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11</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管卡安装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1.质:镀锌管卡</w:t>
            </w:r>
          </w:p>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2.规格: 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129</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12</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材质: 角钢 50*5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389.064</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13</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管架刷防锈漆</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红丹环氧防锈漆、环氧磁漆各两遍</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389.064</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14</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PE电熔直通安装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规格：DN65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43</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15</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PE电熔三通安装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规格：DN65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16</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PE电熔弯头安装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PE电熔变径头安装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规格：DN200*65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18</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室内消火栓安装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规格：DN65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厂区二期负一层自来水管安装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1.材质：PE电熔管</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2.规格：DN25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m</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686</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20</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管卡安装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1.质:镀锌管卡</w:t>
            </w:r>
          </w:p>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2.规格: 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343</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21</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材质: 角钢 50*5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1034.488</w:t>
            </w:r>
          </w:p>
        </w:tc>
      </w:tr>
      <w:tr>
        <w:tblPrEx>
          <w:tblCellMar>
            <w:top w:w="0" w:type="dxa"/>
            <w:left w:w="0" w:type="dxa"/>
            <w:bottom w:w="0" w:type="dxa"/>
            <w:right w:w="0" w:type="dxa"/>
          </w:tblCellMar>
        </w:tblPrEx>
        <w:trPr>
          <w:trHeight w:val="984"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管架刷防锈漆</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红丹环氧防锈漆、环氧磁漆各两遍</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1034.488</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23</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PE电熔直通安装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规格：DN25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115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24</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PE电熔三通安装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规格：DN25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PE电熔弯头安装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26</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PE电熔变径头安装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规格：DN200*25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27</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室内消火栓安装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17</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28</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厂区二期负二层自来水管安装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1.材质：PE电熔管</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2.规格：DN25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m</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258</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29</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管卡安装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1.质:镀锌管卡</w:t>
            </w:r>
          </w:p>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2.规格: 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129</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30</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材质: 角钢 50*5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389.064</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31</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管架刷防锈漆</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红丹环氧防锈漆、环氧磁漆各两遍</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kg</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389.064</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32</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PE电熔直通安装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规格：DN25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43</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33</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PE电熔三通安装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规格：DN25 </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34</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PE电熔弯头安装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35</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PE电熔变径头安装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tabs>
                <w:tab w:val="left" w:pos="312"/>
              </w:tabs>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规格：DN200*25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36</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水龙头安装</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规格：DN25</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个</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r>
      <w:tr>
        <w:tblPrEx>
          <w:tblCellMar>
            <w:top w:w="0" w:type="dxa"/>
            <w:left w:w="0" w:type="dxa"/>
            <w:bottom w:w="0" w:type="dxa"/>
            <w:right w:w="0" w:type="dxa"/>
          </w:tblCellMar>
        </w:tblPrEx>
        <w:trPr>
          <w:trHeight w:val="596" w:hRule="atLeast"/>
          <w:jc w:val="center"/>
        </w:trPr>
        <w:tc>
          <w:tcPr>
            <w:tcW w:w="1284" w:type="dxa"/>
            <w:tcBorders>
              <w:top w:val="nil"/>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37</w:t>
            </w:r>
          </w:p>
        </w:tc>
        <w:tc>
          <w:tcPr>
            <w:tcW w:w="2200"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脚手架搭设</w:t>
            </w:r>
          </w:p>
        </w:tc>
        <w:tc>
          <w:tcPr>
            <w:tcW w:w="3367"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left"/>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综合钢脚手架</w:t>
            </w:r>
          </w:p>
        </w:tc>
        <w:tc>
          <w:tcPr>
            <w:tcW w:w="857" w:type="dxa"/>
            <w:tcBorders>
              <w:top w:val="nil"/>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m2</w:t>
            </w:r>
          </w:p>
        </w:tc>
        <w:tc>
          <w:tcPr>
            <w:tcW w:w="1429" w:type="dxa"/>
            <w:tcBorders>
              <w:top w:val="single" w:color="000000" w:sz="4" w:space="0"/>
              <w:left w:val="nil"/>
              <w:bottom w:val="single" w:color="000000" w:sz="4" w:space="0"/>
              <w:right w:val="single" w:color="000000" w:sz="4" w:space="0"/>
            </w:tcBorders>
            <w:shd w:val="clear" w:color="FFFFFF" w:fill="FFFFFF"/>
            <w:tcMar>
              <w:top w:w="15" w:type="dxa"/>
              <w:left w:w="15" w:type="dxa"/>
              <w:right w:w="15" w:type="dxa"/>
            </w:tcMar>
            <w:vAlign w:val="center"/>
          </w:tcPr>
          <w:p>
            <w:pPr>
              <w:widowControl/>
              <w:jc w:val="center"/>
              <w:textAlignment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54</w:t>
            </w:r>
          </w:p>
        </w:tc>
      </w:tr>
    </w:tbl>
    <w:p>
      <w:pPr>
        <w:pStyle w:val="13"/>
        <w:adjustRightInd w:val="0"/>
        <w:snapToGrid w:val="0"/>
        <w:spacing w:line="520" w:lineRule="exact"/>
        <w:ind w:firstLine="0" w:firstLineChars="0"/>
        <w:rPr>
          <w:rFonts w:hint="eastAsia" w:ascii="仿宋_GB2312" w:hAnsi="仿宋_GB2312" w:eastAsia="仿宋_GB2312" w:cs="仿宋_GB2312"/>
          <w:b/>
          <w:color w:val="auto"/>
          <w:sz w:val="28"/>
          <w:szCs w:val="28"/>
          <w:highlight w:val="none"/>
          <w:lang w:val="zh-CN"/>
        </w:rPr>
      </w:pP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en-US" w:eastAsia="zh-CN"/>
        </w:rPr>
      </w:pP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en-US" w:eastAsia="zh-CN"/>
        </w:rPr>
      </w:pP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en-US" w:eastAsia="zh-CN"/>
        </w:rPr>
      </w:pP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en-US" w:eastAsia="zh-CN"/>
        </w:rPr>
      </w:pP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en-US" w:eastAsia="zh-CN"/>
        </w:rPr>
      </w:pP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lang w:val="en-US" w:eastAsia="zh-CN"/>
        </w:rPr>
      </w:pPr>
    </w:p>
    <w:p>
      <w:pPr>
        <w:autoSpaceDE w:val="0"/>
        <w:autoSpaceDN w:val="0"/>
        <w:spacing w:line="520" w:lineRule="exact"/>
        <w:ind w:firstLine="0" w:firstLineChars="0"/>
        <w:rPr>
          <w:rFonts w:hint="eastAsia" w:ascii="仿宋_GB2312" w:hAnsi="仿宋_GB2312" w:eastAsia="仿宋_GB2312" w:cs="仿宋_GB2312"/>
          <w:color w:val="auto"/>
          <w:sz w:val="28"/>
          <w:szCs w:val="28"/>
          <w:highlight w:val="none"/>
          <w:lang w:val="en-US" w:eastAsia="zh-CN"/>
        </w:rPr>
      </w:pP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.工期：</w:t>
      </w:r>
      <w:r>
        <w:rPr>
          <w:rFonts w:hint="eastAsia" w:ascii="仿宋_GB2312" w:hAnsi="仿宋_GB2312" w:eastAsia="仿宋_GB2312" w:cs="仿宋_GB2312"/>
          <w:color w:val="auto"/>
          <w:sz w:val="28"/>
          <w:szCs w:val="28"/>
          <w:highlight w:val="none"/>
          <w:lang w:val="en-US" w:eastAsia="zh-CN"/>
        </w:rPr>
        <w:t>30日</w:t>
      </w:r>
      <w:r>
        <w:rPr>
          <w:rFonts w:hint="eastAsia" w:ascii="仿宋_GB2312" w:hAnsi="仿宋_GB2312" w:eastAsia="仿宋_GB2312" w:cs="仿宋_GB2312"/>
          <w:color w:val="auto"/>
          <w:sz w:val="28"/>
          <w:szCs w:val="28"/>
          <w:highlight w:val="none"/>
        </w:rPr>
        <w:t>。具体施工日期及工期调整根据实际计划时间而定</w:t>
      </w:r>
      <w:r>
        <w:rPr>
          <w:rFonts w:hint="eastAsia" w:ascii="仿宋_GB2312" w:hAnsi="仿宋_GB2312" w:eastAsia="仿宋_GB2312" w:cs="仿宋_GB2312"/>
          <w:color w:val="auto"/>
          <w:sz w:val="28"/>
          <w:szCs w:val="28"/>
          <w:highlight w:val="none"/>
          <w:lang w:eastAsia="zh-CN"/>
        </w:rPr>
        <w:t>。</w:t>
      </w:r>
    </w:p>
    <w:p>
      <w:pPr>
        <w:autoSpaceDE/>
        <w:autoSpaceDN/>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.质量要求</w:t>
      </w:r>
    </w:p>
    <w:p>
      <w:pPr>
        <w:autoSpaceDE w:val="0"/>
        <w:autoSpaceDN w:val="0"/>
        <w:spacing w:line="520" w:lineRule="exact"/>
        <w:ind w:left="0" w:leftChars="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使用的各种材料必须符合设计和规范要求。</w:t>
      </w:r>
    </w:p>
    <w:p>
      <w:pPr>
        <w:autoSpaceDE w:val="0"/>
        <w:autoSpaceDN w:val="0"/>
        <w:spacing w:line="520" w:lineRule="exact"/>
        <w:ind w:left="0" w:leftChars="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各种构件在运输过程中必须有可靠的保护措施。构件外观表面无明显的凹面和损伤。焊疤、飞溅物、毛刺应清理干净。</w:t>
      </w:r>
    </w:p>
    <w:p>
      <w:pPr>
        <w:autoSpaceDE w:val="0"/>
        <w:autoSpaceDN w:val="0"/>
        <w:spacing w:line="520" w:lineRule="exact"/>
        <w:ind w:left="0" w:leftChars="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必须用合格焊工。焊接、防锈、安装精度必须合格。</w:t>
      </w:r>
    </w:p>
    <w:p>
      <w:pPr>
        <w:pStyle w:val="46"/>
        <w:spacing w:line="520" w:lineRule="exact"/>
        <w:rPr>
          <w:rFonts w:hint="default" w:eastAsia="仿宋_GB2312"/>
          <w:color w:val="auto"/>
          <w:highlight w:val="none"/>
          <w:lang w:val="en-US" w:eastAsia="zh-CN"/>
        </w:rPr>
      </w:pPr>
      <w:r>
        <w:rPr>
          <w:rFonts w:hint="eastAsia" w:ascii="仿宋_GB2312" w:hAnsi="仿宋_GB2312" w:cs="仿宋_GB2312"/>
          <w:color w:val="auto"/>
          <w:sz w:val="28"/>
          <w:szCs w:val="28"/>
          <w:highlight w:val="none"/>
          <w:lang w:val="en-US" w:eastAsia="zh-CN"/>
        </w:rPr>
        <w:t xml:space="preserve">    （4）管道安装完成后需要按规范进行试压，确认试压合格后，将管端接上配水件，以工作压力供水，分批开启配水件，检测各出水口是否畅通。</w:t>
      </w:r>
    </w:p>
    <w:p>
      <w:pPr>
        <w:pStyle w:val="7"/>
        <w:spacing w:line="520" w:lineRule="exact"/>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w:t>
      </w:r>
      <w:r>
        <w:rPr>
          <w:rFonts w:hint="eastAsia" w:ascii="仿宋_GB2312" w:hAnsi="仿宋_GB2312" w:eastAsia="仿宋_GB2312" w:cs="仿宋_GB2312"/>
          <w:color w:val="auto"/>
          <w:sz w:val="28"/>
          <w:szCs w:val="28"/>
          <w:highlight w:val="none"/>
        </w:rPr>
        <w:t>保修期（保养期）：质保期为项目完成经验收合格之日起1年。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20" w:lineRule="exact"/>
        <w:ind w:left="0" w:right="0" w:firstLine="560" w:firstLineChars="200"/>
        <w:jc w:val="left"/>
        <w:rPr>
          <w:rFonts w:hint="eastAsia" w:ascii="仿宋_GB2312" w:hAnsi="仿宋_GB2312" w:eastAsia="仿宋_GB2312" w:cs="仿宋_GB2312"/>
          <w:i w:val="0"/>
          <w:caps w:val="0"/>
          <w:color w:val="auto"/>
          <w:spacing w:val="0"/>
          <w:sz w:val="21"/>
          <w:szCs w:val="21"/>
          <w:highlight w:val="none"/>
        </w:rPr>
      </w:pPr>
      <w:r>
        <w:rPr>
          <w:rFonts w:hint="eastAsia" w:ascii="仿宋_GB2312" w:hAnsi="仿宋_GB2312" w:eastAsia="仿宋_GB2312" w:cs="仿宋_GB2312"/>
          <w:color w:val="auto"/>
          <w:kern w:val="2"/>
          <w:sz w:val="28"/>
          <w:szCs w:val="28"/>
          <w:highlight w:val="none"/>
          <w:lang w:val="en-US" w:eastAsia="zh-CN" w:bidi="ar-SA"/>
        </w:rPr>
        <w:t>6.</w:t>
      </w:r>
      <w:r>
        <w:rPr>
          <w:rFonts w:hint="eastAsia" w:ascii="仿宋_GB2312" w:hAnsi="仿宋_GB2312" w:eastAsia="仿宋_GB2312" w:cs="仿宋_GB2312"/>
          <w:i w:val="0"/>
          <w:caps w:val="0"/>
          <w:color w:val="auto"/>
          <w:spacing w:val="0"/>
          <w:sz w:val="28"/>
          <w:szCs w:val="28"/>
          <w:highlight w:val="none"/>
          <w:shd w:val="clear" w:color="auto" w:fill="FFFFFF"/>
        </w:rPr>
        <w:t>验收合格条件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20" w:lineRule="exact"/>
        <w:ind w:left="0" w:right="0" w:firstLine="560" w:firstLineChars="200"/>
        <w:jc w:val="left"/>
        <w:rPr>
          <w:rFonts w:hint="eastAsia" w:ascii="仿宋_GB2312" w:hAnsi="仿宋_GB2312" w:eastAsia="仿宋_GB2312" w:cs="仿宋_GB2312"/>
          <w:i w:val="0"/>
          <w:caps w:val="0"/>
          <w:color w:val="auto"/>
          <w:spacing w:val="0"/>
          <w:sz w:val="21"/>
          <w:szCs w:val="21"/>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i w:val="0"/>
          <w:caps w:val="0"/>
          <w:color w:val="auto"/>
          <w:spacing w:val="0"/>
          <w:sz w:val="28"/>
          <w:szCs w:val="28"/>
          <w:highlight w:val="none"/>
          <w:shd w:val="clear" w:color="auto" w:fill="FFFFFF"/>
        </w:rPr>
        <w:t>调试完毕后现场试运行连续稳定工作</w:t>
      </w:r>
      <w:r>
        <w:rPr>
          <w:rFonts w:hint="eastAsia" w:ascii="仿宋_GB2312" w:hAnsi="仿宋_GB2312" w:eastAsia="仿宋_GB2312" w:cs="仿宋_GB2312"/>
          <w:i w:val="0"/>
          <w:caps w:val="0"/>
          <w:color w:val="auto"/>
          <w:spacing w:val="0"/>
          <w:sz w:val="28"/>
          <w:szCs w:val="28"/>
          <w:highlight w:val="none"/>
          <w:shd w:val="clear" w:color="auto" w:fill="FFFFFF"/>
          <w:lang w:val="en-US" w:eastAsia="zh-CN"/>
        </w:rPr>
        <w:t>24</w:t>
      </w:r>
      <w:r>
        <w:rPr>
          <w:rFonts w:hint="eastAsia" w:ascii="仿宋_GB2312" w:hAnsi="仿宋_GB2312" w:eastAsia="仿宋_GB2312" w:cs="仿宋_GB2312"/>
          <w:i w:val="0"/>
          <w:caps w:val="0"/>
          <w:color w:val="auto"/>
          <w:spacing w:val="0"/>
          <w:sz w:val="28"/>
          <w:szCs w:val="28"/>
          <w:highlight w:val="none"/>
          <w:shd w:val="clear" w:color="auto" w:fill="FFFFFF"/>
        </w:rPr>
        <w:t>小时，无异常，并确保能够达到要求的标准。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20" w:lineRule="exact"/>
        <w:ind w:left="0" w:right="0" w:firstLine="560" w:firstLineChars="200"/>
        <w:jc w:val="left"/>
        <w:rPr>
          <w:rFonts w:hint="eastAsia" w:ascii="仿宋_GB2312" w:hAnsi="仿宋_GB2312" w:eastAsia="仿宋_GB2312" w:cs="仿宋_GB2312"/>
          <w:i w:val="0"/>
          <w:caps w:val="0"/>
          <w:color w:val="auto"/>
          <w:spacing w:val="0"/>
          <w:sz w:val="21"/>
          <w:szCs w:val="21"/>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i w:val="0"/>
          <w:caps w:val="0"/>
          <w:color w:val="auto"/>
          <w:spacing w:val="0"/>
          <w:sz w:val="28"/>
          <w:szCs w:val="28"/>
          <w:highlight w:val="none"/>
          <w:shd w:val="clear" w:color="auto" w:fill="FFFFFF"/>
        </w:rPr>
        <w:t>各类</w:t>
      </w:r>
      <w:r>
        <w:rPr>
          <w:rFonts w:hint="eastAsia" w:ascii="仿宋_GB2312" w:hAnsi="仿宋_GB2312" w:eastAsia="仿宋_GB2312" w:cs="仿宋_GB2312"/>
          <w:i w:val="0"/>
          <w:caps w:val="0"/>
          <w:color w:val="auto"/>
          <w:spacing w:val="0"/>
          <w:sz w:val="28"/>
          <w:szCs w:val="28"/>
          <w:highlight w:val="none"/>
          <w:shd w:val="clear" w:color="auto" w:fill="FFFFFF"/>
          <w:lang w:val="en-US" w:eastAsia="zh-CN"/>
        </w:rPr>
        <w:t>管道及配水件</w:t>
      </w:r>
      <w:r>
        <w:rPr>
          <w:rFonts w:hint="eastAsia" w:ascii="仿宋_GB2312" w:hAnsi="仿宋_GB2312" w:eastAsia="仿宋_GB2312" w:cs="仿宋_GB2312"/>
          <w:i w:val="0"/>
          <w:caps w:val="0"/>
          <w:color w:val="auto"/>
          <w:spacing w:val="0"/>
          <w:sz w:val="28"/>
          <w:szCs w:val="28"/>
          <w:highlight w:val="none"/>
          <w:shd w:val="clear" w:color="auto" w:fill="FFFFFF"/>
        </w:rPr>
        <w:t>等均</w:t>
      </w:r>
      <w:r>
        <w:rPr>
          <w:rFonts w:hint="eastAsia" w:ascii="仿宋_GB2312" w:hAnsi="仿宋_GB2312" w:eastAsia="仿宋_GB2312" w:cs="仿宋_GB2312"/>
          <w:i w:val="0"/>
          <w:caps w:val="0"/>
          <w:color w:val="auto"/>
          <w:spacing w:val="0"/>
          <w:sz w:val="28"/>
          <w:szCs w:val="28"/>
          <w:highlight w:val="none"/>
          <w:shd w:val="clear" w:color="auto" w:fill="FFFFFF"/>
          <w:lang w:val="en-US" w:eastAsia="zh-CN"/>
        </w:rPr>
        <w:t>试压合格、</w:t>
      </w:r>
      <w:r>
        <w:rPr>
          <w:rFonts w:hint="eastAsia" w:ascii="仿宋_GB2312" w:hAnsi="仿宋_GB2312" w:eastAsia="仿宋_GB2312" w:cs="仿宋_GB2312"/>
          <w:i w:val="0"/>
          <w:caps w:val="0"/>
          <w:color w:val="auto"/>
          <w:spacing w:val="0"/>
          <w:sz w:val="28"/>
          <w:szCs w:val="28"/>
          <w:highlight w:val="none"/>
          <w:shd w:val="clear" w:color="auto" w:fill="FFFFFF"/>
        </w:rPr>
        <w:t>正常运行</w:t>
      </w:r>
      <w:r>
        <w:rPr>
          <w:rFonts w:hint="eastAsia" w:ascii="仿宋_GB2312" w:hAnsi="仿宋_GB2312" w:eastAsia="仿宋_GB2312" w:cs="仿宋_GB2312"/>
          <w:i w:val="0"/>
          <w:caps w:val="0"/>
          <w:color w:val="auto"/>
          <w:spacing w:val="0"/>
          <w:sz w:val="28"/>
          <w:szCs w:val="28"/>
          <w:highlight w:val="none"/>
          <w:shd w:val="clear" w:color="auto" w:fill="FFFFFF"/>
          <w:lang w:val="en-US" w:eastAsia="zh-CN"/>
        </w:rPr>
        <w:t>无漏水</w:t>
      </w:r>
      <w:r>
        <w:rPr>
          <w:rFonts w:hint="eastAsia" w:ascii="仿宋_GB2312" w:hAnsi="仿宋_GB2312" w:eastAsia="仿宋_GB2312" w:cs="仿宋_GB2312"/>
          <w:i w:val="0"/>
          <w:caps w:val="0"/>
          <w:color w:val="auto"/>
          <w:spacing w:val="0"/>
          <w:sz w:val="28"/>
          <w:szCs w:val="28"/>
          <w:highlight w:val="none"/>
          <w:shd w:val="clear" w:color="auto" w:fill="FFFFFF"/>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20" w:lineRule="exact"/>
        <w:ind w:left="0" w:right="0" w:firstLine="560" w:firstLineChars="200"/>
        <w:jc w:val="left"/>
        <w:rPr>
          <w:rFonts w:hint="eastAsia" w:ascii="仿宋_GB2312" w:hAnsi="仿宋_GB2312" w:eastAsia="仿宋_GB2312" w:cs="仿宋_GB2312"/>
          <w:i w:val="0"/>
          <w:caps w:val="0"/>
          <w:color w:val="auto"/>
          <w:spacing w:val="0"/>
          <w:sz w:val="21"/>
          <w:szCs w:val="21"/>
          <w:highlight w:val="none"/>
        </w:rPr>
      </w:pPr>
      <w:r>
        <w:rPr>
          <w:rFonts w:hint="eastAsia" w:ascii="仿宋_GB2312" w:hAnsi="仿宋_GB2312" w:eastAsia="仿宋_GB2312" w:cs="仿宋_GB2312"/>
          <w:i w:val="0"/>
          <w:caps w:val="0"/>
          <w:color w:val="auto"/>
          <w:spacing w:val="0"/>
          <w:sz w:val="28"/>
          <w:szCs w:val="28"/>
          <w:highlight w:val="none"/>
          <w:shd w:val="clear" w:color="auto" w:fill="FFFFFF"/>
          <w:lang w:eastAsia="zh-CN"/>
        </w:rPr>
        <w:t>（</w:t>
      </w:r>
      <w:r>
        <w:rPr>
          <w:rFonts w:hint="eastAsia" w:ascii="仿宋_GB2312" w:hAnsi="仿宋_GB2312" w:eastAsia="仿宋_GB2312" w:cs="仿宋_GB2312"/>
          <w:i w:val="0"/>
          <w:caps w:val="0"/>
          <w:color w:val="auto"/>
          <w:spacing w:val="0"/>
          <w:sz w:val="28"/>
          <w:szCs w:val="28"/>
          <w:highlight w:val="none"/>
          <w:shd w:val="clear" w:color="auto" w:fill="FFFFFF"/>
          <w:lang w:val="en-US" w:eastAsia="zh-CN"/>
        </w:rPr>
        <w:t>3</w:t>
      </w:r>
      <w:r>
        <w:rPr>
          <w:rFonts w:hint="eastAsia" w:ascii="仿宋_GB2312" w:hAnsi="仿宋_GB2312" w:eastAsia="仿宋_GB2312" w:cs="仿宋_GB2312"/>
          <w:i w:val="0"/>
          <w:caps w:val="0"/>
          <w:color w:val="auto"/>
          <w:spacing w:val="0"/>
          <w:sz w:val="28"/>
          <w:szCs w:val="28"/>
          <w:highlight w:val="none"/>
          <w:shd w:val="clear" w:color="auto" w:fill="FFFFFF"/>
          <w:lang w:eastAsia="zh-CN"/>
        </w:rPr>
        <w:t>）</w:t>
      </w:r>
      <w:r>
        <w:rPr>
          <w:rFonts w:hint="eastAsia" w:ascii="仿宋_GB2312" w:hAnsi="仿宋_GB2312" w:eastAsia="仿宋_GB2312" w:cs="仿宋_GB2312"/>
          <w:i w:val="0"/>
          <w:caps w:val="0"/>
          <w:color w:val="auto"/>
          <w:spacing w:val="0"/>
          <w:sz w:val="28"/>
          <w:szCs w:val="28"/>
          <w:highlight w:val="none"/>
          <w:shd w:val="clear" w:color="auto" w:fill="FFFFFF"/>
        </w:rPr>
        <w:t>发包人有权委托我国相关具有检验资质的部门、单位、机构针对维修后设备的精度、性能进行检验。其检验结果将作为验收标准的组成部分之一。</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20" w:lineRule="exact"/>
        <w:ind w:left="0" w:right="0" w:firstLine="560" w:firstLineChars="200"/>
        <w:jc w:val="left"/>
        <w:rPr>
          <w:rFonts w:hint="eastAsia" w:ascii="仿宋_GB2312" w:hAnsi="仿宋_GB2312" w:eastAsia="仿宋_GB2312" w:cs="仿宋_GB2312"/>
          <w:i w:val="0"/>
          <w:caps w:val="0"/>
          <w:color w:val="auto"/>
          <w:spacing w:val="0"/>
          <w:sz w:val="21"/>
          <w:szCs w:val="21"/>
          <w:highlight w:val="none"/>
        </w:rPr>
      </w:pPr>
      <w:r>
        <w:rPr>
          <w:rFonts w:hint="eastAsia" w:ascii="仿宋_GB2312" w:hAnsi="仿宋_GB2312" w:eastAsia="仿宋_GB2312" w:cs="仿宋_GB2312"/>
          <w:i w:val="0"/>
          <w:caps w:val="0"/>
          <w:color w:val="auto"/>
          <w:spacing w:val="0"/>
          <w:sz w:val="28"/>
          <w:szCs w:val="28"/>
          <w:highlight w:val="none"/>
          <w:shd w:val="clear" w:color="auto" w:fill="FFFFFF"/>
          <w:lang w:eastAsia="zh-CN"/>
        </w:rPr>
        <w:t>（</w:t>
      </w:r>
      <w:r>
        <w:rPr>
          <w:rFonts w:hint="eastAsia" w:ascii="仿宋_GB2312" w:hAnsi="仿宋_GB2312" w:eastAsia="仿宋_GB2312" w:cs="仿宋_GB2312"/>
          <w:i w:val="0"/>
          <w:caps w:val="0"/>
          <w:color w:val="auto"/>
          <w:spacing w:val="0"/>
          <w:sz w:val="28"/>
          <w:szCs w:val="28"/>
          <w:highlight w:val="none"/>
          <w:shd w:val="clear" w:color="auto" w:fill="FFFFFF"/>
          <w:lang w:val="en-US" w:eastAsia="zh-CN"/>
        </w:rPr>
        <w:t>4</w:t>
      </w:r>
      <w:r>
        <w:rPr>
          <w:rFonts w:hint="eastAsia" w:ascii="仿宋_GB2312" w:hAnsi="仿宋_GB2312" w:eastAsia="仿宋_GB2312" w:cs="仿宋_GB2312"/>
          <w:i w:val="0"/>
          <w:caps w:val="0"/>
          <w:color w:val="auto"/>
          <w:spacing w:val="0"/>
          <w:sz w:val="28"/>
          <w:szCs w:val="28"/>
          <w:highlight w:val="none"/>
          <w:shd w:val="clear" w:color="auto" w:fill="FFFFFF"/>
          <w:lang w:eastAsia="zh-CN"/>
        </w:rPr>
        <w:t>）</w:t>
      </w:r>
      <w:r>
        <w:rPr>
          <w:rFonts w:hint="eastAsia" w:ascii="仿宋_GB2312" w:hAnsi="仿宋_GB2312" w:eastAsia="仿宋_GB2312" w:cs="仿宋_GB2312"/>
          <w:i w:val="0"/>
          <w:caps w:val="0"/>
          <w:color w:val="auto"/>
          <w:spacing w:val="0"/>
          <w:sz w:val="28"/>
          <w:szCs w:val="28"/>
          <w:highlight w:val="none"/>
          <w:shd w:val="clear" w:color="auto" w:fill="FFFFFF"/>
        </w:rPr>
        <w:t>验收时承包单位必须派代表参加。</w:t>
      </w:r>
    </w:p>
    <w:p>
      <w:pPr>
        <w:pStyle w:val="7"/>
        <w:spacing w:line="520" w:lineRule="exact"/>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i w:val="0"/>
          <w:caps w:val="0"/>
          <w:color w:val="auto"/>
          <w:spacing w:val="0"/>
          <w:sz w:val="28"/>
          <w:szCs w:val="28"/>
          <w:highlight w:val="none"/>
          <w:shd w:val="clear" w:color="auto" w:fill="FFFFFF"/>
          <w:lang w:eastAsia="zh-CN"/>
        </w:rPr>
        <w:t>（</w:t>
      </w:r>
      <w:r>
        <w:rPr>
          <w:rFonts w:hint="eastAsia" w:ascii="仿宋_GB2312" w:hAnsi="仿宋_GB2312" w:eastAsia="仿宋_GB2312" w:cs="仿宋_GB2312"/>
          <w:i w:val="0"/>
          <w:caps w:val="0"/>
          <w:color w:val="auto"/>
          <w:spacing w:val="0"/>
          <w:sz w:val="28"/>
          <w:szCs w:val="28"/>
          <w:highlight w:val="none"/>
          <w:shd w:val="clear" w:color="auto" w:fill="FFFFFF"/>
          <w:lang w:val="en-US" w:eastAsia="zh-CN"/>
        </w:rPr>
        <w:t>5</w:t>
      </w:r>
      <w:r>
        <w:rPr>
          <w:rFonts w:hint="eastAsia" w:ascii="仿宋_GB2312" w:hAnsi="仿宋_GB2312" w:eastAsia="仿宋_GB2312" w:cs="仿宋_GB2312"/>
          <w:i w:val="0"/>
          <w:caps w:val="0"/>
          <w:color w:val="auto"/>
          <w:spacing w:val="0"/>
          <w:sz w:val="28"/>
          <w:szCs w:val="28"/>
          <w:highlight w:val="none"/>
          <w:shd w:val="clear" w:color="auto" w:fill="FFFFFF"/>
          <w:lang w:eastAsia="zh-CN"/>
        </w:rPr>
        <w:t>）</w:t>
      </w:r>
      <w:r>
        <w:rPr>
          <w:rFonts w:hint="eastAsia" w:ascii="仿宋_GB2312" w:hAnsi="仿宋_GB2312" w:eastAsia="仿宋_GB2312" w:cs="仿宋_GB2312"/>
          <w:i w:val="0"/>
          <w:caps w:val="0"/>
          <w:color w:val="auto"/>
          <w:spacing w:val="0"/>
          <w:sz w:val="28"/>
          <w:szCs w:val="28"/>
          <w:highlight w:val="none"/>
          <w:shd w:val="clear" w:color="auto" w:fill="FFFFFF"/>
        </w:rPr>
        <w:t>验收过程所发生的一切费用由承包单位承担。</w:t>
      </w:r>
    </w:p>
    <w:p>
      <w:pPr>
        <w:pStyle w:val="2"/>
        <w:rPr>
          <w:rFonts w:ascii="仿宋_GB2312" w:eastAsia="仿宋_GB2312"/>
          <w:color w:val="auto"/>
          <w:sz w:val="28"/>
          <w:szCs w:val="28"/>
          <w:highlight w:val="none"/>
        </w:rPr>
      </w:pPr>
    </w:p>
    <w:p>
      <w:pPr>
        <w:pStyle w:val="2"/>
        <w:rPr>
          <w:rFonts w:hint="default"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项目三：</w:t>
      </w:r>
      <w:r>
        <w:rPr>
          <w:rFonts w:hint="eastAsia" w:ascii="仿宋_GB2312" w:eastAsia="仿宋_GB2312"/>
          <w:b/>
          <w:bCs/>
          <w:color w:val="auto"/>
          <w:sz w:val="28"/>
          <w:szCs w:val="28"/>
          <w:highlight w:val="none"/>
          <w:u w:val="single"/>
        </w:rPr>
        <w:t>江高分公司2022年生产区域自来水中水改造项目</w:t>
      </w:r>
    </w:p>
    <w:p>
      <w:pPr>
        <w:bidi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该项目是对江高分公司生产区域（负一、负二层）自来水管、中水管、排水管进行改造，计划增加自来水接口（加水龙头）15个，中水管1处，排水设施约21处。其中，所有管线均需加装在墙壁上，以镀锌角钢支架承载。内容如下：</w:t>
      </w:r>
    </w:p>
    <w:p>
      <w:pPr>
        <w:bidi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根据改造方案，计划加装自来水接口15个，预计需要自来水管(DN20，PVC)约500米，对应尺寸水龙头约15个，直角弯头约30个，三通约30个，直通约105个以及管码卡扣若干。在各点位就近给水管出进行加装改管（见下表）。</w:t>
      </w:r>
    </w:p>
    <w:p>
      <w:pPr>
        <w:bidi w:val="0"/>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2、根据改造方案，计划加装中水接口1个，预计需要中水管（DN65,铸铁）约40米，对应尺寸取水阀1个，三通约1个，直角弯头约10个以及管码卡扣若干。在预处理细格栅中水主管（DN300）出进行引管改造（见下表）。</w:t>
      </w:r>
    </w:p>
    <w:p>
      <w:pPr>
        <w:keepNext w:val="0"/>
        <w:keepLines w:val="0"/>
        <w:pageBreakBefore w:val="0"/>
        <w:kinsoku/>
        <w:wordWrap/>
        <w:overflowPunct/>
        <w:topLinePunct w:val="0"/>
        <w:autoSpaceDE/>
        <w:autoSpaceDN/>
        <w:bidi w:val="0"/>
        <w:spacing w:line="240" w:lineRule="auto"/>
        <w:ind w:firstLine="560" w:firstLineChars="200"/>
        <w:jc w:val="left"/>
        <w:textAlignment w:val="auto"/>
        <w:rPr>
          <w:rFonts w:hint="eastAsia" w:ascii="仿宋" w:hAnsi="仿宋" w:eastAsia="仿宋" w:cs="仿宋_GB2312"/>
          <w:color w:val="auto"/>
          <w:kern w:val="0"/>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3、根据改造方案，计划加装排水管6处、排水地漏约21处，预计需要排水管（DN200，PVC）约100米，对应尺寸直角弯头约20个，直通约20个，管码卡扣若干</w:t>
      </w:r>
      <w:r>
        <w:rPr>
          <w:rFonts w:hint="eastAsia" w:ascii="仿宋" w:hAnsi="仿宋" w:eastAsia="仿宋" w:cs="仿宋_GB2312"/>
          <w:color w:val="auto"/>
          <w:kern w:val="0"/>
          <w:sz w:val="28"/>
          <w:szCs w:val="28"/>
          <w:highlight w:val="none"/>
          <w:lang w:val="en-US" w:eastAsia="zh-CN" w:bidi="ar-SA"/>
        </w:rPr>
        <w:t>。</w:t>
      </w:r>
    </w:p>
    <w:p>
      <w:pPr>
        <w:keepNext w:val="0"/>
        <w:keepLines w:val="0"/>
        <w:pageBreakBefore w:val="0"/>
        <w:kinsoku/>
        <w:wordWrap/>
        <w:overflowPunct/>
        <w:topLinePunct w:val="0"/>
        <w:autoSpaceDE/>
        <w:autoSpaceDN/>
        <w:bidi w:val="0"/>
        <w:spacing w:line="240" w:lineRule="auto"/>
        <w:ind w:firstLine="560" w:firstLineChars="200"/>
        <w:jc w:val="left"/>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kinsoku/>
        <w:wordWrap/>
        <w:overflowPunct/>
        <w:topLinePunct w:val="0"/>
        <w:autoSpaceDE/>
        <w:autoSpaceDN/>
        <w:bidi w:val="0"/>
        <w:spacing w:line="240" w:lineRule="auto"/>
        <w:ind w:firstLine="560" w:firstLineChars="200"/>
        <w:jc w:val="left"/>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kinsoku/>
        <w:wordWrap/>
        <w:overflowPunct/>
        <w:topLinePunct w:val="0"/>
        <w:autoSpaceDE/>
        <w:autoSpaceDN/>
        <w:bidi w:val="0"/>
        <w:spacing w:line="240" w:lineRule="auto"/>
        <w:ind w:firstLine="560" w:firstLineChars="200"/>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负一层自来水、中水改造明细表：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4242"/>
        <w:gridCol w:w="765"/>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类型</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位置</w:t>
            </w:r>
          </w:p>
        </w:tc>
        <w:tc>
          <w:tcPr>
            <w:tcW w:w="422"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管径</w:t>
            </w:r>
          </w:p>
        </w:tc>
        <w:tc>
          <w:tcPr>
            <w:tcW w:w="1217"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中水管(铸铁）</w:t>
            </w:r>
          </w:p>
        </w:tc>
        <w:tc>
          <w:tcPr>
            <w:tcW w:w="2341"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预处理区提升泵房靠近2号梯旁</w:t>
            </w:r>
          </w:p>
        </w:tc>
        <w:tc>
          <w:tcPr>
            <w:tcW w:w="422"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DN65</w:t>
            </w:r>
          </w:p>
        </w:tc>
        <w:tc>
          <w:tcPr>
            <w:tcW w:w="1217"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排至提升泵房池体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预处理膜格栅反洗泵旁</w:t>
            </w:r>
          </w:p>
        </w:tc>
        <w:tc>
          <w:tcPr>
            <w:tcW w:w="422"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污泥干化区域调质池楼梯旁</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污泥浓缩池区域</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2#生化池缺氧1区靠近车道位置</w:t>
            </w:r>
          </w:p>
        </w:tc>
        <w:tc>
          <w:tcPr>
            <w:tcW w:w="422"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2#生化池缺氧1区靠近1#生化池位置</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2#生化池好氧区靠近车道位置</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2#生化池缺氧2区靠近MBR膜池位置</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1#生化池好氧区靠近西边通道位置</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1#生化池缺氧2区靠近MBR膜池位置</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01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34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鼓风机房14号梯消防电梯间电缆井旁</w:t>
            </w:r>
          </w:p>
        </w:tc>
        <w:tc>
          <w:tcPr>
            <w:tcW w:w="422"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DN20</w:t>
            </w:r>
          </w:p>
        </w:tc>
        <w:tc>
          <w:tcPr>
            <w:tcW w:w="1217" w:type="pct"/>
            <w:vAlign w:val="top"/>
          </w:tcPr>
          <w:p>
            <w:pPr>
              <w:pStyle w:val="7"/>
              <w:numPr>
                <w:ilvl w:val="0"/>
                <w:numId w:val="0"/>
              </w:numPr>
              <w:ind w:left="0" w:leftChars="0" w:firstLine="0" w:firstLineChars="0"/>
              <w:jc w:val="center"/>
              <w:rPr>
                <w:rFonts w:hint="eastAsia" w:ascii="仿宋_GB2312" w:hAnsi="仿宋_GB2312" w:eastAsia="仿宋_GB2312" w:cs="仿宋_GB2312"/>
                <w:color w:val="auto"/>
                <w:kern w:val="0"/>
                <w:sz w:val="21"/>
                <w:szCs w:val="21"/>
                <w:highlight w:val="none"/>
                <w:vertAlign w:val="baseline"/>
                <w:lang w:val="en-US" w:eastAsia="zh-CN" w:bidi="ar-SA"/>
              </w:rPr>
            </w:pPr>
            <w:r>
              <w:rPr>
                <w:rFonts w:hint="eastAsia" w:ascii="仿宋_GB2312" w:hAnsi="仿宋_GB2312" w:eastAsia="仿宋_GB2312" w:cs="仿宋_GB2312"/>
                <w:color w:val="auto"/>
                <w:sz w:val="21"/>
                <w:szCs w:val="21"/>
                <w:highlight w:val="none"/>
                <w:vertAlign w:val="baseline"/>
                <w:lang w:val="en-US" w:eastAsia="zh-CN"/>
              </w:rPr>
              <w:t>地漏、至负二层</w:t>
            </w:r>
          </w:p>
        </w:tc>
      </w:tr>
    </w:tbl>
    <w:p>
      <w:pPr>
        <w:pStyle w:val="7"/>
        <w:rPr>
          <w:rFonts w:hint="eastAsia"/>
          <w:color w:val="auto"/>
          <w:highlight w:val="none"/>
          <w:lang w:val="en-US" w:eastAsia="zh-CN"/>
        </w:rPr>
      </w:pPr>
    </w:p>
    <w:p>
      <w:pPr>
        <w:pStyle w:val="13"/>
        <w:widowControl/>
        <w:adjustRightInd w:val="0"/>
        <w:snapToGrid w:val="0"/>
        <w:spacing w:line="300" w:lineRule="auto"/>
        <w:jc w:val="center"/>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负二层自来水、排水改造明细表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4024"/>
        <w:gridCol w:w="1011"/>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类型</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位置</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管径</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细格栅无人区</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 xml:space="preserve">排水接至排水沟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污泥干化区域6号梯旁</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排水接至集水坑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排水管</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污泥干化药剂投加泵</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DN200</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地漏排水管接至排水沟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排水管</w:t>
            </w:r>
          </w:p>
        </w:tc>
        <w:tc>
          <w:tcPr>
            <w:tcW w:w="2221"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污泥干化机房干燥机区域靠近浓缩池位置</w:t>
            </w:r>
          </w:p>
        </w:tc>
        <w:tc>
          <w:tcPr>
            <w:tcW w:w="558"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DN200</w:t>
            </w:r>
          </w:p>
        </w:tc>
        <w:tc>
          <w:tcPr>
            <w:tcW w:w="1528" w:type="pct"/>
            <w:vAlign w:val="center"/>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地漏排水管接至排水沟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污泥干化区域外车道</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排水接至排水沟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膜池设备间入口处</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排水接至排水沟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自来水管</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膜池设备间靠近14号梯处</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排水接至排水沟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排水管</w:t>
            </w:r>
          </w:p>
        </w:tc>
        <w:tc>
          <w:tcPr>
            <w:tcW w:w="2221"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膜池设备间（远期）</w:t>
            </w:r>
          </w:p>
        </w:tc>
        <w:tc>
          <w:tcPr>
            <w:tcW w:w="55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DN200</w:t>
            </w:r>
          </w:p>
        </w:tc>
        <w:tc>
          <w:tcPr>
            <w:tcW w:w="1528" w:type="pct"/>
          </w:tcPr>
          <w:p>
            <w:pPr>
              <w:pStyle w:val="7"/>
              <w:numPr>
                <w:ilvl w:val="0"/>
                <w:numId w:val="0"/>
              </w:numPr>
              <w:jc w:val="center"/>
              <w:rPr>
                <w:rFonts w:hint="eastAsia" w:ascii="仿宋_GB2312" w:hAnsi="仿宋_GB2312" w:eastAsia="仿宋_GB2312" w:cs="仿宋_GB2312"/>
                <w:color w:val="auto"/>
                <w:sz w:val="21"/>
                <w:szCs w:val="21"/>
                <w:highlight w:val="none"/>
                <w:vertAlign w:val="baseline"/>
                <w:lang w:val="en-US" w:eastAsia="zh-CN"/>
              </w:rPr>
            </w:pPr>
            <w:r>
              <w:rPr>
                <w:rFonts w:hint="eastAsia" w:ascii="仿宋_GB2312" w:hAnsi="仿宋_GB2312" w:eastAsia="仿宋_GB2312" w:cs="仿宋_GB2312"/>
                <w:color w:val="auto"/>
                <w:sz w:val="21"/>
                <w:szCs w:val="21"/>
                <w:highlight w:val="none"/>
                <w:vertAlign w:val="baseline"/>
                <w:lang w:val="en-US" w:eastAsia="zh-CN"/>
              </w:rPr>
              <w:t>排水接至排水沟</w:t>
            </w:r>
          </w:p>
        </w:tc>
      </w:tr>
    </w:tbl>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p>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验收要求：自来水、中水水管安装后试压达标，不出现渗漏情况，符合业主要求，现场环境收拾干净，不留垃圾</w:t>
      </w:r>
      <w:r>
        <w:rPr>
          <w:rFonts w:hint="eastAsia" w:ascii="仿宋" w:hAnsi="仿宋" w:eastAsia="仿宋" w:cs="仿宋_GB2312"/>
          <w:color w:val="auto"/>
          <w:kern w:val="0"/>
          <w:sz w:val="28"/>
          <w:szCs w:val="28"/>
          <w:highlight w:val="none"/>
        </w:rPr>
        <w:t>。</w:t>
      </w:r>
    </w:p>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w:t>
      </w:r>
      <w:r>
        <w:rPr>
          <w:rFonts w:hint="eastAsia" w:ascii="仿宋_GB2312" w:hAnsi="仿宋_GB2312" w:eastAsia="仿宋_GB2312" w:cs="仿宋_GB2312"/>
          <w:color w:val="auto"/>
          <w:kern w:val="2"/>
          <w:sz w:val="28"/>
          <w:szCs w:val="28"/>
          <w:highlight w:val="none"/>
          <w:lang w:val="zh-CN" w:eastAsia="zh-CN" w:bidi="ar-SA"/>
        </w:rPr>
        <w:t>项目技术要求</w:t>
      </w:r>
    </w:p>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（1）施工人员进入厂区需进行在净水公司公众号进行来访预约，且满足我公司的防疫要求，施工期间穿反光衣，佩戴黄色安全帽，施工前必须进行安全教育和技术交底。</w:t>
      </w:r>
    </w:p>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（2）施工后，清理现场垃圾，施工垃圾外运，冲洗施工区域，保护现场环境。</w:t>
      </w:r>
    </w:p>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（3）本项目项目负责人和专职安全员必须常驻施工现场，能随时与业主共同处理施工现场事宜。</w:t>
      </w:r>
    </w:p>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（4）本工作范围应包括提供所有需要的材料、机械、劳力、以及其他设施、完成规定的工作和服务，并达到预期的目标。报价人按照约定进行施工、竣工并在质量保修期内承担工程质量保修责任.</w:t>
      </w:r>
    </w:p>
    <w:p>
      <w:pPr>
        <w:pStyle w:val="10"/>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（5）本项目的主材、施工期间所使用的工器具必须有合格证明或出厂证明的相关资料，特种作业人员应具备响应的特种作业资质证明。本项目必须满足相关的安全施工要求。</w:t>
      </w:r>
    </w:p>
    <w:p>
      <w:pPr>
        <w:pStyle w:val="13"/>
        <w:adjustRightInd w:val="0"/>
        <w:snapToGrid w:val="0"/>
        <w:spacing w:line="520" w:lineRule="exact"/>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color w:val="auto"/>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60天</w:t>
      </w:r>
      <w:r>
        <w:rPr>
          <w:rFonts w:hint="eastAsia" w:ascii="仿宋_GB2312" w:hAnsi="仿宋_GB2312" w:eastAsia="仿宋_GB2312" w:cs="仿宋_GB2312"/>
          <w:color w:val="auto"/>
          <w:sz w:val="28"/>
          <w:szCs w:val="28"/>
          <w:highlight w:val="none"/>
        </w:rPr>
        <w:t>。具体施工日期及工期调整根据实际计划时间而定。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7"/>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hint="eastAsia"/>
          <w:color w:val="auto"/>
          <w:szCs w:val="44"/>
          <w:highlight w:val="none"/>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2"/>
        <w:rPr>
          <w:color w:val="auto"/>
          <w:highlight w:val="none"/>
        </w:rPr>
      </w:pPr>
    </w:p>
    <w:p>
      <w:pPr>
        <w:spacing w:line="520" w:lineRule="exact"/>
        <w:ind w:firstLine="562" w:firstLineChars="200"/>
        <w:rPr>
          <w:rFonts w:hint="eastAsia" w:ascii="仿宋_GB2312" w:eastAsia="仿宋_GB2312"/>
          <w:b/>
          <w:bCs/>
          <w:color w:val="auto"/>
          <w:sz w:val="28"/>
          <w:szCs w:val="28"/>
          <w:highlight w:val="none"/>
          <w:u w:val="single"/>
          <w:lang w:val="en-US" w:eastAsia="zh-CN"/>
        </w:rPr>
      </w:pPr>
      <w:r>
        <w:rPr>
          <w:rFonts w:hint="eastAsia" w:ascii="仿宋_GB2312" w:hAnsi="仿宋_GB2312" w:eastAsia="仿宋_GB2312" w:cs="仿宋_GB2312"/>
          <w:b/>
          <w:bCs/>
          <w:color w:val="auto"/>
          <w:sz w:val="28"/>
          <w:szCs w:val="28"/>
          <w:highlight w:val="none"/>
          <w:lang w:val="en-US" w:eastAsia="zh-CN"/>
        </w:rPr>
        <w:t>项目四：</w:t>
      </w:r>
      <w:r>
        <w:rPr>
          <w:rFonts w:hint="eastAsia" w:ascii="仿宋_GB2312" w:eastAsia="仿宋_GB2312"/>
          <w:b/>
          <w:bCs/>
          <w:color w:val="auto"/>
          <w:sz w:val="28"/>
          <w:szCs w:val="28"/>
          <w:highlight w:val="none"/>
          <w:u w:val="single"/>
          <w:lang w:val="en-US" w:eastAsia="zh-CN"/>
        </w:rPr>
        <w:t>江高分公司2022年一期机修车间改造项目</w:t>
      </w:r>
    </w:p>
    <w:p>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江高分公司现时机修间因为没有动力电源及维修电源，不能安装使用维修用的钻床，车床，砂轮机等常用设备；现时机修间没有砂轮机专用间隔用房，未能达到安全使用规范；现时没有维修电源，电器类设备及自控类设备无专业维修条件。</w:t>
      </w:r>
    </w:p>
    <w:p>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为满足维修班组机修间的正常使用需求：</w:t>
      </w:r>
    </w:p>
    <w:p>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1.采购安装机修间总电源柜1个，负责机修间车床，铣床、砂轮机维修电源等主要设备供电。</w:t>
      </w:r>
    </w:p>
    <w:p>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2.采购并铺设一组4*70+1*35预处理低压电房到机修间电源电缆。</w:t>
      </w:r>
    </w:p>
    <w:p>
      <w:pPr>
        <w:spacing w:line="520" w:lineRule="exact"/>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3.采购并间隔高度3米带装修混合结构硬顶砂轮机房、维修工作室、储物室厕所、更衣室、浴室等功能区共占地面积56.25平方带装修铝天花吊顶结构。</w:t>
      </w:r>
    </w:p>
    <w:p>
      <w:pPr>
        <w:spacing w:line="520" w:lineRule="exact"/>
        <w:ind w:firstLine="560" w:firstLineChars="200"/>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val="en-US" w:eastAsia="zh-CN"/>
        </w:rPr>
        <w:t>图示为维修车间需要采购铺设主动力电缆示意图</w:t>
      </w:r>
    </w:p>
    <w:p>
      <w:pPr>
        <w:tabs>
          <w:tab w:val="left" w:pos="315"/>
          <w:tab w:val="left" w:pos="360"/>
        </w:tabs>
        <w:ind w:right="-145" w:rightChars="-69" w:firstLine="0" w:firstLineChars="0"/>
        <w:jc w:val="both"/>
        <w:rPr>
          <w:rFonts w:hint="default"/>
          <w:color w:val="auto"/>
          <w:highlight w:val="none"/>
          <w:lang w:val="en-US" w:eastAsia="zh-CN"/>
        </w:rPr>
      </w:pPr>
      <w:r>
        <w:rPr>
          <w:rFonts w:hint="eastAsia" w:eastAsia="等线"/>
          <w:color w:val="auto"/>
          <w:highlight w:val="none"/>
          <w:lang w:eastAsia="zh-CN"/>
        </w:rPr>
        <w:drawing>
          <wp:inline distT="0" distB="0" distL="114300" distR="114300">
            <wp:extent cx="5568315" cy="7536180"/>
            <wp:effectExtent l="0" t="0" r="13335" b="762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23"/>
                    <a:stretch>
                      <a:fillRect/>
                    </a:stretch>
                  </pic:blipFill>
                  <pic:spPr>
                    <a:xfrm>
                      <a:off x="0" y="0"/>
                      <a:ext cx="5568315" cy="7536180"/>
                    </a:xfrm>
                    <a:prstGeom prst="rect">
                      <a:avLst/>
                    </a:prstGeom>
                  </pic:spPr>
                </pic:pic>
              </a:graphicData>
            </a:graphic>
          </wp:inline>
        </w:drawing>
      </w:r>
      <w:r>
        <w:rPr>
          <w:rFonts w:hint="eastAsia" w:eastAsia="等线"/>
          <w:color w:val="auto"/>
          <w:highlight w:val="none"/>
          <w:lang w:val="en-US" w:eastAsia="zh-CN"/>
        </w:rPr>
        <w:t xml:space="preserve"> </w:t>
      </w:r>
    </w:p>
    <w:p>
      <w:pPr>
        <w:tabs>
          <w:tab w:val="left" w:pos="315"/>
          <w:tab w:val="left" w:pos="360"/>
        </w:tabs>
        <w:spacing w:line="360" w:lineRule="auto"/>
        <w:ind w:right="-145" w:rightChars="-69" w:firstLine="480" w:firstLineChars="200"/>
        <w:jc w:val="center"/>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机修间主要建筑安装示意图</w:t>
      </w:r>
    </w:p>
    <w:p>
      <w:pPr>
        <w:pStyle w:val="2"/>
        <w:ind w:firstLine="0"/>
        <w:rPr>
          <w:color w:val="auto"/>
          <w:highlight w:val="none"/>
        </w:rPr>
      </w:pPr>
      <w:r>
        <w:rPr>
          <w:color w:val="auto"/>
          <w:highlight w:val="none"/>
        </w:rPr>
        <w:drawing>
          <wp:inline distT="0" distB="0" distL="114300" distR="114300">
            <wp:extent cx="5608320" cy="7787005"/>
            <wp:effectExtent l="0" t="0" r="11430" b="4445"/>
            <wp:docPr id="23" name="图片 23" descr="江高分公司2022年一期机修车间改造项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江高分公司2022年一期机修车间改造项目示意图"/>
                    <pic:cNvPicPr>
                      <a:picLocks noChangeAspect="1"/>
                    </pic:cNvPicPr>
                  </pic:nvPicPr>
                  <pic:blipFill>
                    <a:blip r:embed="rId24"/>
                    <a:stretch>
                      <a:fillRect/>
                    </a:stretch>
                  </pic:blipFill>
                  <pic:spPr>
                    <a:xfrm>
                      <a:off x="0" y="0"/>
                      <a:ext cx="5608320" cy="7787005"/>
                    </a:xfrm>
                    <a:prstGeom prst="rect">
                      <a:avLst/>
                    </a:prstGeom>
                  </pic:spPr>
                </pic:pic>
              </a:graphicData>
            </a:graphic>
          </wp:inline>
        </w:drawing>
      </w:r>
    </w:p>
    <w:p>
      <w:pPr>
        <w:tabs>
          <w:tab w:val="left" w:pos="315"/>
          <w:tab w:val="left" w:pos="360"/>
        </w:tabs>
        <w:ind w:right="-145" w:rightChars="-69" w:firstLine="480" w:firstLineChars="200"/>
        <w:jc w:val="center"/>
        <w:rPr>
          <w:color w:val="auto"/>
          <w:highlight w:val="none"/>
        </w:rPr>
      </w:pPr>
      <w:r>
        <w:rPr>
          <w:rFonts w:hint="eastAsia" w:ascii="宋体" w:hAnsi="宋体" w:cs="宋体"/>
          <w:bCs/>
          <w:color w:val="auto"/>
          <w:sz w:val="24"/>
          <w:szCs w:val="24"/>
          <w:highlight w:val="none"/>
          <w:lang w:val="en-US" w:eastAsia="zh-CN"/>
        </w:rPr>
        <w:t>维修电箱</w:t>
      </w:r>
      <w:r>
        <w:rPr>
          <w:rFonts w:hint="default" w:eastAsia="等线"/>
          <w:color w:val="auto"/>
          <w:highlight w:val="none"/>
          <w:lang w:val="en-US" w:eastAsia="zh-CN"/>
        </w:rPr>
        <w:drawing>
          <wp:anchor distT="0" distB="0" distL="114300" distR="114300" simplePos="0" relativeHeight="251675648" behindDoc="0" locked="0" layoutInCell="1" allowOverlap="1">
            <wp:simplePos x="0" y="0"/>
            <wp:positionH relativeFrom="column">
              <wp:posOffset>31750</wp:posOffset>
            </wp:positionH>
            <wp:positionV relativeFrom="paragraph">
              <wp:posOffset>581660</wp:posOffset>
            </wp:positionV>
            <wp:extent cx="5594350" cy="3459480"/>
            <wp:effectExtent l="0" t="0" r="6350" b="7620"/>
            <wp:wrapTopAndBottom/>
            <wp:docPr id="24" name="图片 24" descr="维修电源箱外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维修电源箱外观图"/>
                    <pic:cNvPicPr>
                      <a:picLocks noChangeAspect="1"/>
                    </pic:cNvPicPr>
                  </pic:nvPicPr>
                  <pic:blipFill>
                    <a:blip r:embed="rId25"/>
                    <a:stretch>
                      <a:fillRect/>
                    </a:stretch>
                  </pic:blipFill>
                  <pic:spPr>
                    <a:xfrm>
                      <a:off x="0" y="0"/>
                      <a:ext cx="5594350" cy="3459480"/>
                    </a:xfrm>
                    <a:prstGeom prst="rect">
                      <a:avLst/>
                    </a:prstGeom>
                  </pic:spPr>
                </pic:pic>
              </a:graphicData>
            </a:graphic>
          </wp:anchor>
        </w:drawing>
      </w:r>
      <w:r>
        <w:rPr>
          <w:rFonts w:hint="eastAsia" w:ascii="宋体" w:hAnsi="宋体" w:cs="宋体"/>
          <w:bCs/>
          <w:color w:val="auto"/>
          <w:sz w:val="24"/>
          <w:szCs w:val="24"/>
          <w:highlight w:val="none"/>
          <w:lang w:val="en-US" w:eastAsia="zh-CN"/>
        </w:rPr>
        <w:t>外观图</w:t>
      </w:r>
    </w:p>
    <w:p>
      <w:pPr>
        <w:pStyle w:val="2"/>
        <w:ind w:firstLine="0"/>
        <w:rPr>
          <w:color w:val="auto"/>
          <w:highlight w:val="none"/>
        </w:rPr>
      </w:pPr>
    </w:p>
    <w:p>
      <w:pPr>
        <w:tabs>
          <w:tab w:val="left" w:pos="315"/>
          <w:tab w:val="left" w:pos="360"/>
        </w:tabs>
        <w:ind w:right="-145" w:rightChars="-69" w:firstLine="480" w:firstLineChars="200"/>
        <w:jc w:val="center"/>
        <w:rPr>
          <w:rFonts w:hint="eastAsia" w:ascii="宋体" w:hAnsi="宋体" w:cs="宋体"/>
          <w:bCs/>
          <w:color w:val="auto"/>
          <w:sz w:val="24"/>
          <w:szCs w:val="24"/>
          <w:highlight w:val="none"/>
          <w:lang w:val="en-US" w:eastAsia="zh-CN"/>
        </w:rPr>
      </w:pPr>
    </w:p>
    <w:p>
      <w:pPr>
        <w:tabs>
          <w:tab w:val="left" w:pos="315"/>
          <w:tab w:val="left" w:pos="360"/>
        </w:tabs>
        <w:ind w:right="-145" w:rightChars="-69" w:firstLine="480" w:firstLineChars="200"/>
        <w:jc w:val="center"/>
        <w:rPr>
          <w:color w:val="auto"/>
          <w:highlight w:val="none"/>
        </w:rPr>
      </w:pPr>
      <w:r>
        <w:rPr>
          <w:rFonts w:hint="eastAsia" w:ascii="宋体" w:hAnsi="宋体" w:cs="宋体"/>
          <w:bCs/>
          <w:color w:val="auto"/>
          <w:sz w:val="24"/>
          <w:szCs w:val="24"/>
          <w:highlight w:val="none"/>
          <w:lang w:val="en-US" w:eastAsia="zh-CN"/>
        </w:rPr>
        <w:t>维修电箱内部结构图</w:t>
      </w:r>
    </w:p>
    <w:p>
      <w:pPr>
        <w:pStyle w:val="2"/>
        <w:ind w:firstLine="0"/>
        <w:rPr>
          <w:rFonts w:hint="eastAsia" w:eastAsia="等线"/>
          <w:color w:val="auto"/>
          <w:highlight w:val="none"/>
          <w:lang w:eastAsia="zh-CN"/>
        </w:rPr>
      </w:pPr>
      <w:r>
        <w:rPr>
          <w:rFonts w:hint="eastAsia" w:eastAsia="等线"/>
          <w:color w:val="auto"/>
          <w:highlight w:val="none"/>
          <w:lang w:eastAsia="zh-CN"/>
        </w:rPr>
        <w:drawing>
          <wp:inline distT="0" distB="0" distL="114300" distR="114300">
            <wp:extent cx="5594350" cy="3448685"/>
            <wp:effectExtent l="0" t="0" r="6350" b="18415"/>
            <wp:docPr id="25" name="图片 25" descr="维修电源箱内部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维修电源箱内部结构图"/>
                    <pic:cNvPicPr>
                      <a:picLocks noChangeAspect="1"/>
                    </pic:cNvPicPr>
                  </pic:nvPicPr>
                  <pic:blipFill>
                    <a:blip r:embed="rId26"/>
                    <a:stretch>
                      <a:fillRect/>
                    </a:stretch>
                  </pic:blipFill>
                  <pic:spPr>
                    <a:xfrm>
                      <a:off x="0" y="0"/>
                      <a:ext cx="5594350" cy="3448685"/>
                    </a:xfrm>
                    <a:prstGeom prst="rect">
                      <a:avLst/>
                    </a:prstGeom>
                  </pic:spPr>
                </pic:pic>
              </a:graphicData>
            </a:graphic>
          </wp:inline>
        </w:drawing>
      </w:r>
    </w:p>
    <w:p>
      <w:pPr>
        <w:pStyle w:val="2"/>
        <w:ind w:firstLine="0"/>
        <w:rPr>
          <w:rFonts w:hint="eastAsia" w:eastAsia="等线"/>
          <w:color w:val="auto"/>
          <w:highlight w:val="none"/>
          <w:lang w:eastAsia="zh-CN"/>
        </w:rPr>
      </w:pPr>
      <w:r>
        <w:rPr>
          <w:rFonts w:hint="eastAsia"/>
          <w:color w:val="auto"/>
          <w:highlight w:val="none"/>
          <w:lang w:val="en-US" w:eastAsia="zh-CN"/>
        </w:rPr>
        <w:t xml:space="preserve">                  机修间</w:t>
      </w:r>
      <w:r>
        <w:rPr>
          <w:rFonts w:hint="eastAsia" w:cs="宋体" w:eastAsiaTheme="minorEastAsia"/>
          <w:bCs/>
          <w:color w:val="auto"/>
          <w:kern w:val="2"/>
          <w:highlight w:val="none"/>
          <w:lang w:val="en-US" w:eastAsia="zh-CN"/>
        </w:rPr>
        <w:t>总电源柜外观示意图</w:t>
      </w:r>
    </w:p>
    <w:p>
      <w:pPr>
        <w:pStyle w:val="2"/>
        <w:ind w:firstLine="0"/>
        <w:rPr>
          <w:rFonts w:hint="eastAsia"/>
          <w:color w:val="auto"/>
          <w:highlight w:val="none"/>
          <w:lang w:val="en-US" w:eastAsia="zh-CN"/>
        </w:rPr>
      </w:pPr>
      <w:r>
        <w:rPr>
          <w:rFonts w:hint="eastAsia" w:eastAsia="等线"/>
          <w:color w:val="auto"/>
          <w:highlight w:val="none"/>
          <w:lang w:eastAsia="zh-CN"/>
        </w:rPr>
        <w:drawing>
          <wp:inline distT="0" distB="0" distL="114300" distR="114300">
            <wp:extent cx="5120005" cy="7717790"/>
            <wp:effectExtent l="0" t="0" r="4445" b="16510"/>
            <wp:docPr id="26" name="图片 26" descr="c3dc695d269d5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3dc695d269d5aa4"/>
                    <pic:cNvPicPr>
                      <a:picLocks noChangeAspect="1"/>
                    </pic:cNvPicPr>
                  </pic:nvPicPr>
                  <pic:blipFill>
                    <a:blip r:embed="rId27"/>
                    <a:stretch>
                      <a:fillRect/>
                    </a:stretch>
                  </pic:blipFill>
                  <pic:spPr>
                    <a:xfrm>
                      <a:off x="0" y="0"/>
                      <a:ext cx="5120005" cy="7717790"/>
                    </a:xfrm>
                    <a:prstGeom prst="rect">
                      <a:avLst/>
                    </a:prstGeom>
                  </pic:spPr>
                </pic:pic>
              </a:graphicData>
            </a:graphic>
          </wp:inline>
        </w:drawing>
      </w:r>
    </w:p>
    <w:p>
      <w:pPr>
        <w:pStyle w:val="2"/>
        <w:ind w:firstLine="0"/>
        <w:jc w:val="center"/>
        <w:rPr>
          <w:rFonts w:hint="default" w:cs="宋体" w:eastAsiaTheme="minorEastAsia"/>
          <w:bCs/>
          <w:color w:val="auto"/>
          <w:kern w:val="2"/>
          <w:highlight w:val="none"/>
          <w:lang w:val="en-US" w:eastAsia="zh-CN"/>
        </w:rPr>
      </w:pPr>
      <w:r>
        <w:rPr>
          <w:rFonts w:hint="eastAsia"/>
          <w:color w:val="auto"/>
          <w:highlight w:val="none"/>
          <w:lang w:val="en-US" w:eastAsia="zh-CN"/>
        </w:rPr>
        <w:t>机修间</w:t>
      </w:r>
      <w:r>
        <w:rPr>
          <w:rFonts w:hint="eastAsia" w:cs="宋体" w:eastAsiaTheme="minorEastAsia"/>
          <w:bCs/>
          <w:color w:val="auto"/>
          <w:kern w:val="2"/>
          <w:highlight w:val="none"/>
          <w:lang w:val="en-US" w:eastAsia="zh-CN"/>
        </w:rPr>
        <w:t>总源柜内部结构示意图</w:t>
      </w:r>
    </w:p>
    <w:p>
      <w:pPr>
        <w:pStyle w:val="2"/>
        <w:ind w:firstLine="0"/>
        <w:jc w:val="center"/>
        <w:rPr>
          <w:color w:val="auto"/>
          <w:highlight w:val="none"/>
        </w:rPr>
      </w:pPr>
      <w:r>
        <w:rPr>
          <w:rFonts w:hint="default" w:cs="宋体" w:eastAsiaTheme="minorEastAsia"/>
          <w:bCs/>
          <w:color w:val="auto"/>
          <w:kern w:val="2"/>
          <w:highlight w:val="none"/>
          <w:lang w:val="en-US" w:eastAsia="zh-CN"/>
        </w:rPr>
        <w:drawing>
          <wp:inline distT="0" distB="0" distL="114300" distR="114300">
            <wp:extent cx="5168265" cy="7439025"/>
            <wp:effectExtent l="0" t="0" r="13335" b="9525"/>
            <wp:docPr id="27" name="图片 27" descr="b626cefd52d2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626cefd52d25286"/>
                    <pic:cNvPicPr>
                      <a:picLocks noChangeAspect="1"/>
                    </pic:cNvPicPr>
                  </pic:nvPicPr>
                  <pic:blipFill>
                    <a:blip r:embed="rId28"/>
                    <a:stretch>
                      <a:fillRect/>
                    </a:stretch>
                  </pic:blipFill>
                  <pic:spPr>
                    <a:xfrm>
                      <a:off x="0" y="0"/>
                      <a:ext cx="5168265" cy="7439025"/>
                    </a:xfrm>
                    <a:prstGeom prst="rect">
                      <a:avLst/>
                    </a:prstGeom>
                  </pic:spPr>
                </pic:pic>
              </a:graphicData>
            </a:graphic>
          </wp:inline>
        </w:drawing>
      </w:r>
    </w:p>
    <w:p>
      <w:pPr>
        <w:tabs>
          <w:tab w:val="left" w:pos="315"/>
          <w:tab w:val="left" w:pos="360"/>
        </w:tabs>
        <w:spacing w:line="360" w:lineRule="auto"/>
        <w:ind w:right="-145" w:rightChars="-69" w:firstLine="480" w:firstLineChars="200"/>
        <w:jc w:val="center"/>
        <w:rPr>
          <w:rFonts w:hint="eastAsia" w:ascii="宋体" w:hAnsi="宋体" w:cs="宋体"/>
          <w:bCs/>
          <w:color w:val="auto"/>
          <w:sz w:val="24"/>
          <w:szCs w:val="24"/>
          <w:highlight w:val="none"/>
        </w:rPr>
      </w:pPr>
      <w:r>
        <w:rPr>
          <w:rFonts w:ascii="宋体" w:hAnsi="宋体" w:cs="宋体"/>
          <w:bCs/>
          <w:color w:val="auto"/>
          <w:sz w:val="24"/>
          <w:szCs w:val="24"/>
          <w:highlight w:val="none"/>
        </w:rPr>
        <w:t>主要工程量及供货清单</w:t>
      </w:r>
    </w:p>
    <w:tbl>
      <w:tblPr>
        <w:tblStyle w:val="2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60"/>
        <w:gridCol w:w="2501"/>
        <w:gridCol w:w="817"/>
        <w:gridCol w:w="826"/>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序号</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名称</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规格型号</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单位</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数量</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电源电缆</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4</w:t>
            </w:r>
            <w:r>
              <w:rPr>
                <w:rFonts w:ascii="宋体" w:hAnsi="宋体" w:cs="宋体"/>
                <w:bCs/>
                <w:color w:val="auto"/>
                <w:sz w:val="24"/>
                <w:szCs w:val="24"/>
                <w:highlight w:val="none"/>
              </w:rPr>
              <w:t>*70+1*35</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米</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120</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lang w:val="en-US" w:eastAsia="zh-CN"/>
              </w:rPr>
              <w:t>含安装所需线槽线码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2</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电源电缆</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4</w:t>
            </w:r>
            <w:r>
              <w:rPr>
                <w:rFonts w:ascii="宋体" w:hAnsi="宋体" w:cs="宋体"/>
                <w:bCs/>
                <w:color w:val="auto"/>
                <w:sz w:val="24"/>
                <w:szCs w:val="24"/>
                <w:highlight w:val="none"/>
              </w:rPr>
              <w:t>*16+1*6</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米</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80</w:t>
            </w:r>
          </w:p>
        </w:tc>
        <w:tc>
          <w:tcPr>
            <w:tcW w:w="1463" w:type="dxa"/>
          </w:tcPr>
          <w:p>
            <w:pPr>
              <w:tabs>
                <w:tab w:val="left" w:pos="315"/>
                <w:tab w:val="left" w:pos="360"/>
              </w:tabs>
              <w:spacing w:line="360" w:lineRule="auto"/>
              <w:ind w:right="-145" w:rightChars="-69"/>
              <w:jc w:val="center"/>
              <w:rPr>
                <w:rFonts w:hint="default" w:ascii="宋体" w:hAnsi="宋体" w:cs="宋体"/>
                <w:bCs/>
                <w:color w:val="auto"/>
                <w:sz w:val="24"/>
                <w:szCs w:val="24"/>
                <w:highlight w:val="none"/>
                <w:lang w:val="en-US"/>
              </w:rPr>
            </w:pPr>
            <w:r>
              <w:rPr>
                <w:rFonts w:hint="eastAsia" w:ascii="宋体" w:hAnsi="宋体" w:cs="宋体"/>
                <w:bCs/>
                <w:color w:val="auto"/>
                <w:sz w:val="24"/>
                <w:szCs w:val="24"/>
                <w:highlight w:val="none"/>
                <w:lang w:val="en-US" w:eastAsia="zh-CN"/>
              </w:rPr>
              <w:t>含安装所需线管线码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3</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机修电柜</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高1400*宽700*深400</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套</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1</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1进8出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4</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维修电箱</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高6</w:t>
            </w:r>
            <w:r>
              <w:rPr>
                <w:rFonts w:ascii="宋体" w:hAnsi="宋体" w:cs="宋体"/>
                <w:bCs/>
                <w:color w:val="auto"/>
                <w:sz w:val="24"/>
                <w:szCs w:val="24"/>
                <w:highlight w:val="none"/>
              </w:rPr>
              <w:t>00*宽500*深250</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套</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1</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1进</w:t>
            </w:r>
            <w:r>
              <w:rPr>
                <w:rFonts w:ascii="宋体" w:hAnsi="宋体" w:cs="宋体"/>
                <w:bCs/>
                <w:color w:val="auto"/>
                <w:sz w:val="24"/>
                <w:szCs w:val="24"/>
                <w:highlight w:val="none"/>
              </w:rPr>
              <w:t>6</w:t>
            </w:r>
            <w:r>
              <w:rPr>
                <w:rFonts w:hint="eastAsia" w:ascii="宋体" w:hAnsi="宋体" w:cs="宋体"/>
                <w:bCs/>
                <w:color w:val="auto"/>
                <w:sz w:val="24"/>
                <w:szCs w:val="24"/>
                <w:highlight w:val="none"/>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5</w:t>
            </w:r>
          </w:p>
        </w:tc>
        <w:tc>
          <w:tcPr>
            <w:tcW w:w="1560"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车床电源箱</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高6</w:t>
            </w:r>
            <w:r>
              <w:rPr>
                <w:rFonts w:ascii="宋体" w:hAnsi="宋体" w:cs="宋体"/>
                <w:bCs/>
                <w:color w:val="auto"/>
                <w:sz w:val="24"/>
                <w:szCs w:val="24"/>
                <w:highlight w:val="none"/>
              </w:rPr>
              <w:t>00*宽500*深250</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套</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2</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1进4出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6</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不锈钢工具柜</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高2</w:t>
            </w:r>
            <w:r>
              <w:rPr>
                <w:rFonts w:ascii="宋体" w:hAnsi="宋体" w:cs="宋体"/>
                <w:bCs/>
                <w:color w:val="auto"/>
                <w:sz w:val="24"/>
                <w:szCs w:val="24"/>
                <w:highlight w:val="none"/>
              </w:rPr>
              <w:t>000*宽</w:t>
            </w:r>
            <w:r>
              <w:rPr>
                <w:rFonts w:hint="eastAsia" w:ascii="宋体" w:hAnsi="宋体" w:cs="宋体"/>
                <w:bCs/>
                <w:color w:val="auto"/>
                <w:sz w:val="24"/>
                <w:szCs w:val="24"/>
                <w:highlight w:val="none"/>
              </w:rPr>
              <w:t>1</w:t>
            </w:r>
            <w:r>
              <w:rPr>
                <w:rFonts w:ascii="宋体" w:hAnsi="宋体" w:cs="宋体"/>
                <w:bCs/>
                <w:color w:val="auto"/>
                <w:sz w:val="24"/>
                <w:szCs w:val="24"/>
                <w:highlight w:val="none"/>
              </w:rPr>
              <w:t>000深</w:t>
            </w:r>
            <w:r>
              <w:rPr>
                <w:rFonts w:hint="eastAsia" w:ascii="宋体" w:hAnsi="宋体" w:cs="宋体"/>
                <w:bCs/>
                <w:color w:val="auto"/>
                <w:sz w:val="24"/>
                <w:szCs w:val="24"/>
                <w:highlight w:val="none"/>
              </w:rPr>
              <w:t>4</w:t>
            </w:r>
            <w:r>
              <w:rPr>
                <w:rFonts w:ascii="宋体" w:hAnsi="宋体" w:cs="宋体"/>
                <w:bCs/>
                <w:color w:val="auto"/>
                <w:sz w:val="24"/>
                <w:szCs w:val="24"/>
                <w:highlight w:val="none"/>
              </w:rPr>
              <w:t>00材质304厚1.2mm</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个</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7</w:t>
            </w:r>
          </w:p>
        </w:tc>
        <w:tc>
          <w:tcPr>
            <w:tcW w:w="1463"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内带抽屉不少</w:t>
            </w:r>
            <w:r>
              <w:rPr>
                <w:rFonts w:hint="eastAsia" w:ascii="宋体" w:hAnsi="宋体" w:cs="宋体"/>
                <w:bCs/>
                <w:color w:val="auto"/>
                <w:sz w:val="24"/>
                <w:szCs w:val="24"/>
                <w:highlight w:val="none"/>
              </w:rPr>
              <w:t xml:space="preserve"> </w:t>
            </w:r>
            <w:r>
              <w:rPr>
                <w:rFonts w:ascii="宋体" w:hAnsi="宋体" w:cs="宋体"/>
                <w:bCs/>
                <w:color w:val="auto"/>
                <w:sz w:val="24"/>
                <w:szCs w:val="24"/>
                <w:highlight w:val="none"/>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7</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间隔墙体</w:t>
            </w:r>
          </w:p>
        </w:tc>
        <w:tc>
          <w:tcPr>
            <w:tcW w:w="2501" w:type="dxa"/>
          </w:tcPr>
          <w:p>
            <w:pPr>
              <w:tabs>
                <w:tab w:val="left" w:pos="315"/>
                <w:tab w:val="left" w:pos="360"/>
              </w:tabs>
              <w:spacing w:line="360" w:lineRule="auto"/>
              <w:ind w:right="-145" w:rightChars="-69"/>
              <w:jc w:val="center"/>
              <w:rPr>
                <w:rFonts w:hint="default" w:ascii="宋体" w:hAnsi="宋体" w:cs="宋体" w:eastAsiaTheme="minorEastAsia"/>
                <w:bCs/>
                <w:color w:val="auto"/>
                <w:sz w:val="24"/>
                <w:szCs w:val="24"/>
                <w:highlight w:val="none"/>
                <w:lang w:val="en-US" w:eastAsia="zh-CN"/>
              </w:rPr>
            </w:pPr>
            <w:r>
              <w:rPr>
                <w:rFonts w:ascii="宋体" w:hAnsi="宋体" w:cs="宋体"/>
                <w:bCs/>
                <w:color w:val="auto"/>
                <w:sz w:val="24"/>
                <w:szCs w:val="24"/>
                <w:highlight w:val="none"/>
              </w:rPr>
              <w:t>高3000mm厚</w:t>
            </w:r>
            <w:r>
              <w:rPr>
                <w:rFonts w:hint="eastAsia" w:ascii="宋体" w:hAnsi="宋体" w:cs="宋体"/>
                <w:bCs/>
                <w:color w:val="auto"/>
                <w:sz w:val="24"/>
                <w:szCs w:val="24"/>
                <w:highlight w:val="none"/>
              </w:rPr>
              <w:t>1</w:t>
            </w:r>
            <w:r>
              <w:rPr>
                <w:rFonts w:ascii="宋体" w:hAnsi="宋体" w:cs="宋体"/>
                <w:bCs/>
                <w:color w:val="auto"/>
                <w:sz w:val="24"/>
                <w:szCs w:val="24"/>
                <w:highlight w:val="none"/>
              </w:rPr>
              <w:t>8mm带装修</w:t>
            </w:r>
            <w:r>
              <w:rPr>
                <w:rFonts w:hint="eastAsia" w:ascii="宋体" w:hAnsi="宋体" w:cs="宋体"/>
                <w:bCs/>
                <w:color w:val="auto"/>
                <w:sz w:val="24"/>
                <w:szCs w:val="24"/>
                <w:highlight w:val="none"/>
                <w:lang w:val="en-US" w:eastAsia="zh-CN"/>
              </w:rPr>
              <w:t>及硬顶</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平方</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20</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占地面积</w:t>
            </w:r>
            <w:r>
              <w:rPr>
                <w:rFonts w:hint="eastAsia" w:ascii="宋体" w:hAnsi="宋体" w:cs="宋体"/>
                <w:bCs/>
                <w:color w:val="auto"/>
                <w:sz w:val="24"/>
                <w:szCs w:val="24"/>
                <w:highlight w:val="none"/>
              </w:rPr>
              <w:t>5</w:t>
            </w:r>
            <w:r>
              <w:rPr>
                <w:rFonts w:ascii="宋体" w:hAnsi="宋体" w:cs="宋体"/>
                <w:bCs/>
                <w:color w:val="auto"/>
                <w:sz w:val="24"/>
                <w:szCs w:val="24"/>
                <w:highlight w:val="none"/>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8</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铝吊顶天花</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6</w:t>
            </w:r>
            <w:r>
              <w:rPr>
                <w:rFonts w:ascii="宋体" w:hAnsi="宋体" w:cs="宋体"/>
                <w:bCs/>
                <w:color w:val="auto"/>
                <w:sz w:val="24"/>
                <w:szCs w:val="24"/>
                <w:highlight w:val="none"/>
              </w:rPr>
              <w:t>00*600mm</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平方</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5</w:t>
            </w:r>
            <w:r>
              <w:rPr>
                <w:rFonts w:ascii="宋体" w:hAnsi="宋体" w:cs="宋体"/>
                <w:bCs/>
                <w:color w:val="auto"/>
                <w:sz w:val="24"/>
                <w:szCs w:val="24"/>
                <w:highlight w:val="none"/>
              </w:rPr>
              <w:t>6.25</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9</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卫浴间墙砖</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200*450mm</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平方</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4</w:t>
            </w:r>
            <w:r>
              <w:rPr>
                <w:rFonts w:ascii="宋体" w:hAnsi="宋体" w:cs="宋体"/>
                <w:bCs/>
                <w:color w:val="auto"/>
                <w:sz w:val="24"/>
                <w:szCs w:val="24"/>
                <w:highlight w:val="none"/>
              </w:rPr>
              <w:t>0</w:t>
            </w:r>
          </w:p>
        </w:tc>
        <w:tc>
          <w:tcPr>
            <w:tcW w:w="1463" w:type="dxa"/>
          </w:tcPr>
          <w:p>
            <w:pPr>
              <w:tabs>
                <w:tab w:val="left" w:pos="315"/>
                <w:tab w:val="left" w:pos="360"/>
              </w:tabs>
              <w:spacing w:line="360" w:lineRule="auto"/>
              <w:ind w:right="-145" w:rightChars="-69"/>
              <w:jc w:val="center"/>
              <w:rPr>
                <w:rFonts w:hint="eastAsia" w:ascii="宋体" w:hAnsi="宋体" w:cs="宋体" w:eastAsiaTheme="minorEastAsia"/>
                <w:bCs/>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0</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地砖</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8</w:t>
            </w:r>
            <w:r>
              <w:rPr>
                <w:rFonts w:ascii="宋体" w:hAnsi="宋体" w:cs="宋体"/>
                <w:bCs/>
                <w:color w:val="auto"/>
                <w:sz w:val="24"/>
                <w:szCs w:val="24"/>
                <w:highlight w:val="none"/>
              </w:rPr>
              <w:t>00*800</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平方</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5</w:t>
            </w:r>
            <w:r>
              <w:rPr>
                <w:rFonts w:ascii="宋体" w:hAnsi="宋体" w:cs="宋体"/>
                <w:bCs/>
                <w:color w:val="auto"/>
                <w:sz w:val="24"/>
                <w:szCs w:val="24"/>
                <w:highlight w:val="none"/>
              </w:rPr>
              <w:t>6.25</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1</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不锈钢门</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宽</w:t>
            </w:r>
            <w:r>
              <w:rPr>
                <w:rFonts w:hint="eastAsia" w:ascii="宋体" w:hAnsi="宋体" w:cs="宋体"/>
                <w:bCs/>
                <w:color w:val="auto"/>
                <w:sz w:val="24"/>
                <w:szCs w:val="24"/>
                <w:highlight w:val="none"/>
              </w:rPr>
              <w:t>1</w:t>
            </w:r>
            <w:r>
              <w:rPr>
                <w:rFonts w:ascii="宋体" w:hAnsi="宋体" w:cs="宋体"/>
                <w:bCs/>
                <w:color w:val="auto"/>
                <w:sz w:val="24"/>
                <w:szCs w:val="24"/>
                <w:highlight w:val="none"/>
              </w:rPr>
              <w:t>000高</w:t>
            </w:r>
            <w:r>
              <w:rPr>
                <w:rFonts w:hint="eastAsia" w:ascii="宋体" w:hAnsi="宋体" w:cs="宋体"/>
                <w:bCs/>
                <w:color w:val="auto"/>
                <w:sz w:val="24"/>
                <w:szCs w:val="24"/>
                <w:highlight w:val="none"/>
              </w:rPr>
              <w:t>2</w:t>
            </w:r>
            <w:r>
              <w:rPr>
                <w:rFonts w:ascii="宋体" w:hAnsi="宋体" w:cs="宋体"/>
                <w:bCs/>
                <w:color w:val="auto"/>
                <w:sz w:val="24"/>
                <w:szCs w:val="24"/>
                <w:highlight w:val="none"/>
              </w:rPr>
              <w:t>000mm</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栋</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3</w:t>
            </w:r>
          </w:p>
        </w:tc>
        <w:tc>
          <w:tcPr>
            <w:tcW w:w="1463" w:type="dxa"/>
          </w:tcPr>
          <w:p>
            <w:pPr>
              <w:tabs>
                <w:tab w:val="left" w:pos="315"/>
                <w:tab w:val="left" w:pos="360"/>
              </w:tabs>
              <w:spacing w:line="360" w:lineRule="auto"/>
              <w:ind w:right="-145" w:rightChars="-69"/>
              <w:jc w:val="center"/>
              <w:rPr>
                <w:rFonts w:hint="default" w:ascii="宋体" w:hAnsi="宋体" w:cs="宋体" w:eastAsiaTheme="minorEastAsia"/>
                <w:bCs/>
                <w:color w:val="auto"/>
                <w:sz w:val="24"/>
                <w:szCs w:val="24"/>
                <w:highlight w:val="none"/>
                <w:lang w:val="en-US" w:eastAsia="zh-CN"/>
              </w:rPr>
            </w:pPr>
            <w:r>
              <w:rPr>
                <w:rFonts w:hint="eastAsia" w:ascii="宋体" w:hAnsi="宋体" w:cs="宋体"/>
                <w:bCs/>
                <w:color w:val="auto"/>
                <w:sz w:val="24"/>
                <w:szCs w:val="24"/>
                <w:highlight w:val="none"/>
                <w:lang w:val="en-US" w:eastAsia="zh-CN"/>
              </w:rPr>
              <w:t>框扇1.0mm豪 华款前花板后砂板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2</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铝合金门</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宽700高</w:t>
            </w:r>
            <w:r>
              <w:rPr>
                <w:rFonts w:hint="eastAsia" w:ascii="宋体" w:hAnsi="宋体" w:cs="宋体"/>
                <w:bCs/>
                <w:color w:val="auto"/>
                <w:sz w:val="24"/>
                <w:szCs w:val="24"/>
                <w:highlight w:val="none"/>
              </w:rPr>
              <w:t>2</w:t>
            </w:r>
            <w:r>
              <w:rPr>
                <w:rFonts w:ascii="宋体" w:hAnsi="宋体" w:cs="宋体"/>
                <w:bCs/>
                <w:color w:val="auto"/>
                <w:sz w:val="24"/>
                <w:szCs w:val="24"/>
                <w:highlight w:val="none"/>
              </w:rPr>
              <w:t>000mm</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栋</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2</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双包边</w:t>
            </w:r>
            <w:r>
              <w:rPr>
                <w:rFonts w:hint="eastAsia" w:ascii="宋体" w:hAnsi="宋体" w:cs="宋体"/>
                <w:bCs/>
                <w:color w:val="auto"/>
                <w:sz w:val="24"/>
                <w:szCs w:val="24"/>
                <w:highlight w:val="none"/>
              </w:rPr>
              <w:t>1</w:t>
            </w:r>
            <w:r>
              <w:rPr>
                <w:rFonts w:ascii="宋体" w:hAnsi="宋体" w:cs="宋体"/>
                <w:bCs/>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3</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柜式空调</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3匹冷暖</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台</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4</w:t>
            </w:r>
          </w:p>
        </w:tc>
        <w:tc>
          <w:tcPr>
            <w:tcW w:w="1560"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储水式热水器</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60L</w:t>
            </w:r>
            <w:r>
              <w:rPr>
                <w:rFonts w:hint="eastAsia" w:ascii="宋体" w:hAnsi="宋体" w:cs="宋体"/>
                <w:bCs/>
                <w:color w:val="auto"/>
                <w:sz w:val="24"/>
                <w:szCs w:val="24"/>
                <w:highlight w:val="none"/>
              </w:rPr>
              <w:t xml:space="preserve"> </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台</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配卫浴花洒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5</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洗衣机</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滚桶8KG</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台</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6</w:t>
            </w:r>
          </w:p>
        </w:tc>
        <w:tc>
          <w:tcPr>
            <w:tcW w:w="1560"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车间照明射灯</w:t>
            </w:r>
          </w:p>
        </w:tc>
        <w:tc>
          <w:tcPr>
            <w:tcW w:w="2501"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2</w:t>
            </w:r>
            <w:r>
              <w:rPr>
                <w:rFonts w:ascii="宋体" w:hAnsi="宋体" w:cs="宋体"/>
                <w:bCs/>
                <w:color w:val="auto"/>
                <w:sz w:val="24"/>
                <w:szCs w:val="24"/>
                <w:highlight w:val="none"/>
              </w:rPr>
              <w:t>00w</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支</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10</w:t>
            </w:r>
          </w:p>
        </w:tc>
        <w:tc>
          <w:tcPr>
            <w:tcW w:w="1463" w:type="dxa"/>
          </w:tcPr>
          <w:p>
            <w:pPr>
              <w:tabs>
                <w:tab w:val="left" w:pos="315"/>
                <w:tab w:val="left" w:pos="360"/>
              </w:tabs>
              <w:spacing w:line="360" w:lineRule="auto"/>
              <w:ind w:right="-145" w:rightChars="-69"/>
              <w:jc w:val="center"/>
              <w:rPr>
                <w:rFonts w:hint="default" w:ascii="宋体" w:hAnsi="宋体" w:cs="宋体" w:eastAsiaTheme="minorEastAsia"/>
                <w:bCs/>
                <w:color w:val="auto"/>
                <w:sz w:val="24"/>
                <w:szCs w:val="24"/>
                <w:highlight w:val="none"/>
                <w:lang w:val="en-US" w:eastAsia="zh-CN"/>
              </w:rPr>
            </w:pPr>
            <w:r>
              <w:rPr>
                <w:rFonts w:hint="eastAsia" w:ascii="宋体" w:hAnsi="宋体" w:cs="宋体"/>
                <w:bCs/>
                <w:color w:val="auto"/>
                <w:sz w:val="24"/>
                <w:szCs w:val="24"/>
                <w:highlight w:val="none"/>
                <w:lang w:val="en-US" w:eastAsia="zh-CN"/>
              </w:rPr>
              <w:t>含安装线材关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7</w:t>
            </w:r>
          </w:p>
        </w:tc>
        <w:tc>
          <w:tcPr>
            <w:tcW w:w="1560"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功能间隔室内照</w:t>
            </w:r>
            <w:r>
              <w:rPr>
                <w:rFonts w:hint="eastAsia" w:ascii="宋体" w:hAnsi="宋体" w:cs="宋体"/>
                <w:bCs/>
                <w:color w:val="auto"/>
                <w:sz w:val="24"/>
                <w:szCs w:val="24"/>
                <w:highlight w:val="none"/>
              </w:rPr>
              <w:t>明灯盘</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长1</w:t>
            </w:r>
            <w:r>
              <w:rPr>
                <w:rFonts w:ascii="宋体" w:hAnsi="宋体" w:cs="宋体"/>
                <w:bCs/>
                <w:color w:val="auto"/>
                <w:sz w:val="24"/>
                <w:szCs w:val="24"/>
                <w:highlight w:val="none"/>
              </w:rPr>
              <w:t>200*宽200</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支</w:t>
            </w:r>
          </w:p>
        </w:tc>
        <w:tc>
          <w:tcPr>
            <w:tcW w:w="826"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0</w:t>
            </w:r>
          </w:p>
        </w:tc>
        <w:tc>
          <w:tcPr>
            <w:tcW w:w="1463" w:type="dxa"/>
          </w:tcPr>
          <w:p>
            <w:pPr>
              <w:tabs>
                <w:tab w:val="left" w:pos="315"/>
                <w:tab w:val="left" w:pos="360"/>
              </w:tabs>
              <w:spacing w:line="360" w:lineRule="auto"/>
              <w:ind w:right="-145" w:rightChars="-69"/>
              <w:jc w:val="center"/>
              <w:rPr>
                <w:rFonts w:hint="default" w:ascii="宋体" w:hAnsi="宋体" w:cs="宋体" w:eastAsiaTheme="minorEastAsia"/>
                <w:bCs/>
                <w:color w:val="auto"/>
                <w:sz w:val="24"/>
                <w:szCs w:val="24"/>
                <w:highlight w:val="none"/>
                <w:lang w:val="en-US" w:eastAsia="zh-CN"/>
              </w:rPr>
            </w:pPr>
            <w:r>
              <w:rPr>
                <w:rFonts w:hint="eastAsia" w:ascii="宋体" w:hAnsi="宋体" w:cs="宋体"/>
                <w:bCs/>
                <w:color w:val="auto"/>
                <w:sz w:val="24"/>
                <w:szCs w:val="24"/>
                <w:highlight w:val="none"/>
                <w:lang w:val="en-US" w:eastAsia="zh-CN"/>
              </w:rPr>
              <w:t>含安装所需线材开关等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8</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功能间隔室内插座</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8</w:t>
            </w:r>
            <w:r>
              <w:rPr>
                <w:rFonts w:ascii="宋体" w:hAnsi="宋体" w:cs="宋体"/>
                <w:bCs/>
                <w:color w:val="auto"/>
                <w:sz w:val="24"/>
                <w:szCs w:val="24"/>
                <w:highlight w:val="none"/>
              </w:rPr>
              <w:t>6型</w:t>
            </w:r>
          </w:p>
        </w:tc>
        <w:tc>
          <w:tcPr>
            <w:tcW w:w="817"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个</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5</w:t>
            </w:r>
          </w:p>
        </w:tc>
        <w:tc>
          <w:tcPr>
            <w:tcW w:w="1463"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hint="eastAsia" w:ascii="宋体" w:hAnsi="宋体" w:cs="宋体"/>
                <w:bCs/>
                <w:color w:val="auto"/>
                <w:sz w:val="24"/>
                <w:szCs w:val="24"/>
                <w:highlight w:val="none"/>
                <w:lang w:val="en-US" w:eastAsia="zh-CN"/>
              </w:rPr>
              <w:t>含安装所需线材开关等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1</w:t>
            </w:r>
            <w:r>
              <w:rPr>
                <w:rFonts w:ascii="宋体" w:hAnsi="宋体" w:cs="宋体"/>
                <w:bCs/>
                <w:color w:val="auto"/>
                <w:sz w:val="24"/>
                <w:szCs w:val="24"/>
                <w:highlight w:val="none"/>
              </w:rPr>
              <w:t>9</w:t>
            </w:r>
          </w:p>
        </w:tc>
        <w:tc>
          <w:tcPr>
            <w:tcW w:w="1560" w:type="dxa"/>
          </w:tcPr>
          <w:p>
            <w:pPr>
              <w:tabs>
                <w:tab w:val="left" w:pos="315"/>
                <w:tab w:val="left" w:pos="360"/>
              </w:tabs>
              <w:spacing w:line="360" w:lineRule="auto"/>
              <w:ind w:right="-145" w:rightChars="-69"/>
              <w:jc w:val="center"/>
              <w:rPr>
                <w:rFonts w:ascii="宋体" w:hAnsi="宋体" w:cs="宋体"/>
                <w:bCs/>
                <w:color w:val="auto"/>
                <w:sz w:val="24"/>
                <w:szCs w:val="24"/>
                <w:highlight w:val="none"/>
              </w:rPr>
            </w:pPr>
            <w:r>
              <w:rPr>
                <w:rFonts w:ascii="宋体" w:hAnsi="宋体" w:cs="宋体"/>
                <w:bCs/>
                <w:color w:val="auto"/>
                <w:sz w:val="24"/>
                <w:szCs w:val="24"/>
                <w:highlight w:val="none"/>
              </w:rPr>
              <w:t>供水管</w:t>
            </w:r>
          </w:p>
        </w:tc>
        <w:tc>
          <w:tcPr>
            <w:tcW w:w="2501"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25mm</w:t>
            </w:r>
          </w:p>
        </w:tc>
        <w:tc>
          <w:tcPr>
            <w:tcW w:w="817"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ascii="宋体" w:hAnsi="宋体" w:cs="宋体"/>
                <w:bCs/>
                <w:color w:val="auto"/>
                <w:sz w:val="24"/>
                <w:szCs w:val="24"/>
                <w:highlight w:val="none"/>
              </w:rPr>
              <w:t>米</w:t>
            </w:r>
          </w:p>
        </w:tc>
        <w:tc>
          <w:tcPr>
            <w:tcW w:w="826" w:type="dxa"/>
          </w:tcPr>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2</w:t>
            </w:r>
            <w:r>
              <w:rPr>
                <w:rFonts w:ascii="宋体" w:hAnsi="宋体" w:cs="宋体"/>
                <w:bCs/>
                <w:color w:val="auto"/>
                <w:sz w:val="24"/>
                <w:szCs w:val="24"/>
                <w:highlight w:val="none"/>
              </w:rPr>
              <w:t>0米</w:t>
            </w:r>
          </w:p>
        </w:tc>
        <w:tc>
          <w:tcPr>
            <w:tcW w:w="1463" w:type="dxa"/>
          </w:tcPr>
          <w:p>
            <w:pPr>
              <w:tabs>
                <w:tab w:val="left" w:pos="315"/>
                <w:tab w:val="left" w:pos="360"/>
              </w:tabs>
              <w:spacing w:line="360" w:lineRule="auto"/>
              <w:ind w:right="-145" w:rightChars="-69"/>
              <w:jc w:val="center"/>
              <w:rPr>
                <w:rFonts w:hint="default" w:ascii="宋体" w:hAnsi="宋体" w:cs="宋体" w:eastAsiaTheme="minorEastAsia"/>
                <w:bCs/>
                <w:color w:val="auto"/>
                <w:sz w:val="24"/>
                <w:szCs w:val="24"/>
                <w:highlight w:val="none"/>
                <w:lang w:val="en-US" w:eastAsia="zh-CN"/>
              </w:rPr>
            </w:pPr>
            <w:r>
              <w:rPr>
                <w:rFonts w:hint="eastAsia" w:ascii="宋体" w:hAnsi="宋体" w:cs="宋体"/>
                <w:bCs/>
                <w:color w:val="auto"/>
                <w:sz w:val="24"/>
                <w:szCs w:val="24"/>
                <w:highlight w:val="none"/>
                <w:lang w:val="en-US" w:eastAsia="zh-CN"/>
              </w:rPr>
              <w:t>卫浴间厕所洗手台内用管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5" w:type="dxa"/>
            <w:gridSpan w:val="6"/>
          </w:tcPr>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上述主供货清单包含所有最终完成建筑及安装项目过程中主材辅材。所列项目完工后必须达到完整使用功能。</w:t>
            </w:r>
          </w:p>
          <w:p>
            <w:pPr>
              <w:tabs>
                <w:tab w:val="left" w:pos="315"/>
                <w:tab w:val="left" w:pos="360"/>
              </w:tabs>
              <w:spacing w:line="360" w:lineRule="auto"/>
              <w:ind w:right="-145" w:rightChars="-69"/>
              <w:jc w:val="center"/>
              <w:rPr>
                <w:rFonts w:hint="eastAsia" w:ascii="宋体" w:hAnsi="宋体" w:cs="宋体"/>
                <w:bCs/>
                <w:color w:val="auto"/>
                <w:sz w:val="24"/>
                <w:szCs w:val="24"/>
                <w:highlight w:val="none"/>
              </w:rPr>
            </w:pPr>
          </w:p>
        </w:tc>
      </w:tr>
    </w:tbl>
    <w:p>
      <w:pPr>
        <w:pStyle w:val="2"/>
        <w:ind w:firstLine="0"/>
        <w:rPr>
          <w:rFonts w:hint="eastAsia" w:ascii="仿宋_GB2312" w:eastAsia="仿宋_GB2312"/>
          <w:color w:val="auto"/>
          <w:sz w:val="28"/>
          <w:szCs w:val="28"/>
          <w:highlight w:val="none"/>
          <w:lang w:eastAsia="zh-CN"/>
        </w:rPr>
      </w:pPr>
    </w:p>
    <w:p>
      <w:pPr>
        <w:pStyle w:val="2"/>
        <w:ind w:firstLine="0"/>
        <w:rPr>
          <w:rFonts w:hint="eastAsia" w:ascii="仿宋_GB2312" w:eastAsia="仿宋_GB2312"/>
          <w:color w:val="auto"/>
          <w:sz w:val="28"/>
          <w:szCs w:val="28"/>
          <w:highlight w:val="none"/>
          <w:lang w:eastAsia="zh-CN"/>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4"/>
        <w:rPr>
          <w:rFonts w:eastAsia="仿宋_GB2312" w:cs="仿宋_GB2312" w:asciiTheme="majorHAnsi" w:hAnsiTheme="majorHAnsi"/>
          <w:color w:val="auto"/>
          <w:sz w:val="52"/>
          <w:szCs w:val="52"/>
          <w:highlight w:val="none"/>
        </w:rPr>
      </w:pPr>
      <w:bookmarkStart w:id="73" w:name="_Toc23330"/>
      <w:bookmarkStart w:id="74" w:name="_Toc15570"/>
      <w:bookmarkStart w:id="75" w:name="_Toc25925"/>
      <w:bookmarkStart w:id="76" w:name="_Toc1496"/>
      <w:bookmarkStart w:id="77" w:name="_Toc1284"/>
      <w:bookmarkStart w:id="78" w:name="_Toc4680"/>
      <w:bookmarkStart w:id="79" w:name="_Toc12135"/>
      <w:bookmarkStart w:id="80" w:name="_Toc537"/>
      <w:bookmarkStart w:id="81" w:name="_Toc29835"/>
      <w:bookmarkStart w:id="82" w:name="_Toc23353"/>
      <w:bookmarkStart w:id="83" w:name="_Toc18538"/>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2279015</wp:posOffset>
                </wp:positionH>
                <wp:positionV relativeFrom="paragraph">
                  <wp:posOffset>502285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9.45pt;margin-top:39.55pt;height:0pt;width:75.5pt;z-index:251664384;mso-width-relative:page;mso-height-relative:page;" filled="f" stroked="t" coordsize="21600,21600" o:gfxdata="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ZBWJ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2281555</wp:posOffset>
                </wp:positionH>
                <wp:positionV relativeFrom="paragraph">
                  <wp:posOffset>-18415</wp:posOffset>
                </wp:positionV>
                <wp:extent cx="958850" cy="0"/>
                <wp:effectExtent l="0" t="0" r="0" b="0"/>
                <wp:wrapNone/>
                <wp:docPr id="18"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9.65pt;margin-top:-1.45pt;height:0pt;width:75.5pt;z-index:251677696;mso-width-relative:page;mso-height-relative:page;" filled="f" stroked="t" coordsize="21600,21600" o:gfxdata="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esQHWAAAACQEAAA8AAAAAAAAAAQAgAAAAIgAAAGRycy9kb3ducmV2LnhtbFBLAQIUABQA&#10;AAAIAIdO4kCjJI2e8gEAAOM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73"/>
      <w:bookmarkEnd w:id="74"/>
      <w:bookmarkEnd w:id="75"/>
      <w:bookmarkEnd w:id="76"/>
      <w:bookmarkEnd w:id="77"/>
      <w:bookmarkEnd w:id="78"/>
      <w:bookmarkEnd w:id="79"/>
      <w:bookmarkEnd w:id="80"/>
      <w:bookmarkEnd w:id="81"/>
      <w:bookmarkEnd w:id="82"/>
      <w:bookmarkEnd w:id="83"/>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0" w:lineRule="atLeast"/>
        <w:rPr>
          <w:rFonts w:ascii="仿宋_GB2312" w:hAnsi="宋体" w:eastAsia="仿宋_GB2312"/>
          <w:b/>
          <w:color w:val="auto"/>
          <w:sz w:val="30"/>
          <w:szCs w:val="30"/>
          <w:highlight w:val="none"/>
        </w:rPr>
      </w:pPr>
    </w:p>
    <w:p>
      <w:pPr>
        <w:pStyle w:val="2"/>
        <w:rPr>
          <w:color w:val="auto"/>
          <w:highlight w:val="none"/>
        </w:rPr>
      </w:pPr>
    </w:p>
    <w:p>
      <w:pPr>
        <w:adjustRightInd w:val="0"/>
        <w:snapToGrid w:val="0"/>
        <w:spacing w:line="600" w:lineRule="exact"/>
        <w:ind w:left="1506" w:hanging="1506" w:hangingChars="500"/>
        <w:jc w:val="left"/>
        <w:rPr>
          <w:rFonts w:hint="eastAsia" w:ascii="宋体" w:hAnsi="宋体" w:eastAsia="宋体" w:cs="宋体"/>
          <w:b/>
          <w:color w:val="auto"/>
          <w:kern w:val="0"/>
          <w:sz w:val="30"/>
          <w:szCs w:val="30"/>
          <w:highlight w:val="none"/>
          <w:lang w:val="en-US" w:eastAsia="zh-CN" w:bidi="ar-SA"/>
        </w:rPr>
      </w:pPr>
      <w:r>
        <w:rPr>
          <w:rFonts w:hint="eastAsia" w:ascii="宋体" w:hAnsi="宋体" w:cs="宋体"/>
          <w:b/>
          <w:color w:val="auto"/>
          <w:sz w:val="30"/>
          <w:szCs w:val="30"/>
          <w:highlight w:val="none"/>
        </w:rPr>
        <w:t xml:space="preserve">项目名称: </w:t>
      </w:r>
      <w:r>
        <w:rPr>
          <w:rFonts w:hint="eastAsia" w:ascii="宋体" w:hAnsi="宋体" w:eastAsia="宋体" w:cs="宋体"/>
          <w:b/>
          <w:color w:val="auto"/>
          <w:kern w:val="0"/>
          <w:sz w:val="30"/>
          <w:szCs w:val="30"/>
          <w:highlight w:val="none"/>
          <w:lang w:val="en-US" w:eastAsia="zh-CN" w:bidi="ar-SA"/>
        </w:rPr>
        <w:t>广州市净水有限公司2022年大坦沙、石井净、江高分公司管道改造项目</w:t>
      </w:r>
    </w:p>
    <w:p>
      <w:pPr>
        <w:pStyle w:val="46"/>
        <w:rPr>
          <w:rFonts w:hint="eastAsia" w:ascii="宋体" w:hAnsi="宋体" w:eastAsia="宋体" w:cs="宋体"/>
          <w:color w:val="auto"/>
          <w:highlight w:val="none"/>
          <w:lang w:val="en-US" w:eastAsia="zh-CN"/>
        </w:rPr>
      </w:pPr>
      <w:r>
        <w:rPr>
          <w:rFonts w:hint="eastAsia" w:ascii="宋体" w:hAnsi="宋体" w:eastAsia="宋体" w:cs="宋体"/>
          <w:b/>
          <w:color w:val="auto"/>
          <w:sz w:val="30"/>
          <w:szCs w:val="30"/>
          <w:highlight w:val="none"/>
          <w:lang w:val="en-US" w:eastAsia="zh-CN"/>
        </w:rPr>
        <w:t>项目编号：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p>
    <w:p>
      <w:pPr>
        <w:spacing w:line="480" w:lineRule="auto"/>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ind w:firstLine="602" w:firstLineChars="200"/>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 广州市净水有限公司</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spacing w:beforeLines="30" w:line="384" w:lineRule="auto"/>
        <w:ind w:left="0" w:leftChars="0" w:firstLine="0" w:firstLineChars="0"/>
        <w:rPr>
          <w:rFonts w:ascii="宋体" w:hAnsi="宋体" w:cs="宋体"/>
          <w:color w:val="auto"/>
          <w:sz w:val="24"/>
          <w:highlight w:val="none"/>
        </w:rPr>
      </w:pPr>
      <w:r>
        <w:rPr>
          <w:rFonts w:hint="eastAsia" w:ascii="宋体" w:hAnsi="宋体" w:cs="宋体"/>
          <w:b/>
          <w:color w:val="auto"/>
          <w:sz w:val="30"/>
          <w:highlight w:val="none"/>
          <w:lang w:val="en-US" w:eastAsia="zh-CN"/>
        </w:rPr>
        <w:t xml:space="preserve">    </w:t>
      </w:r>
      <w:r>
        <w:rPr>
          <w:rFonts w:hint="eastAsia" w:ascii="宋体" w:hAnsi="宋体" w:cs="宋体"/>
          <w:color w:val="auto"/>
          <w:sz w:val="24"/>
          <w:highlight w:val="none"/>
        </w:rPr>
        <w:t>根据《中华人民共和国</w:t>
      </w:r>
      <w:r>
        <w:rPr>
          <w:rFonts w:hint="eastAsia" w:ascii="宋体" w:hAnsi="宋体" w:cs="宋体"/>
          <w:color w:val="auto"/>
          <w:sz w:val="24"/>
          <w:highlight w:val="none"/>
          <w:lang w:val="en-US" w:eastAsia="zh-CN"/>
        </w:rPr>
        <w:t>民法典</w:t>
      </w:r>
      <w:r>
        <w:rPr>
          <w:rFonts w:hint="eastAsia" w:ascii="宋体" w:hAnsi="宋体" w:cs="宋体"/>
          <w:color w:val="auto"/>
          <w:sz w:val="24"/>
          <w:highlight w:val="none"/>
        </w:rPr>
        <w:t>》及其他有关法律、行政法规，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rPr>
        <w:t>（以下简称“乙方”）就</w:t>
      </w:r>
      <w:r>
        <w:rPr>
          <w:rFonts w:hint="eastAsia" w:ascii="宋体" w:hAnsi="宋体" w:cs="宋体"/>
          <w:color w:val="auto"/>
          <w:sz w:val="24"/>
          <w:highlight w:val="none"/>
          <w:u w:val="single"/>
          <w:lang w:val="en-US" w:eastAsia="zh-CN"/>
        </w:rPr>
        <w:t xml:space="preserve"> 广州市净水有限公司2022年大坦沙、石井净、江高分公司管道改造项目 </w:t>
      </w:r>
      <w:r>
        <w:rPr>
          <w:rFonts w:hint="eastAsia" w:ascii="宋体" w:hAnsi="宋体" w:cs="宋体"/>
          <w:color w:val="auto"/>
          <w:sz w:val="24"/>
          <w:highlight w:val="none"/>
        </w:rPr>
        <w:t>项目承接工作事宜，遵循平等、自愿、公平和诚实信用的原则，双方协商一致，订立本合同。</w:t>
      </w:r>
    </w:p>
    <w:p>
      <w:pPr>
        <w:spacing w:beforeLines="30" w:line="384" w:lineRule="auto"/>
        <w:ind w:left="210" w:leftChars="100" w:firstLine="482" w:firstLineChars="200"/>
        <w:rPr>
          <w:rFonts w:hint="default" w:ascii="宋体" w:hAnsi="宋体" w:cs="宋体" w:eastAsiaTheme="minorEastAsia"/>
          <w:b/>
          <w:bCs/>
          <w:color w:val="auto"/>
          <w:sz w:val="24"/>
          <w:highlight w:val="none"/>
          <w:lang w:val="en-US" w:eastAsia="zh-CN"/>
        </w:rPr>
      </w:pPr>
      <w:r>
        <w:rPr>
          <w:rFonts w:hint="eastAsia" w:ascii="宋体" w:hAnsi="宋体" w:cs="宋体"/>
          <w:b/>
          <w:bCs/>
          <w:color w:val="auto"/>
          <w:sz w:val="24"/>
          <w:highlight w:val="none"/>
        </w:rPr>
        <w:t>第一条 组成合同的文件及优先顺序</w:t>
      </w:r>
      <w:r>
        <w:rPr>
          <w:rFonts w:hint="eastAsia" w:ascii="宋体" w:hAnsi="宋体" w:cs="宋体"/>
          <w:b/>
          <w:bCs/>
          <w:color w:val="auto"/>
          <w:sz w:val="24"/>
          <w:highlight w:val="none"/>
          <w:lang w:val="en-US" w:eastAsia="zh-CN"/>
        </w:rPr>
        <w:t xml:space="preserve">  </w:t>
      </w:r>
    </w:p>
    <w:p>
      <w:pPr>
        <w:spacing w:line="384" w:lineRule="auto"/>
        <w:ind w:firstLine="482"/>
        <w:rPr>
          <w:rFonts w:ascii="宋体" w:hAnsi="宋体" w:cs="宋体"/>
          <w:bCs/>
          <w:color w:val="auto"/>
          <w:sz w:val="24"/>
          <w:highlight w:val="none"/>
        </w:rPr>
      </w:pP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highlight w:val="none"/>
          <w:lang w:val="en-US" w:eastAsia="zh-CN"/>
        </w:rPr>
        <w:t>成交通知书/</w:t>
      </w:r>
      <w:r>
        <w:rPr>
          <w:rFonts w:hint="eastAsia" w:ascii="宋体" w:hAnsi="宋体" w:cs="宋体"/>
          <w:bCs/>
          <w:color w:val="auto"/>
          <w:sz w:val="24"/>
          <w:highlight w:val="none"/>
        </w:rPr>
        <w:t>委托函；</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⑼ 本合同其他附件；</w:t>
      </w:r>
    </w:p>
    <w:p>
      <w:pPr>
        <w:spacing w:line="384" w:lineRule="auto"/>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384"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2.1项目名称：</w:t>
      </w:r>
      <w:r>
        <w:rPr>
          <w:rFonts w:hint="eastAsia" w:ascii="宋体" w:hAnsi="宋体" w:cs="宋体"/>
          <w:color w:val="auto"/>
          <w:sz w:val="24"/>
          <w:highlight w:val="none"/>
          <w:u w:val="single"/>
          <w:lang w:val="en-US" w:eastAsia="zh-CN"/>
        </w:rPr>
        <w:t>广州市净水有限公司2022年大坦沙、石井净、江高分公司管道改造项目</w:t>
      </w:r>
      <w:r>
        <w:rPr>
          <w:rFonts w:hint="eastAsia" w:ascii="宋体" w:hAnsi="宋体" w:cs="宋体"/>
          <w:color w:val="auto"/>
          <w:sz w:val="24"/>
          <w:highlight w:val="none"/>
          <w:u w:val="single"/>
        </w:rPr>
        <w:t xml:space="preserve"> 。</w:t>
      </w:r>
    </w:p>
    <w:p>
      <w:pPr>
        <w:spacing w:line="384"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项目一：大坦沙分公司2022年三期污水泵房管道改造</w:t>
      </w:r>
    </w:p>
    <w:p>
      <w:pPr>
        <w:spacing w:line="384" w:lineRule="auto"/>
        <w:ind w:firstLine="480" w:firstLineChars="200"/>
        <w:rPr>
          <w:rFonts w:hint="eastAsia" w:ascii="仿宋_GB2312" w:eastAsia="仿宋_GB2312"/>
          <w:color w:val="auto"/>
          <w:sz w:val="28"/>
          <w:szCs w:val="28"/>
          <w:highlight w:val="none"/>
          <w:u w:val="none"/>
          <w:lang w:val="en-US" w:eastAsia="zh-CN"/>
        </w:rPr>
      </w:pPr>
      <w:r>
        <w:rPr>
          <w:rFonts w:hint="eastAsia" w:ascii="宋体" w:hAnsi="宋体" w:cs="宋体"/>
          <w:color w:val="auto"/>
          <w:sz w:val="24"/>
          <w:highlight w:val="none"/>
          <w:lang w:val="en-US" w:eastAsia="zh-CN"/>
        </w:rPr>
        <w:t>项目二：</w:t>
      </w:r>
      <w:r>
        <w:rPr>
          <w:rFonts w:hint="eastAsia" w:ascii="宋体" w:hAnsi="宋体" w:cs="宋体"/>
          <w:color w:val="auto"/>
          <w:sz w:val="24"/>
          <w:highlight w:val="none"/>
        </w:rPr>
        <w:t>石井净分公司2022年二期厂区生产区域自来水及中水系统完善</w:t>
      </w:r>
    </w:p>
    <w:p>
      <w:pPr>
        <w:spacing w:line="384"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项目三：江高分公司生产区域增加自来水、中水及对应排水项目</w:t>
      </w:r>
    </w:p>
    <w:p>
      <w:pPr>
        <w:spacing w:line="384" w:lineRule="auto"/>
        <w:ind w:firstLine="480" w:firstLineChars="200"/>
        <w:rPr>
          <w:rFonts w:hint="eastAsia"/>
          <w:color w:val="auto"/>
          <w:highlight w:val="none"/>
          <w:lang w:val="en-US" w:eastAsia="zh-CN"/>
        </w:rPr>
      </w:pPr>
      <w:r>
        <w:rPr>
          <w:rFonts w:hint="eastAsia" w:ascii="宋体" w:hAnsi="宋体" w:cs="宋体"/>
          <w:color w:val="auto"/>
          <w:sz w:val="24"/>
          <w:highlight w:val="none"/>
          <w:lang w:val="en-US" w:eastAsia="zh-CN"/>
        </w:rPr>
        <w:t>项目四：江高分公司2022年一期机修车间改造项目</w:t>
      </w:r>
    </w:p>
    <w:p>
      <w:pPr>
        <w:spacing w:line="384"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（以下分别简称“项目一、项目二</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项目三、项目四</w:t>
      </w:r>
      <w:r>
        <w:rPr>
          <w:rFonts w:hint="eastAsia" w:ascii="宋体" w:hAnsi="宋体" w:cs="宋体"/>
          <w:color w:val="auto"/>
          <w:sz w:val="24"/>
          <w:highlight w:val="none"/>
        </w:rPr>
        <w:t xml:space="preserve">”）  </w:t>
      </w:r>
    </w:p>
    <w:p>
      <w:pPr>
        <w:spacing w:line="384"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2.2项目地点：</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项目一：广州市净水有限公司大坦沙分公司</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项目二：广州市净水有限公司石井净分公司</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项目三：广州市净水有限公司江高分公司</w:t>
      </w:r>
    </w:p>
    <w:p>
      <w:pPr>
        <w:spacing w:line="384" w:lineRule="auto"/>
        <w:ind w:firstLine="480" w:firstLineChars="200"/>
        <w:rPr>
          <w:rFonts w:hint="default"/>
          <w:color w:val="auto"/>
          <w:highlight w:val="none"/>
          <w:lang w:val="en-US" w:eastAsia="zh-CN"/>
        </w:rPr>
      </w:pPr>
      <w:r>
        <w:rPr>
          <w:rFonts w:hint="eastAsia" w:ascii="宋体" w:hAnsi="宋体" w:cs="宋体"/>
          <w:color w:val="auto"/>
          <w:sz w:val="24"/>
          <w:highlight w:val="none"/>
          <w:u w:val="none"/>
          <w:lang w:val="en-US" w:eastAsia="zh-CN"/>
        </w:rPr>
        <w:t>项目四：广州市净水有限公司江高分公司</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rPr>
        <w:t>2.3项目内容：</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项目一：1、污水泵房铺设导水管并加设活动式围栏。2、三期污水泵管道更换。</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二：参照一期厂区生产区域自来水及中水系统，完善二期厂区生产区域自来水及中水系统。二期厂区生产区域自来水系统的主要管道拟采用DN25的PE电熔管，出水口接水龙头，中水系统的主要管道拟采用DN65的PE电熔管，出水口接消火栓卡口，方便日常使用。</w:t>
      </w:r>
    </w:p>
    <w:p>
      <w:pPr>
        <w:spacing w:line="384"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项目三：该项目是对江高分公司生产区域（负一、负二层）自来水管、中水管、排水管进行改造，计划增加自来水接口（加水龙头）15个，中水管1处，排水设施约21处。其中，所有管线均需加装在墙壁上，以镀锌角钢支架承载。</w:t>
      </w:r>
    </w:p>
    <w:p>
      <w:pPr>
        <w:spacing w:line="560" w:lineRule="exact"/>
        <w:ind w:left="0" w:leftChars="0" w:firstLine="480" w:firstLineChars="200"/>
        <w:rPr>
          <w:rFonts w:hint="eastAsia" w:ascii="宋体" w:hAnsi="宋体" w:eastAsiaTheme="minorEastAsia" w:cstheme="minorBidi"/>
          <w:color w:val="auto"/>
          <w:sz w:val="24"/>
          <w:szCs w:val="24"/>
          <w:highlight w:val="none"/>
          <w:u w:val="none"/>
          <w:lang w:eastAsia="zh-CN"/>
        </w:rPr>
      </w:pPr>
      <w:r>
        <w:rPr>
          <w:rFonts w:hint="eastAsia" w:ascii="宋体" w:hAnsi="宋体" w:cstheme="minorBidi"/>
          <w:color w:val="auto"/>
          <w:sz w:val="24"/>
          <w:szCs w:val="24"/>
          <w:highlight w:val="none"/>
          <w:u w:val="none"/>
          <w:lang w:val="en-US" w:eastAsia="zh-CN"/>
        </w:rPr>
        <w:t>项目四：</w:t>
      </w:r>
    </w:p>
    <w:p>
      <w:pPr>
        <w:spacing w:line="560" w:lineRule="exact"/>
        <w:ind w:left="0" w:leftChars="0" w:firstLine="480" w:firstLineChars="200"/>
        <w:rPr>
          <w:rFonts w:hint="eastAsia" w:ascii="宋体" w:hAnsi="宋体" w:eastAsiaTheme="minorEastAsia" w:cstheme="minorBidi"/>
          <w:color w:val="auto"/>
          <w:sz w:val="24"/>
          <w:szCs w:val="24"/>
          <w:highlight w:val="none"/>
          <w:u w:val="none"/>
        </w:rPr>
      </w:pPr>
      <w:r>
        <w:rPr>
          <w:rFonts w:hint="eastAsia" w:ascii="宋体" w:hAnsi="宋体" w:cstheme="minorBidi"/>
          <w:color w:val="auto"/>
          <w:sz w:val="24"/>
          <w:szCs w:val="24"/>
          <w:highlight w:val="none"/>
          <w:u w:val="none"/>
          <w:lang w:val="en-US" w:eastAsia="zh-CN"/>
        </w:rPr>
        <w:t>a</w:t>
      </w:r>
      <w:r>
        <w:rPr>
          <w:rFonts w:hint="eastAsia" w:ascii="宋体" w:hAnsi="宋体" w:eastAsiaTheme="minorEastAsia" w:cstheme="minorBidi"/>
          <w:color w:val="auto"/>
          <w:sz w:val="24"/>
          <w:szCs w:val="24"/>
          <w:highlight w:val="none"/>
          <w:u w:val="none"/>
        </w:rPr>
        <w:t>.</w:t>
      </w:r>
      <w:r>
        <w:rPr>
          <w:rFonts w:hint="eastAsia" w:ascii="宋体" w:hAnsi="宋体" w:eastAsiaTheme="minorEastAsia" w:cstheme="minorBidi"/>
          <w:color w:val="auto"/>
          <w:sz w:val="24"/>
          <w:szCs w:val="24"/>
          <w:highlight w:val="none"/>
          <w:u w:val="none"/>
          <w:lang w:val="en-US" w:eastAsia="zh-CN"/>
        </w:rPr>
        <w:t>采购</w:t>
      </w:r>
      <w:r>
        <w:rPr>
          <w:rFonts w:hint="eastAsia" w:ascii="宋体" w:hAnsi="宋体" w:eastAsiaTheme="minorEastAsia" w:cstheme="minorBidi"/>
          <w:color w:val="auto"/>
          <w:sz w:val="24"/>
          <w:szCs w:val="24"/>
          <w:highlight w:val="none"/>
          <w:u w:val="none"/>
        </w:rPr>
        <w:t>安装机修间总电源柜1个，负责机修间车床，铣床、砂轮机维修电源等主要设备供电。</w:t>
      </w:r>
    </w:p>
    <w:p>
      <w:pPr>
        <w:spacing w:line="560" w:lineRule="exact"/>
        <w:ind w:left="0" w:leftChars="0" w:firstLine="480" w:firstLineChars="200"/>
        <w:rPr>
          <w:rFonts w:hint="eastAsia" w:ascii="宋体" w:hAnsi="宋体" w:eastAsiaTheme="minorEastAsia" w:cstheme="minorBidi"/>
          <w:color w:val="auto"/>
          <w:sz w:val="24"/>
          <w:szCs w:val="24"/>
          <w:highlight w:val="none"/>
          <w:u w:val="none"/>
        </w:rPr>
      </w:pPr>
      <w:r>
        <w:rPr>
          <w:rFonts w:hint="eastAsia" w:ascii="宋体" w:hAnsi="宋体" w:cstheme="minorBidi"/>
          <w:color w:val="auto"/>
          <w:sz w:val="24"/>
          <w:szCs w:val="24"/>
          <w:highlight w:val="none"/>
          <w:u w:val="none"/>
          <w:lang w:val="en-US" w:eastAsia="zh-CN"/>
        </w:rPr>
        <w:t>b</w:t>
      </w:r>
      <w:r>
        <w:rPr>
          <w:rFonts w:hint="eastAsia" w:ascii="宋体" w:hAnsi="宋体" w:eastAsiaTheme="minorEastAsia" w:cstheme="minorBidi"/>
          <w:color w:val="auto"/>
          <w:sz w:val="24"/>
          <w:szCs w:val="24"/>
          <w:highlight w:val="none"/>
          <w:u w:val="none"/>
        </w:rPr>
        <w:t>.</w:t>
      </w:r>
      <w:r>
        <w:rPr>
          <w:rFonts w:hint="eastAsia" w:ascii="宋体" w:hAnsi="宋体" w:eastAsiaTheme="minorEastAsia" w:cstheme="minorBidi"/>
          <w:color w:val="auto"/>
          <w:sz w:val="24"/>
          <w:szCs w:val="24"/>
          <w:highlight w:val="none"/>
          <w:u w:val="none"/>
          <w:lang w:val="en-US" w:eastAsia="zh-CN"/>
        </w:rPr>
        <w:t>采购并</w:t>
      </w:r>
      <w:r>
        <w:rPr>
          <w:rFonts w:hint="eastAsia" w:ascii="宋体" w:hAnsi="宋体" w:eastAsiaTheme="minorEastAsia" w:cstheme="minorBidi"/>
          <w:color w:val="auto"/>
          <w:sz w:val="24"/>
          <w:szCs w:val="24"/>
          <w:highlight w:val="none"/>
          <w:u w:val="none"/>
        </w:rPr>
        <w:t>铺设一组4*70+1*35预处理低压电房到机修间电源电缆。</w:t>
      </w:r>
    </w:p>
    <w:p>
      <w:pPr>
        <w:spacing w:line="560" w:lineRule="exact"/>
        <w:ind w:firstLine="480" w:firstLineChars="200"/>
        <w:rPr>
          <w:rFonts w:hint="default"/>
          <w:color w:val="auto"/>
          <w:highlight w:val="none"/>
          <w:lang w:val="en-US" w:eastAsia="zh-CN"/>
        </w:rPr>
      </w:pPr>
      <w:r>
        <w:rPr>
          <w:rFonts w:hint="eastAsia" w:ascii="宋体" w:hAnsi="宋体" w:cstheme="minorBidi"/>
          <w:color w:val="auto"/>
          <w:sz w:val="24"/>
          <w:szCs w:val="24"/>
          <w:highlight w:val="none"/>
          <w:u w:val="none"/>
          <w:lang w:val="en-US" w:eastAsia="zh-CN"/>
        </w:rPr>
        <w:t>c</w:t>
      </w:r>
      <w:r>
        <w:rPr>
          <w:rFonts w:hint="eastAsia" w:ascii="宋体" w:hAnsi="宋体" w:eastAsiaTheme="minorEastAsia" w:cstheme="minorBidi"/>
          <w:color w:val="auto"/>
          <w:sz w:val="24"/>
          <w:szCs w:val="24"/>
          <w:highlight w:val="none"/>
          <w:u w:val="none"/>
        </w:rPr>
        <w:t>.</w:t>
      </w:r>
      <w:r>
        <w:rPr>
          <w:rFonts w:hint="eastAsia" w:ascii="宋体" w:hAnsi="宋体" w:eastAsiaTheme="minorEastAsia" w:cstheme="minorBidi"/>
          <w:color w:val="auto"/>
          <w:sz w:val="24"/>
          <w:szCs w:val="24"/>
          <w:highlight w:val="none"/>
          <w:u w:val="none"/>
          <w:lang w:val="en-US" w:eastAsia="zh-CN"/>
        </w:rPr>
        <w:t>采购并</w:t>
      </w:r>
      <w:r>
        <w:rPr>
          <w:rFonts w:hint="eastAsia" w:ascii="宋体" w:hAnsi="宋体" w:eastAsiaTheme="minorEastAsia" w:cstheme="minorBidi"/>
          <w:color w:val="auto"/>
          <w:sz w:val="24"/>
          <w:szCs w:val="24"/>
          <w:highlight w:val="none"/>
          <w:u w:val="none"/>
        </w:rPr>
        <w:t>间隔</w:t>
      </w:r>
      <w:r>
        <w:rPr>
          <w:rFonts w:hint="eastAsia" w:ascii="宋体" w:hAnsi="宋体" w:eastAsiaTheme="minorEastAsia" w:cstheme="minorBidi"/>
          <w:color w:val="auto"/>
          <w:sz w:val="24"/>
          <w:szCs w:val="24"/>
          <w:highlight w:val="none"/>
          <w:u w:val="none"/>
          <w:lang w:val="en-US" w:eastAsia="zh-CN"/>
        </w:rPr>
        <w:t>装修</w:t>
      </w:r>
      <w:r>
        <w:rPr>
          <w:rFonts w:hint="eastAsia" w:ascii="宋体" w:hAnsi="宋体" w:eastAsiaTheme="minorEastAsia" w:cstheme="minorBidi"/>
          <w:color w:val="auto"/>
          <w:sz w:val="24"/>
          <w:szCs w:val="24"/>
          <w:highlight w:val="none"/>
          <w:u w:val="none"/>
        </w:rPr>
        <w:t>混合结构硬顶砂轮机房、维修工作室、储物室厕所、更衣室、浴室等功能区共占地面积56.25平方带装修硬顶结构</w:t>
      </w:r>
      <w:r>
        <w:rPr>
          <w:rFonts w:hint="eastAsia" w:ascii="宋体" w:hAnsi="宋体"/>
          <w:color w:val="auto"/>
          <w:sz w:val="24"/>
          <w:szCs w:val="24"/>
          <w:highlight w:val="none"/>
        </w:rPr>
        <w:t>等。</w:t>
      </w:r>
    </w:p>
    <w:p>
      <w:pPr>
        <w:spacing w:line="384"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2.4项目承包范围：包括提供所有需要的材料、机械、人工、设施、完成合同约定的工作和服务。按照甲方审核同意的方案、图纸所包括的实施范围和内容进行施工并在质量保修期内承担项目质量保修责任。</w:t>
      </w:r>
    </w:p>
    <w:p>
      <w:pPr>
        <w:spacing w:line="384"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384"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sym w:font="Wingdings 2" w:char="0052"/>
      </w:r>
      <w:r>
        <w:rPr>
          <w:rFonts w:hint="eastAsia" w:ascii="宋体" w:hAnsi="宋体" w:cs="宋体"/>
          <w:color w:val="auto"/>
          <w:sz w:val="24"/>
          <w:highlight w:val="none"/>
        </w:rPr>
        <w:t>包工、包料、包工期、包质量、包安全、包文明施工。综合单价包干、项目措施费包干。（单价包干要求附工程量报价</w:t>
      </w:r>
      <w:r>
        <w:rPr>
          <w:rFonts w:ascii="宋体" w:hAnsi="宋体" w:cs="宋体"/>
          <w:color w:val="auto"/>
          <w:sz w:val="24"/>
          <w:highlight w:val="none"/>
        </w:rPr>
        <w:t>/</w:t>
      </w:r>
      <w:r>
        <w:rPr>
          <w:rFonts w:hint="eastAsia" w:ascii="宋体" w:hAnsi="宋体" w:cs="宋体"/>
          <w:color w:val="auto"/>
          <w:sz w:val="24"/>
          <w:highlight w:val="none"/>
        </w:rPr>
        <w:t>工程预算书）</w:t>
      </w:r>
    </w:p>
    <w:p>
      <w:pPr>
        <w:spacing w:line="384"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w:t>
      </w:r>
      <w:r>
        <w:rPr>
          <w:rFonts w:hint="eastAsia" w:ascii="宋体" w:hAnsi="宋体" w:cs="宋体"/>
          <w:color w:val="auto"/>
          <w:sz w:val="24"/>
          <w:highlight w:val="none"/>
        </w:rPr>
        <w:t>包工、包料、包质量、包工期、包安全、包文明施工、包设计、包调试、包验收的施工图纸，以总价包干形式。</w:t>
      </w:r>
    </w:p>
    <w:p>
      <w:pPr>
        <w:spacing w:line="384"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5"/>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大写</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项目一</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cs="宋体" w:eastAsiaTheme="minorEastAsia"/>
                <w:b/>
                <w:bCs/>
                <w:color w:val="auto"/>
                <w:sz w:val="24"/>
                <w:highlight w:val="none"/>
                <w:u w:val="none"/>
                <w:vertAlign w:val="baseline"/>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二</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cs="宋体" w:eastAsiaTheme="minorEastAsia"/>
                <w:b/>
                <w:bCs/>
                <w:color w:val="auto"/>
                <w:sz w:val="24"/>
                <w:highlight w:val="none"/>
                <w:u w:val="none"/>
                <w:vertAlign w:val="baseli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三</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w:t>
            </w:r>
            <w:r>
              <w:rPr>
                <w:rFonts w:hint="eastAsia" w:asciiTheme="minorEastAsia" w:hAnsiTheme="minorEastAsia" w:eastAsiaTheme="minorEastAsia" w:cstheme="minorEastAsia"/>
                <w:color w:val="auto"/>
                <w:sz w:val="24"/>
                <w:highlight w:val="none"/>
                <w:lang w:val="en-US" w:eastAsia="zh-CN"/>
              </w:rPr>
              <w:t>四</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p>
        </w:tc>
      </w:tr>
    </w:tbl>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 xml:space="preserve">         </w:t>
      </w:r>
    </w:p>
    <w:p>
      <w:pPr>
        <w:autoSpaceDE w:val="0"/>
        <w:autoSpaceDN w:val="0"/>
        <w:adjustRightInd w:val="0"/>
        <w:spacing w:line="384"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综合单价为：</w:t>
      </w:r>
      <w:r>
        <w:rPr>
          <w:rFonts w:hint="eastAsia" w:ascii="宋体" w:hAnsi="宋体" w:eastAsia="宋体" w:cs="宋体"/>
          <w:color w:val="auto"/>
          <w:sz w:val="24"/>
          <w:highlight w:val="none"/>
          <w:lang w:val="en-US" w:eastAsia="zh-CN"/>
        </w:rPr>
        <w:t>附件5工程量清单报价</w:t>
      </w:r>
      <w:r>
        <w:rPr>
          <w:rFonts w:hint="eastAsia" w:ascii="宋体" w:hAnsi="宋体" w:eastAsia="宋体" w:cs="宋体"/>
          <w:color w:val="auto"/>
          <w:sz w:val="24"/>
          <w:highlight w:val="none"/>
        </w:rPr>
        <w:t>。</w:t>
      </w:r>
    </w:p>
    <w:p>
      <w:pPr>
        <w:autoSpaceDE w:val="0"/>
        <w:autoSpaceDN w:val="0"/>
        <w:adjustRightInd w:val="0"/>
        <w:spacing w:line="384" w:lineRule="auto"/>
        <w:ind w:firstLine="480" w:firstLineChars="200"/>
        <w:rPr>
          <w:color w:val="auto"/>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384"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84" w:lineRule="auto"/>
        <w:ind w:firstLine="480" w:firstLineChars="200"/>
        <w:rPr>
          <w:rFonts w:hint="eastAsia"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（税率</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0"/>
        </w:tabs>
        <w:adjustRightInd w:val="0"/>
        <w:snapToGrid w:val="0"/>
        <w:spacing w:line="360" w:lineRule="auto"/>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4.3</w:t>
      </w:r>
      <w:r>
        <w:rPr>
          <w:rFonts w:hint="eastAsia" w:ascii="宋体" w:hAnsi="宋体" w:eastAsia="宋体" w:cs="宋体"/>
          <w:bCs/>
          <w:color w:val="auto"/>
          <w:sz w:val="24"/>
          <w:szCs w:val="24"/>
          <w:highlight w:val="none"/>
          <w:lang w:val="en-US" w:eastAsia="zh-CN"/>
        </w:rPr>
        <w:t>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4.4</w:t>
      </w:r>
      <w:r>
        <w:rPr>
          <w:rFonts w:hint="eastAsia" w:ascii="宋体" w:hAnsi="宋体" w:eastAsia="宋体" w:cs="宋体"/>
          <w:color w:val="auto"/>
          <w:sz w:val="24"/>
          <w:szCs w:val="24"/>
          <w:highlight w:val="none"/>
        </w:rPr>
        <w:t>合同中没有适用于变更工程项目的单价的，</w:t>
      </w:r>
      <w:r>
        <w:rPr>
          <w:rFonts w:hint="eastAsia" w:ascii="宋体" w:hAnsi="宋体" w:eastAsia="宋体" w:cs="宋体"/>
          <w:color w:val="auto"/>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项目计价材料、设备价格的控制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按以下顺序作为降序优先级依次采用工程开工报告中开工日期当月的下列价格</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（3）综合价格、厂商价格中缺项的，采用由北京瑞恒达建筑咨询有限公司提供服务的“慧讯网”中查到的相应材料、设备价格的工程价。</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（4）通过市场询价双方协商确定。</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3.按1、2组价后下浮5%计取。</w:t>
      </w:r>
    </w:p>
    <w:p>
      <w:pPr>
        <w:tabs>
          <w:tab w:val="left" w:pos="851"/>
        </w:tabs>
        <w:adjustRightInd w:val="0"/>
        <w:snapToGrid w:val="0"/>
        <w:spacing w:line="384" w:lineRule="auto"/>
        <w:ind w:firstLine="480" w:firstLineChars="200"/>
        <w:rPr>
          <w:rFonts w:hint="eastAsia" w:ascii="宋体" w:hAnsi="宋体" w:cs="宋体"/>
          <w:color w:val="auto"/>
          <w:sz w:val="24"/>
          <w:highlight w:val="none"/>
        </w:rPr>
      </w:pPr>
    </w:p>
    <w:p>
      <w:pPr>
        <w:widowControl/>
        <w:tabs>
          <w:tab w:val="left" w:pos="851"/>
        </w:tabs>
        <w:adjustRightInd w:val="0"/>
        <w:snapToGrid w:val="0"/>
        <w:spacing w:line="384"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第五条工期及要求</w:t>
      </w:r>
    </w:p>
    <w:p>
      <w:pPr>
        <w:widowControl/>
        <w:spacing w:line="384" w:lineRule="auto"/>
        <w:ind w:firstLine="480" w:firstLineChars="200"/>
        <w:jc w:val="left"/>
        <w:rPr>
          <w:rFonts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日</w:t>
      </w:r>
      <w:r>
        <w:rPr>
          <w:rFonts w:hint="eastAsia" w:ascii="宋体" w:hAnsi="宋体" w:cs="宋体"/>
          <w:color w:val="auto"/>
          <w:sz w:val="24"/>
          <w:highlight w:val="none"/>
        </w:rPr>
        <w:t>，具体日期以甲方发出的开工报告</w:t>
      </w:r>
      <w:r>
        <w:rPr>
          <w:rFonts w:ascii="宋体" w:hAnsi="宋体" w:cs="宋体"/>
          <w:color w:val="auto"/>
          <w:sz w:val="24"/>
          <w:highlight w:val="none"/>
        </w:rPr>
        <w:t>/</w:t>
      </w:r>
      <w:r>
        <w:rPr>
          <w:rFonts w:hint="eastAsia" w:ascii="宋体" w:hAnsi="宋体" w:cs="宋体"/>
          <w:color w:val="auto"/>
          <w:sz w:val="24"/>
          <w:highlight w:val="none"/>
        </w:rPr>
        <w:t>通知为准。乙方不能按时开工，应当于开工报告</w:t>
      </w:r>
      <w:r>
        <w:rPr>
          <w:rFonts w:ascii="宋体" w:hAnsi="宋体" w:cs="宋体"/>
          <w:color w:val="auto"/>
          <w:sz w:val="24"/>
          <w:highlight w:val="none"/>
        </w:rPr>
        <w:t>/</w:t>
      </w:r>
      <w:r>
        <w:rPr>
          <w:rFonts w:hint="eastAsia" w:ascii="宋体" w:hAnsi="宋体" w:cs="宋体"/>
          <w:color w:val="auto"/>
          <w:sz w:val="24"/>
          <w:highlight w:val="none"/>
        </w:rPr>
        <w:t>通知载明的开工日期</w:t>
      </w:r>
      <w:r>
        <w:rPr>
          <w:rFonts w:ascii="宋体" w:hAnsi="宋体" w:cs="宋体"/>
          <w:color w:val="auto"/>
          <w:sz w:val="24"/>
          <w:highlight w:val="none"/>
        </w:rPr>
        <w:t>7</w:t>
      </w:r>
      <w:r>
        <w:rPr>
          <w:rFonts w:hint="eastAsia" w:ascii="宋体" w:hAnsi="宋体" w:cs="宋体"/>
          <w:color w:val="auto"/>
          <w:sz w:val="24"/>
          <w:highlight w:val="none"/>
        </w:rPr>
        <w:t>天前，以书面形式向甲方提出延期开工的理由。甲方应当在接到延期开工申请后的</w:t>
      </w:r>
      <w:r>
        <w:rPr>
          <w:rFonts w:ascii="宋体" w:hAnsi="宋体" w:cs="宋体"/>
          <w:color w:val="auto"/>
          <w:sz w:val="24"/>
          <w:highlight w:val="none"/>
        </w:rPr>
        <w:t>48</w:t>
      </w:r>
      <w:r>
        <w:rPr>
          <w:rFonts w:hint="eastAsia" w:ascii="宋体" w:hAnsi="宋体" w:cs="宋体"/>
          <w:color w:val="auto"/>
          <w:sz w:val="24"/>
          <w:highlight w:val="none"/>
        </w:rPr>
        <w:t>小时内以书面形式答复乙方。甲方在接到延期开工申请后</w:t>
      </w:r>
      <w:r>
        <w:rPr>
          <w:rFonts w:ascii="宋体" w:hAnsi="宋体" w:cs="宋体"/>
          <w:color w:val="auto"/>
          <w:sz w:val="24"/>
          <w:highlight w:val="none"/>
        </w:rPr>
        <w:t>48</w:t>
      </w:r>
      <w:r>
        <w:rPr>
          <w:rFonts w:hint="eastAsia" w:ascii="宋体" w:hAnsi="宋体" w:cs="宋体"/>
          <w:color w:val="auto"/>
          <w:sz w:val="24"/>
          <w:highlight w:val="none"/>
        </w:rPr>
        <w:t>小时内不答复，视为同意乙方要求，工期相应顺延。甲方不同意延期要求或乙方未在规定时间内提出延期开工，工期不予顺延。合同工期总日历天数</w:t>
      </w:r>
      <w:r>
        <w:rPr>
          <w:rFonts w:hint="eastAsia" w:ascii="宋体" w:hAnsi="宋体" w:cs="宋体"/>
          <w:color w:val="auto"/>
          <w:sz w:val="24"/>
          <w:highlight w:val="none"/>
          <w:u w:val="single"/>
          <w:lang w:val="en-US" w:eastAsia="zh-CN"/>
        </w:rPr>
        <w:t xml:space="preserve"> 195 </w:t>
      </w:r>
      <w:r>
        <w:rPr>
          <w:rFonts w:hint="eastAsia" w:ascii="宋体" w:hAnsi="宋体" w:cs="宋体"/>
          <w:color w:val="auto"/>
          <w:sz w:val="24"/>
          <w:highlight w:val="none"/>
        </w:rPr>
        <w:t>天</w:t>
      </w:r>
      <w:r>
        <w:rPr>
          <w:rFonts w:hint="eastAsia" w:ascii="宋体" w:hAnsi="宋体" w:cs="宋体"/>
          <w:color w:val="auto"/>
          <w:sz w:val="24"/>
          <w:highlight w:val="none"/>
          <w:lang w:eastAsia="zh-CN"/>
        </w:rPr>
        <w:t>，</w:t>
      </w:r>
      <w:r>
        <w:rPr>
          <w:rFonts w:hint="eastAsia" w:ascii="宋体" w:hAnsi="宋体" w:cs="宋体"/>
          <w:color w:val="auto"/>
          <w:sz w:val="24"/>
          <w:highlight w:val="none"/>
          <w:u w:val="none"/>
          <w:lang w:val="en-US" w:eastAsia="zh-CN"/>
        </w:rPr>
        <w:t>其中项目一：</w:t>
      </w:r>
      <w:r>
        <w:rPr>
          <w:rFonts w:hint="eastAsia" w:ascii="宋体" w:hAnsi="宋体" w:cs="宋体"/>
          <w:color w:val="auto"/>
          <w:sz w:val="24"/>
          <w:highlight w:val="none"/>
          <w:u w:val="single"/>
          <w:lang w:val="en-US" w:eastAsia="zh-CN"/>
        </w:rPr>
        <w:t>45天；</w:t>
      </w:r>
      <w:r>
        <w:rPr>
          <w:rFonts w:hint="eastAsia" w:ascii="宋体" w:hAnsi="宋体" w:cs="宋体"/>
          <w:color w:val="auto"/>
          <w:sz w:val="24"/>
          <w:highlight w:val="none"/>
          <w:u w:val="none"/>
          <w:lang w:val="en-US" w:eastAsia="zh-CN"/>
        </w:rPr>
        <w:t>项目二</w:t>
      </w:r>
      <w:r>
        <w:rPr>
          <w:rFonts w:hint="eastAsia" w:ascii="宋体" w:hAnsi="宋体" w:cs="宋体"/>
          <w:color w:val="auto"/>
          <w:sz w:val="24"/>
          <w:highlight w:val="none"/>
          <w:lang w:val="en-US" w:eastAsia="zh-CN"/>
        </w:rPr>
        <w:t>：</w:t>
      </w:r>
      <w:r>
        <w:rPr>
          <w:rFonts w:hint="eastAsia" w:ascii="宋体" w:hAnsi="宋体" w:cs="宋体"/>
          <w:color w:val="auto"/>
          <w:sz w:val="24"/>
          <w:highlight w:val="none"/>
          <w:u w:val="single"/>
          <w:lang w:val="en-US" w:eastAsia="zh-CN"/>
        </w:rPr>
        <w:t>30天</w:t>
      </w:r>
      <w:r>
        <w:rPr>
          <w:rFonts w:hint="eastAsia" w:ascii="宋体" w:hAnsi="宋体" w:cs="宋体"/>
          <w:color w:val="auto"/>
          <w:sz w:val="24"/>
          <w:highlight w:val="none"/>
          <w:lang w:val="en-US" w:eastAsia="zh-CN"/>
        </w:rPr>
        <w:t>；</w:t>
      </w:r>
      <w:r>
        <w:rPr>
          <w:rFonts w:hint="eastAsia" w:ascii="宋体" w:hAnsi="宋体" w:cs="宋体"/>
          <w:color w:val="auto"/>
          <w:sz w:val="24"/>
          <w:highlight w:val="none"/>
          <w:u w:val="none"/>
          <w:lang w:val="en-US" w:eastAsia="zh-CN"/>
        </w:rPr>
        <w:t>项目三：</w:t>
      </w:r>
      <w:r>
        <w:rPr>
          <w:rFonts w:hint="eastAsia" w:ascii="宋体" w:hAnsi="宋体" w:cs="宋体"/>
          <w:color w:val="auto"/>
          <w:sz w:val="24"/>
          <w:highlight w:val="none"/>
          <w:u w:val="single"/>
          <w:lang w:val="en-US" w:eastAsia="zh-CN"/>
        </w:rPr>
        <w:t>60天</w:t>
      </w:r>
      <w:r>
        <w:rPr>
          <w:rFonts w:hint="eastAsia" w:ascii="宋体" w:hAnsi="宋体" w:cs="宋体"/>
          <w:color w:val="auto"/>
          <w:sz w:val="24"/>
          <w:highlight w:val="none"/>
          <w:u w:val="none"/>
          <w:lang w:val="en-US" w:eastAsia="zh-CN"/>
        </w:rPr>
        <w:t>；项目四：</w:t>
      </w:r>
      <w:r>
        <w:rPr>
          <w:rFonts w:hint="eastAsia" w:ascii="宋体" w:hAnsi="宋体" w:cs="宋体"/>
          <w:color w:val="auto"/>
          <w:sz w:val="24"/>
          <w:highlight w:val="none"/>
          <w:u w:val="single"/>
          <w:lang w:val="en-US" w:eastAsia="zh-CN"/>
        </w:rPr>
        <w:t>60天</w:t>
      </w:r>
      <w:r>
        <w:rPr>
          <w:rFonts w:hint="eastAsia" w:ascii="宋体" w:hAnsi="宋体" w:cs="宋体"/>
          <w:color w:val="auto"/>
          <w:sz w:val="24"/>
          <w:highlight w:val="none"/>
        </w:rPr>
        <w:t>。乙方未能按合同工期竣工验收的，每逾期一天，甲方有权要求乙方按</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 xml:space="preserve"> 1%</w:t>
      </w:r>
      <w:r>
        <w:rPr>
          <w:rFonts w:hint="eastAsia" w:ascii="宋体" w:hAnsi="宋体" w:cs="宋体"/>
          <w:color w:val="auto"/>
          <w:sz w:val="24"/>
          <w:highlight w:val="none"/>
        </w:rPr>
        <w:t>支付违约金，逾期达到</w:t>
      </w:r>
      <w:r>
        <w:rPr>
          <w:rFonts w:hint="eastAsia" w:ascii="宋体" w:hAnsi="宋体" w:cs="宋体"/>
          <w:color w:val="auto"/>
          <w:sz w:val="24"/>
          <w:highlight w:val="none"/>
          <w:u w:val="single"/>
          <w:lang w:val="en-US" w:eastAsia="zh-CN"/>
        </w:rPr>
        <w:t xml:space="preserve"> 30 </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p>
      <w:pPr>
        <w:widowControl/>
        <w:spacing w:line="384" w:lineRule="auto"/>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color w:val="auto"/>
          <w:sz w:val="24"/>
          <w:highlight w:val="none"/>
          <w:u w:val="single"/>
        </w:rPr>
        <w:t>合同暂定总价的</w:t>
      </w:r>
      <w:r>
        <w:rPr>
          <w:rFonts w:ascii="宋体" w:hAnsi="宋体" w:cs="宋体"/>
          <w:bCs/>
          <w:color w:val="auto"/>
          <w:sz w:val="24"/>
          <w:highlight w:val="none"/>
          <w:u w:val="single"/>
        </w:rPr>
        <w:t>5%/</w:t>
      </w:r>
      <w:r>
        <w:rPr>
          <w:rFonts w:hint="eastAsia" w:ascii="宋体" w:hAnsi="宋体" w:cs="宋体"/>
          <w:bCs/>
          <w:color w:val="auto"/>
          <w:sz w:val="24"/>
          <w:highlight w:val="none"/>
          <w:u w:val="single"/>
        </w:rPr>
        <w:t>次</w:t>
      </w:r>
      <w:r>
        <w:rPr>
          <w:rFonts w:hint="eastAsia" w:ascii="宋体" w:hAnsi="宋体" w:cs="宋体"/>
          <w:bCs/>
          <w:color w:val="auto"/>
          <w:sz w:val="24"/>
          <w:highlight w:val="none"/>
        </w:rPr>
        <w:t>作为违约金，超过三次（含三次）的，甲方有权解除合同，要求乙方支付</w:t>
      </w:r>
      <w:r>
        <w:rPr>
          <w:rFonts w:hint="eastAsia" w:ascii="宋体" w:hAnsi="宋体" w:cs="宋体"/>
          <w:bCs/>
          <w:color w:val="auto"/>
          <w:sz w:val="24"/>
          <w:highlight w:val="none"/>
          <w:u w:val="single"/>
        </w:rPr>
        <w:t>合同暂定总价的</w:t>
      </w:r>
      <w:r>
        <w:rPr>
          <w:rFonts w:ascii="宋体" w:hAnsi="宋体" w:cs="宋体"/>
          <w:bCs/>
          <w:color w:val="auto"/>
          <w:sz w:val="24"/>
          <w:highlight w:val="none"/>
          <w:u w:val="single"/>
        </w:rPr>
        <w:t>20%</w:t>
      </w:r>
      <w:r>
        <w:rPr>
          <w:rFonts w:hint="eastAsia" w:ascii="宋体" w:hAnsi="宋体" w:cs="宋体"/>
          <w:bCs/>
          <w:color w:val="auto"/>
          <w:sz w:val="24"/>
          <w:highlight w:val="none"/>
        </w:rPr>
        <w:t>作为违约金。由此造成的经济和法律责任，均由乙方负责。</w:t>
      </w:r>
    </w:p>
    <w:p>
      <w:pPr>
        <w:widowControl/>
        <w:spacing w:line="384" w:lineRule="auto"/>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hint="eastAsia" w:ascii="宋体" w:hAnsi="宋体" w:cs="宋体"/>
          <w:bCs/>
          <w:color w:val="auto"/>
          <w:sz w:val="24"/>
          <w:highlight w:val="none"/>
          <w:u w:val="single"/>
          <w:lang w:val="en-US" w:eastAsia="zh-CN"/>
        </w:rPr>
        <w:t xml:space="preserve"> 7 </w:t>
      </w:r>
      <w:r>
        <w:rPr>
          <w:rFonts w:hint="eastAsia" w:ascii="宋体" w:hAnsi="宋体" w:cs="宋体"/>
          <w:bCs/>
          <w:color w:val="auto"/>
          <w:sz w:val="24"/>
          <w:highlight w:val="none"/>
        </w:rPr>
        <w:t>日内将全部图纸退还给甲方。</w:t>
      </w:r>
    </w:p>
    <w:p>
      <w:pPr>
        <w:widowControl/>
        <w:spacing w:line="384" w:lineRule="auto"/>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384" w:lineRule="auto"/>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5.5乙方不履行合同义务、或履行合同义务不符合合同约定、或违反国家、省、市行业标准的，甲方有权要求乙方限期整改。乙方逾期未完成整改的，每项每超过1日支付违约金人民币</w:t>
      </w:r>
      <w:r>
        <w:rPr>
          <w:rFonts w:ascii="宋体" w:hAnsi="宋体" w:cs="宋体"/>
          <w:bCs/>
          <w:color w:val="auto"/>
          <w:sz w:val="24"/>
          <w:highlight w:val="none"/>
          <w:u w:val="single"/>
        </w:rPr>
        <w:t>1万元</w:t>
      </w:r>
      <w:r>
        <w:rPr>
          <w:rFonts w:ascii="宋体" w:hAnsi="宋体" w:cs="宋体"/>
          <w:bCs/>
          <w:color w:val="auto"/>
          <w:sz w:val="24"/>
          <w:highlight w:val="none"/>
        </w:rPr>
        <w:t>，超过</w:t>
      </w:r>
      <w:r>
        <w:rPr>
          <w:rFonts w:hint="eastAsia" w:ascii="宋体" w:hAnsi="宋体" w:cs="宋体"/>
          <w:bCs/>
          <w:color w:val="auto"/>
          <w:sz w:val="24"/>
          <w:highlight w:val="none"/>
          <w:u w:val="single"/>
          <w:lang w:val="en-US" w:eastAsia="zh-CN"/>
        </w:rPr>
        <w:t xml:space="preserve"> 7</w:t>
      </w:r>
      <w:r>
        <w:rPr>
          <w:rFonts w:ascii="宋体" w:hAnsi="宋体" w:cs="宋体"/>
          <w:bCs/>
          <w:color w:val="auto"/>
          <w:sz w:val="24"/>
          <w:highlight w:val="none"/>
        </w:rPr>
        <w:t>日，甲方有权解除合同并要求乙方支付</w:t>
      </w:r>
      <w:r>
        <w:rPr>
          <w:rFonts w:ascii="宋体" w:hAnsi="宋体" w:cs="宋体"/>
          <w:bCs/>
          <w:color w:val="auto"/>
          <w:sz w:val="24"/>
          <w:highlight w:val="none"/>
          <w:u w:val="single"/>
        </w:rPr>
        <w:t>合同暂定总价的20%</w:t>
      </w:r>
      <w:r>
        <w:rPr>
          <w:rFonts w:ascii="宋体" w:hAnsi="宋体" w:cs="宋体"/>
          <w:bCs/>
          <w:color w:val="auto"/>
          <w:sz w:val="24"/>
          <w:highlight w:val="none"/>
        </w:rPr>
        <w:t>作为违约金</w:t>
      </w:r>
      <w:r>
        <w:rPr>
          <w:rFonts w:hint="eastAsia" w:asciiTheme="minorEastAsia" w:hAnsiTheme="minorEastAsia" w:eastAsiaTheme="minorEastAsia"/>
          <w:bCs/>
          <w:color w:val="auto"/>
          <w:sz w:val="24"/>
          <w:highlight w:val="none"/>
        </w:rPr>
        <w:t>（</w:t>
      </w:r>
      <w:r>
        <w:rPr>
          <w:rFonts w:hint="eastAsia" w:cs="宋体"/>
          <w:color w:val="auto"/>
          <w:sz w:val="24"/>
          <w:highlight w:val="none"/>
        </w:rPr>
        <w:t>如合同另行约定违约责任，从其约定</w:t>
      </w:r>
      <w:r>
        <w:rPr>
          <w:rFonts w:hint="eastAsia" w:asciiTheme="minorEastAsia" w:hAnsiTheme="minorEastAsia" w:eastAsiaTheme="minorEastAsia"/>
          <w:bCs/>
          <w:color w:val="auto"/>
          <w:sz w:val="24"/>
          <w:highlight w:val="none"/>
        </w:rPr>
        <w:t>）</w:t>
      </w:r>
      <w:r>
        <w:rPr>
          <w:rFonts w:ascii="宋体" w:hAnsi="宋体" w:cs="宋体"/>
          <w:bCs/>
          <w:color w:val="auto"/>
          <w:sz w:val="24"/>
          <w:highlight w:val="none"/>
        </w:rPr>
        <w:t>。</w:t>
      </w:r>
    </w:p>
    <w:p>
      <w:pPr>
        <w:topLinePunct/>
        <w:spacing w:line="50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5.6乙方不得随意更换项目负责人及</w:t>
      </w:r>
      <w:r>
        <w:rPr>
          <w:rFonts w:hint="eastAsia" w:asciiTheme="minorEastAsia" w:hAnsiTheme="minorEastAsia" w:eastAsiaTheme="minorEastAsia" w:cstheme="minorEastAsia"/>
          <w:color w:val="auto"/>
          <w:sz w:val="24"/>
          <w:szCs w:val="24"/>
          <w:highlight w:val="none"/>
          <w:lang w:val="en-US" w:eastAsia="zh-CN"/>
        </w:rPr>
        <w:t>附件</w:t>
      </w: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val="en-US" w:eastAsia="zh-CN"/>
        </w:rPr>
        <w:t>中的</w:t>
      </w:r>
      <w:r>
        <w:rPr>
          <w:rFonts w:hint="eastAsia" w:asciiTheme="minorEastAsia" w:hAnsiTheme="minorEastAsia" w:eastAsiaTheme="minorEastAsia" w:cstheme="minorEastAsia"/>
          <w:color w:val="auto"/>
          <w:sz w:val="24"/>
          <w:szCs w:val="24"/>
          <w:highlight w:val="none"/>
        </w:rPr>
        <w:t>相关人员，如确须更换，应提前征得甲方同意。如有违反，甲方有权解除合同并要求乙方支付</w:t>
      </w:r>
      <w:r>
        <w:rPr>
          <w:rFonts w:hint="eastAsia" w:asciiTheme="minorEastAsia" w:hAnsiTheme="minorEastAsia" w:eastAsiaTheme="minorEastAsia" w:cstheme="minorEastAsia"/>
          <w:color w:val="auto"/>
          <w:sz w:val="24"/>
          <w:szCs w:val="24"/>
          <w:highlight w:val="none"/>
          <w:u w:val="single"/>
          <w:lang w:val="en-US" w:eastAsia="zh-CN"/>
        </w:rPr>
        <w:t>5000</w:t>
      </w:r>
      <w:r>
        <w:rPr>
          <w:rFonts w:hint="eastAsia" w:asciiTheme="minorEastAsia" w:hAnsiTheme="minorEastAsia" w:eastAsiaTheme="minorEastAsia" w:cstheme="minorEastAsia"/>
          <w:color w:val="auto"/>
          <w:sz w:val="24"/>
          <w:szCs w:val="24"/>
          <w:highlight w:val="none"/>
          <w:u w:val="single"/>
        </w:rPr>
        <w:t>元/人次</w:t>
      </w:r>
      <w:r>
        <w:rPr>
          <w:rFonts w:hint="eastAsia" w:asciiTheme="minorEastAsia" w:hAnsiTheme="minorEastAsia" w:eastAsiaTheme="minorEastAsia" w:cstheme="minorEastAsia"/>
          <w:color w:val="auto"/>
          <w:sz w:val="24"/>
          <w:szCs w:val="24"/>
          <w:highlight w:val="none"/>
        </w:rPr>
        <w:t>作为违约金，以及赔偿由此造成的一切损失(包含质量安全事故、工期延误、增加投资等)。</w:t>
      </w:r>
      <w:r>
        <w:rPr>
          <w:rFonts w:hint="eastAsia" w:asciiTheme="minorEastAsia" w:hAnsiTheme="minorEastAsia" w:eastAsiaTheme="minorEastAsia" w:cstheme="minorEastAsia"/>
          <w:color w:val="auto"/>
          <w:sz w:val="24"/>
          <w:szCs w:val="24"/>
          <w:highlight w:val="none"/>
          <w:lang w:val="en-US" w:eastAsia="zh-CN"/>
        </w:rPr>
        <w:t xml:space="preserve"> </w:t>
      </w:r>
    </w:p>
    <w:p>
      <w:pPr>
        <w:topLinePunct/>
        <w:spacing w:line="500" w:lineRule="exact"/>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5.7施工过程中，项目负责人应驻场管理，否则甲方有权要求乙方支付违约</w:t>
      </w:r>
      <w:r>
        <w:rPr>
          <w:rFonts w:hint="eastAsia" w:asciiTheme="minorEastAsia" w:hAnsiTheme="minorEastAsia" w:eastAsiaTheme="minorEastAsia" w:cstheme="minorEastAsia"/>
          <w:color w:val="auto"/>
          <w:sz w:val="24"/>
          <w:szCs w:val="24"/>
          <w:highlight w:val="none"/>
          <w:u w:val="single"/>
          <w:lang w:val="en-US" w:eastAsia="zh-CN"/>
        </w:rPr>
        <w:t xml:space="preserve"> 1000元/天</w:t>
      </w:r>
      <w:r>
        <w:rPr>
          <w:rFonts w:hint="eastAsia" w:asciiTheme="minorEastAsia" w:hAnsiTheme="minorEastAsia" w:eastAsiaTheme="minorEastAsia" w:cstheme="minorEastAsia"/>
          <w:color w:val="auto"/>
          <w:sz w:val="24"/>
          <w:szCs w:val="24"/>
          <w:highlight w:val="none"/>
          <w:lang w:val="en-US" w:eastAsia="zh-CN"/>
        </w:rPr>
        <w:t>，因此造成损失的，按实际发生额赔偿。</w:t>
      </w:r>
    </w:p>
    <w:p>
      <w:pPr>
        <w:pStyle w:val="46"/>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5.8施工过程中，乙方应负责配备现场的应急物资。具体应急物资配备详见附件应急救援物资清单。（如需）</w:t>
      </w:r>
    </w:p>
    <w:p>
      <w:pPr>
        <w:topLinePunct/>
        <w:spacing w:line="500" w:lineRule="exact"/>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5.9</w:t>
      </w:r>
      <w:r>
        <w:rPr>
          <w:rFonts w:hint="eastAsia" w:asciiTheme="minorEastAsia" w:hAnsiTheme="minorEastAsia" w:eastAsiaTheme="minorEastAsia" w:cstheme="minorEastAsia"/>
          <w:color w:val="auto"/>
          <w:sz w:val="24"/>
          <w:szCs w:val="24"/>
          <w:highlight w:val="none"/>
        </w:rPr>
        <w:t>在合同有效期内，若乙方发生不诚信行为情形的，乙方自愿接受甲方按</w:t>
      </w:r>
      <w:r>
        <w:rPr>
          <w:rFonts w:hint="eastAsia" w:asciiTheme="minorEastAsia" w:hAnsiTheme="minorEastAsia" w:eastAsiaTheme="minorEastAsia" w:cstheme="minorEastAsia"/>
          <w:color w:val="auto"/>
          <w:sz w:val="24"/>
          <w:szCs w:val="24"/>
          <w:highlight w:val="none"/>
          <w:lang w:eastAsia="zh-CN"/>
        </w:rPr>
        <w:t>《广州市净水有限公司经营建设项目参建企业不诚信行为管理办法》</w:t>
      </w:r>
      <w:r>
        <w:rPr>
          <w:rFonts w:hint="eastAsia" w:asciiTheme="minorEastAsia" w:hAnsiTheme="minorEastAsia" w:eastAsiaTheme="minorEastAsia" w:cstheme="minorEastAsia"/>
          <w:color w:val="auto"/>
          <w:sz w:val="24"/>
          <w:szCs w:val="24"/>
          <w:highlight w:val="none"/>
        </w:rPr>
        <w:t>处理</w:t>
      </w:r>
      <w:r>
        <w:rPr>
          <w:rFonts w:hint="eastAsia" w:asciiTheme="minorEastAsia" w:hAnsiTheme="minorEastAsia" w:eastAsiaTheme="minorEastAsia" w:cstheme="minorEastAsia"/>
          <w:color w:val="auto"/>
          <w:sz w:val="24"/>
          <w:szCs w:val="24"/>
          <w:highlight w:val="none"/>
          <w:lang w:eastAsia="zh-CN"/>
        </w:rPr>
        <w:t>，具体处理标准详见附件</w:t>
      </w:r>
      <w:r>
        <w:rPr>
          <w:rFonts w:hint="eastAsia" w:asciiTheme="minorEastAsia" w:hAnsiTheme="minorEastAsia" w:eastAsiaTheme="minorEastAsia" w:cstheme="minorEastAsia"/>
          <w:color w:val="auto"/>
          <w:sz w:val="24"/>
          <w:szCs w:val="24"/>
          <w:highlight w:val="none"/>
          <w:lang w:val="en-US" w:eastAsia="zh-CN"/>
        </w:rPr>
        <w:t>3。</w:t>
      </w:r>
    </w:p>
    <w:p>
      <w:pPr>
        <w:pStyle w:val="46"/>
        <w:rPr>
          <w:rFonts w:hint="eastAsia"/>
          <w:color w:val="auto"/>
          <w:highlight w:val="none"/>
        </w:rPr>
      </w:pPr>
    </w:p>
    <w:p>
      <w:pPr>
        <w:tabs>
          <w:tab w:val="left" w:pos="851"/>
        </w:tabs>
        <w:adjustRightInd w:val="0"/>
        <w:snapToGrid w:val="0"/>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第六条</w:t>
      </w:r>
      <w:r>
        <w:rPr>
          <w:rFonts w:hint="eastAsia" w:ascii="宋体" w:hAnsi="宋体" w:cs="宋体"/>
          <w:b/>
          <w:color w:val="auto"/>
          <w:sz w:val="24"/>
          <w:highlight w:val="none"/>
          <w:lang w:val="en-US" w:eastAsia="zh-CN"/>
        </w:rPr>
        <w:t xml:space="preserve"> </w:t>
      </w:r>
      <w:r>
        <w:rPr>
          <w:rFonts w:hint="eastAsia" w:ascii="宋体" w:hAnsi="宋体" w:cs="宋体"/>
          <w:b/>
          <w:color w:val="auto"/>
          <w:sz w:val="24"/>
          <w:highlight w:val="none"/>
        </w:rPr>
        <w:t>实施条件及管理要求</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hint="eastAsia" w:ascii="宋体" w:hAnsi="宋体" w:cs="宋体"/>
          <w:color w:val="auto"/>
          <w:sz w:val="24"/>
          <w:highlight w:val="none"/>
          <w:u w:val="single"/>
        </w:rPr>
        <w:t>（</w:t>
      </w:r>
      <w:r>
        <w:rPr>
          <w:rFonts w:ascii="宋体" w:hAnsi="宋体" w:cs="宋体"/>
          <w:color w:val="auto"/>
          <w:sz w:val="24"/>
          <w:highlight w:val="none"/>
          <w:u w:val="single"/>
        </w:rPr>
        <w:t>1</w:t>
      </w:r>
      <w:r>
        <w:rPr>
          <w:rFonts w:hint="eastAsia"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hint="eastAsia" w:ascii="宋体" w:hAnsi="宋体" w:cs="宋体"/>
          <w:color w:val="auto"/>
          <w:sz w:val="24"/>
          <w:highlight w:val="none"/>
          <w:u w:val="single"/>
        </w:rPr>
        <w:t>（</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）由乙方自行负责。</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384" w:lineRule="auto"/>
        <w:rPr>
          <w:rFonts w:hAnsi="宋体" w:cs="宋体"/>
          <w:b/>
          <w:bCs/>
          <w:color w:val="auto"/>
          <w:sz w:val="24"/>
          <w:szCs w:val="24"/>
          <w:highlight w:val="none"/>
        </w:rPr>
      </w:pPr>
      <w:r>
        <w:rPr>
          <w:rFonts w:hint="eastAsia" w:hAnsi="宋体" w:cs="宋体"/>
          <w:b/>
          <w:bCs/>
          <w:color w:val="auto"/>
          <w:sz w:val="24"/>
          <w:szCs w:val="24"/>
          <w:highlight w:val="none"/>
        </w:rPr>
        <w:t>第七条</w:t>
      </w:r>
      <w:r>
        <w:rPr>
          <w:rFonts w:hint="eastAsia" w:hAnsi="宋体" w:cs="宋体"/>
          <w:b/>
          <w:bCs/>
          <w:color w:val="auto"/>
          <w:sz w:val="24"/>
          <w:szCs w:val="24"/>
          <w:highlight w:val="none"/>
          <w:lang w:val="en-US" w:eastAsia="zh-CN"/>
        </w:rPr>
        <w:t xml:space="preserve"> </w:t>
      </w:r>
      <w:r>
        <w:rPr>
          <w:rFonts w:hint="eastAsia" w:hAnsi="宋体" w:cs="宋体"/>
          <w:b/>
          <w:bCs/>
          <w:color w:val="auto"/>
          <w:sz w:val="24"/>
          <w:szCs w:val="24"/>
          <w:highlight w:val="none"/>
        </w:rPr>
        <w:t>材料及设备供应</w:t>
      </w:r>
    </w:p>
    <w:p>
      <w:pPr>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384" w:lineRule="auto"/>
        <w:ind w:left="-2" w:leftChars="-1" w:firstLine="480" w:firstLineChars="200"/>
        <w:rPr>
          <w:rFonts w:ascii="宋体" w:hAnsi="宋体" w:cs="宋体"/>
          <w:color w:val="auto"/>
          <w:sz w:val="24"/>
          <w:highlight w:val="none"/>
        </w:rPr>
      </w:pPr>
      <w:r>
        <w:rPr>
          <w:rFonts w:ascii="宋体" w:hAnsi="宋体" w:cs="宋体"/>
          <w:color w:val="auto"/>
          <w:sz w:val="24"/>
          <w:highlight w:val="none"/>
        </w:rPr>
        <w:t>7.1</w:t>
      </w:r>
      <w:r>
        <w:rPr>
          <w:rFonts w:hint="eastAsia" w:ascii="宋体" w:hAnsi="宋体" w:cs="宋体"/>
          <w:color w:val="auto"/>
          <w:sz w:val="24"/>
          <w:highlight w:val="none"/>
        </w:rPr>
        <w:t>采购供应的材料、其名称、品种、型号、规格、质量等，均应符合国家、地方及行业有关规范及要求。</w:t>
      </w:r>
    </w:p>
    <w:p>
      <w:pPr>
        <w:spacing w:line="384" w:lineRule="auto"/>
        <w:ind w:left="657" w:leftChars="200" w:hanging="237" w:hangingChars="99"/>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w:t>
      </w:r>
      <w:r>
        <w:rPr>
          <w:rFonts w:ascii="宋体" w:hAnsi="宋体" w:cs="宋体"/>
          <w:color w:val="auto"/>
          <w:sz w:val="24"/>
          <w:highlight w:val="none"/>
        </w:rPr>
        <w:t>/</w:t>
      </w:r>
      <w:r>
        <w:rPr>
          <w:rFonts w:hint="eastAsia" w:ascii="宋体" w:hAnsi="宋体" w:cs="宋体"/>
          <w:color w:val="auto"/>
          <w:sz w:val="24"/>
          <w:highlight w:val="none"/>
        </w:rPr>
        <w:t>询价响应文件（如有）上主要材料的明细（包括厂家、规格、品质等级等）提供材料。工程实施时，如发现材料不一致，甲方有权拒用，造成损失由乙方承担。</w:t>
      </w:r>
    </w:p>
    <w:p>
      <w:pPr>
        <w:spacing w:line="384" w:lineRule="auto"/>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spacing w:line="384" w:lineRule="auto"/>
        <w:rPr>
          <w:rFonts w:ascii="宋体" w:hAnsi="宋体" w:cs="宋体"/>
          <w:color w:val="auto"/>
          <w:sz w:val="24"/>
          <w:highlight w:val="none"/>
        </w:rPr>
      </w:pPr>
      <w:r>
        <w:rPr>
          <w:rFonts w:hint="eastAsia" w:ascii="宋体" w:hAnsi="宋体" w:cs="宋体"/>
          <w:b/>
          <w:bCs/>
          <w:color w:val="auto"/>
          <w:sz w:val="24"/>
          <w:highlight w:val="none"/>
        </w:rPr>
        <w:t>第八条</w:t>
      </w:r>
      <w:r>
        <w:rPr>
          <w:rFonts w:hint="eastAsia" w:ascii="宋体" w:hAnsi="宋体" w:cs="宋体"/>
          <w:b/>
          <w:bCs/>
          <w:color w:val="auto"/>
          <w:sz w:val="24"/>
          <w:highlight w:val="none"/>
          <w:lang w:val="en-US" w:eastAsia="zh-CN"/>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384" w:lineRule="auto"/>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Cs/>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sym w:font="Wingdings" w:char="F0A8"/>
      </w:r>
      <w:r>
        <w:rPr>
          <w:rFonts w:hint="eastAsia" w:ascii="宋体" w:hAnsi="宋体" w:cs="宋体"/>
          <w:bCs/>
          <w:color w:val="auto"/>
          <w:sz w:val="24"/>
          <w:highlight w:val="none"/>
        </w:rPr>
        <w:t>有,合同签订后，乙方开具等额的增值税专用发票及提交履约担保担保（如有）后</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hint="eastAsia" w:ascii="宋体" w:hAnsi="宋体" w:cs="宋体"/>
          <w:bCs/>
          <w:color w:val="auto"/>
          <w:sz w:val="24"/>
          <w:highlight w:val="none"/>
          <w:u w:val="single"/>
        </w:rPr>
        <w:t>（不得超过</w:t>
      </w:r>
      <w:r>
        <w:rPr>
          <w:rFonts w:ascii="宋体" w:hAnsi="宋体" w:cs="宋体"/>
          <w:bCs/>
          <w:color w:val="auto"/>
          <w:sz w:val="24"/>
          <w:highlight w:val="none"/>
          <w:u w:val="single"/>
        </w:rPr>
        <w:t>30%</w:t>
      </w:r>
      <w:r>
        <w:rPr>
          <w:rFonts w:hint="eastAsia" w:ascii="宋体" w:hAnsi="宋体" w:cs="宋体"/>
          <w:bCs/>
          <w:color w:val="auto"/>
          <w:sz w:val="24"/>
          <w:highlight w:val="none"/>
          <w:u w:val="single"/>
        </w:rPr>
        <w:t>）</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元，（大写：</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pStyle w:val="13"/>
        <w:keepNext w:val="0"/>
        <w:keepLines w:val="0"/>
        <w:pageBreakBefore w:val="0"/>
        <w:widowControl w:val="0"/>
        <w:kinsoku/>
        <w:wordWrap/>
        <w:overflowPunct/>
        <w:topLinePunct w:val="0"/>
        <w:autoSpaceDE/>
        <w:autoSpaceDN/>
        <w:bidi w:val="0"/>
        <w:spacing w:line="384" w:lineRule="auto"/>
        <w:ind w:firstLine="480" w:firstLineChars="200"/>
        <w:jc w:val="both"/>
        <w:textAlignment w:val="auto"/>
        <w:outlineLvl w:val="1"/>
        <w:rPr>
          <w:rFonts w:hint="eastAsia" w:hAnsi="宋体" w:cs="宋体"/>
          <w:color w:val="auto"/>
          <w:sz w:val="24"/>
          <w:szCs w:val="24"/>
          <w:highlight w:val="none"/>
          <w:u w:val="single"/>
        </w:rPr>
      </w:pPr>
      <w:r>
        <w:rPr>
          <w:rFonts w:hint="eastAsia" w:hAnsi="宋体" w:cs="宋体"/>
          <w:color w:val="auto"/>
          <w:sz w:val="24"/>
          <w:szCs w:val="24"/>
          <w:highlight w:val="none"/>
          <w:lang w:val="en-US" w:eastAsia="zh-CN"/>
        </w:rPr>
        <w:t>8.2</w:t>
      </w:r>
      <w:r>
        <w:rPr>
          <w:rFonts w:hint="eastAsia" w:hAnsi="宋体" w:cs="宋体"/>
          <w:color w:val="auto"/>
          <w:sz w:val="24"/>
          <w:szCs w:val="24"/>
          <w:highlight w:val="none"/>
          <w:u w:val="single"/>
          <w:lang w:val="en-US" w:eastAsia="zh-CN"/>
        </w:rPr>
        <w:t>甲乙双方确认开工报告，乙方根据现场情况编辑施工方案、应急预案等安全备案资料提交净水公司审核备案后，由乙方提交申请支付资料15个工作日内，甲方支付至合同暂定总价的30％</w:t>
      </w:r>
      <w:r>
        <w:rPr>
          <w:rFonts w:hint="eastAsia" w:hAnsi="宋体" w:cs="宋体"/>
          <w:color w:val="auto"/>
          <w:sz w:val="24"/>
          <w:szCs w:val="24"/>
          <w:highlight w:val="none"/>
          <w:u w:val="single"/>
        </w:rPr>
        <w:t>给乙方。即</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项目一</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项目二</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项目三人民币         元（大写：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项目四人民币         元（大写：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项目分项验收分项支付，验收合格后，由乙方提交申请支付资料 15 个工作日内，甲方支付至合同暂定总价的80％给乙方。即</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项目一</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项目二</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项目三</w:t>
      </w:r>
      <w:r>
        <w:rPr>
          <w:rFonts w:hint="eastAsia" w:ascii="宋体" w:hAnsi="宋体" w:cs="宋体" w:eastAsiaTheme="minorEastAsia"/>
          <w:b w:val="0"/>
          <w:color w:val="auto"/>
          <w:sz w:val="24"/>
          <w:szCs w:val="24"/>
          <w:highlight w:val="none"/>
          <w:u w:val="single"/>
        </w:rPr>
        <w:t>人民币</w:t>
      </w:r>
      <w:r>
        <w:rPr>
          <w:rFonts w:hint="eastAsia" w:ascii="宋体" w:hAnsi="宋体" w:cs="宋体" w:eastAsiaTheme="minorEastAsia"/>
          <w:b w:val="0"/>
          <w:color w:val="auto"/>
          <w:sz w:val="24"/>
          <w:szCs w:val="24"/>
          <w:highlight w:val="none"/>
          <w:u w:val="single"/>
          <w:lang w:val="en-US" w:eastAsia="zh-CN"/>
        </w:rPr>
        <w:t xml:space="preserve">         </w:t>
      </w:r>
      <w:r>
        <w:rPr>
          <w:rFonts w:hint="eastAsia" w:ascii="宋体" w:hAnsi="宋体" w:cs="宋体" w:eastAsiaTheme="minorEastAsia"/>
          <w:b w:val="0"/>
          <w:color w:val="auto"/>
          <w:sz w:val="24"/>
          <w:szCs w:val="24"/>
          <w:highlight w:val="none"/>
          <w:u w:val="single"/>
        </w:rPr>
        <w:t>元</w:t>
      </w:r>
      <w:r>
        <w:rPr>
          <w:rFonts w:hint="eastAsia" w:ascii="宋体" w:hAnsi="宋体" w:cs="宋体" w:eastAsiaTheme="minorEastAsia"/>
          <w:color w:val="auto"/>
          <w:sz w:val="24"/>
          <w:szCs w:val="24"/>
          <w:highlight w:val="none"/>
          <w:u w:val="single"/>
          <w:lang w:val="en-US" w:eastAsia="zh-CN"/>
        </w:rPr>
        <w:t>（大写：                  ）；</w:t>
      </w:r>
    </w:p>
    <w:p>
      <w:pPr>
        <w:pStyle w:val="13"/>
        <w:numPr>
          <w:ilvl w:val="0"/>
          <w:numId w:val="0"/>
        </w:numPr>
        <w:spacing w:line="384" w:lineRule="auto"/>
        <w:ind w:firstLine="480" w:firstLineChars="200"/>
        <w:textAlignment w:val="auto"/>
        <w:outlineLvl w:val="1"/>
        <w:rPr>
          <w:rFonts w:hint="eastAsia" w:ascii="宋体" w:hAnsi="宋体" w:cs="宋体" w:eastAsiaTheme="minorEastAsia"/>
          <w:color w:val="auto"/>
          <w:sz w:val="24"/>
          <w:szCs w:val="24"/>
          <w:highlight w:val="none"/>
          <w:u w:val="single"/>
          <w:lang w:val="en-US" w:eastAsia="zh-CN"/>
        </w:rPr>
      </w:pPr>
      <w:r>
        <w:rPr>
          <w:rFonts w:hint="eastAsia" w:ascii="宋体" w:hAnsi="宋体" w:cs="宋体" w:eastAsiaTheme="minorEastAsia"/>
          <w:color w:val="auto"/>
          <w:sz w:val="24"/>
          <w:szCs w:val="24"/>
          <w:highlight w:val="none"/>
          <w:u w:val="single"/>
          <w:lang w:val="en-US" w:eastAsia="zh-CN"/>
        </w:rPr>
        <w:t>项目四人民币         元（大写：                  ）；</w:t>
      </w:r>
    </w:p>
    <w:p>
      <w:pPr>
        <w:tabs>
          <w:tab w:val="left" w:pos="0"/>
        </w:tabs>
        <w:adjustRightInd w:val="0"/>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u w:val="single"/>
          <w:lang w:val="en-US" w:eastAsia="zh-CN"/>
        </w:rPr>
        <w:t>8.</w:t>
      </w:r>
      <w:r>
        <w:rPr>
          <w:rFonts w:ascii="宋体" w:hAnsi="宋体" w:cs="宋体"/>
          <w:color w:val="auto"/>
          <w:sz w:val="24"/>
          <w:highlight w:val="none"/>
        </w:rPr>
        <w:t>2.1</w:t>
      </w:r>
      <w:r>
        <w:rPr>
          <w:rFonts w:hint="eastAsia" w:ascii="宋体" w:hAnsi="宋体" w:cs="宋体"/>
          <w:color w:val="auto"/>
          <w:sz w:val="24"/>
          <w:highlight w:val="none"/>
          <w:u w:val="single"/>
          <w:lang w:val="en-US" w:eastAsia="zh-CN"/>
        </w:rPr>
        <w:t>项目验收合格后，</w:t>
      </w:r>
      <w:r>
        <w:rPr>
          <w:rFonts w:hint="eastAsia" w:ascii="宋体" w:hAnsi="宋体" w:cs="宋体"/>
          <w:color w:val="auto"/>
          <w:sz w:val="24"/>
          <w:highlight w:val="none"/>
          <w:lang w:val="en-US" w:eastAsia="zh-CN"/>
        </w:rPr>
        <w:t>经甲方或</w:t>
      </w:r>
      <w:r>
        <w:rPr>
          <w:rFonts w:hint="eastAsia" w:ascii="宋体" w:hAnsi="宋体" w:cs="宋体"/>
          <w:color w:val="auto"/>
          <w:sz w:val="24"/>
          <w:highlight w:val="none"/>
        </w:rPr>
        <w:t>甲方委托有资质第三方机构审核后，由乙方提交申请支付资料</w:t>
      </w:r>
      <w:r>
        <w:rPr>
          <w:rFonts w:ascii="宋体" w:hAnsi="宋体" w:cs="宋体"/>
          <w:color w:val="auto"/>
          <w:sz w:val="24"/>
          <w:highlight w:val="none"/>
          <w:u w:val="single"/>
        </w:rPr>
        <w:t xml:space="preserve"> 15 </w:t>
      </w:r>
      <w:r>
        <w:rPr>
          <w:rFonts w:hint="eastAsia" w:ascii="宋体" w:hAnsi="宋体" w:cs="宋体"/>
          <w:color w:val="auto"/>
          <w:sz w:val="24"/>
          <w:highlight w:val="none"/>
        </w:rPr>
        <w:t>个工作日内，甲方支付至合同结算价的</w:t>
      </w:r>
      <w:r>
        <w:rPr>
          <w:rFonts w:ascii="宋体" w:hAnsi="宋体" w:cs="宋体"/>
          <w:color w:val="auto"/>
          <w:sz w:val="24"/>
          <w:highlight w:val="none"/>
        </w:rPr>
        <w:t>95%</w:t>
      </w:r>
      <w:r>
        <w:rPr>
          <w:rFonts w:hint="eastAsia" w:ascii="宋体" w:hAnsi="宋体" w:cs="宋体"/>
          <w:color w:val="auto"/>
          <w:sz w:val="24"/>
          <w:highlight w:val="none"/>
        </w:rPr>
        <w:t>。</w:t>
      </w:r>
    </w:p>
    <w:p>
      <w:pPr>
        <w:spacing w:line="384" w:lineRule="auto"/>
        <w:ind w:firstLine="480" w:firstLineChars="200"/>
        <w:outlineLvl w:val="1"/>
        <w:rPr>
          <w:rFonts w:hint="eastAsia"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Ansi="宋体" w:cs="宋体"/>
          <w:color w:val="auto"/>
          <w:sz w:val="24"/>
          <w:highlight w:val="none"/>
          <w:u w:val="single"/>
        </w:rPr>
        <w:t xml:space="preserve"> 15 </w:t>
      </w:r>
      <w:r>
        <w:rPr>
          <w:rFonts w:hint="eastAsia" w:hAnsi="宋体" w:cs="宋体"/>
          <w:color w:val="auto"/>
          <w:sz w:val="24"/>
          <w:highlight w:val="none"/>
        </w:rPr>
        <w:t>个工作日内，甲方支付合同结算价的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4"/>
          <w:highlight w:val="none"/>
        </w:rPr>
      </w:pPr>
      <w:r>
        <w:rPr>
          <w:rFonts w:hint="eastAsia" w:hAnsi="宋体" w:cs="宋体"/>
          <w:color w:val="auto"/>
          <w:sz w:val="24"/>
          <w:szCs w:val="24"/>
          <w:highlight w:val="none"/>
          <w:lang w:val="en-US" w:eastAsia="zh-CN"/>
        </w:rPr>
        <w:t>8.2.3</w:t>
      </w:r>
      <w:r>
        <w:rPr>
          <w:rFonts w:hint="eastAsia" w:hAnsi="宋体" w:cs="宋体"/>
          <w:color w:val="auto"/>
          <w:sz w:val="24"/>
          <w:szCs w:val="24"/>
          <w:highlight w:val="none"/>
        </w:rPr>
        <w:t>本项目工程款的支付单位为：</w:t>
      </w:r>
    </w:p>
    <w:p>
      <w:pPr>
        <w:pStyle w:val="13"/>
        <w:spacing w:line="500" w:lineRule="exact"/>
        <w:ind w:firstLine="480" w:firstLineChars="200"/>
        <w:outlineLvl w:val="1"/>
        <w:rPr>
          <w:rFonts w:hAnsi="宋体" w:cs="宋体"/>
          <w:color w:val="auto"/>
          <w:sz w:val="24"/>
          <w:szCs w:val="20"/>
          <w:highlight w:val="none"/>
        </w:rPr>
      </w:pPr>
      <w:r>
        <w:rPr>
          <w:rFonts w:hint="eastAsia" w:hAnsi="宋体" w:cs="宋体"/>
          <w:color w:val="auto"/>
          <w:sz w:val="24"/>
          <w:szCs w:val="20"/>
          <w:highlight w:val="none"/>
        </w:rPr>
        <w:t>项目一：</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大坦沙</w:t>
      </w:r>
      <w:r>
        <w:rPr>
          <w:rFonts w:hint="eastAsia" w:hAnsi="宋体" w:cs="宋体"/>
          <w:color w:val="auto"/>
          <w:sz w:val="24"/>
          <w:szCs w:val="20"/>
          <w:highlight w:val="none"/>
          <w:u w:val="single"/>
        </w:rPr>
        <w:t>分公司</w:t>
      </w:r>
    </w:p>
    <w:p>
      <w:pPr>
        <w:pStyle w:val="13"/>
        <w:spacing w:line="500" w:lineRule="exact"/>
        <w:ind w:firstLine="480" w:firstLineChars="200"/>
        <w:outlineLvl w:val="1"/>
        <w:rPr>
          <w:rFonts w:hint="eastAsia" w:hAnsi="宋体" w:cs="宋体"/>
          <w:color w:val="auto"/>
          <w:sz w:val="24"/>
          <w:szCs w:val="20"/>
          <w:highlight w:val="none"/>
          <w:u w:val="single"/>
        </w:rPr>
      </w:pPr>
      <w:r>
        <w:rPr>
          <w:rFonts w:hint="eastAsia" w:hAnsi="宋体" w:cs="宋体"/>
          <w:color w:val="auto"/>
          <w:sz w:val="24"/>
          <w:szCs w:val="20"/>
          <w:highlight w:val="none"/>
        </w:rPr>
        <w:t>项目二：</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石井净</w:t>
      </w:r>
      <w:r>
        <w:rPr>
          <w:rFonts w:hint="eastAsia" w:hAnsi="宋体" w:cs="宋体"/>
          <w:color w:val="auto"/>
          <w:sz w:val="24"/>
          <w:szCs w:val="20"/>
          <w:highlight w:val="none"/>
          <w:u w:val="single"/>
        </w:rPr>
        <w:t>分公司</w:t>
      </w:r>
    </w:p>
    <w:p>
      <w:pPr>
        <w:pStyle w:val="13"/>
        <w:spacing w:line="500" w:lineRule="exact"/>
        <w:ind w:firstLine="480" w:firstLineChars="200"/>
        <w:outlineLvl w:val="1"/>
        <w:rPr>
          <w:rFonts w:hint="eastAsia" w:hAnsi="宋体" w:cs="宋体"/>
          <w:color w:val="auto"/>
          <w:sz w:val="24"/>
          <w:szCs w:val="20"/>
          <w:highlight w:val="none"/>
          <w:u w:val="single"/>
        </w:rPr>
      </w:pPr>
      <w:r>
        <w:rPr>
          <w:rFonts w:hint="eastAsia" w:hAnsi="宋体" w:cs="宋体"/>
          <w:color w:val="auto"/>
          <w:sz w:val="24"/>
          <w:szCs w:val="20"/>
          <w:highlight w:val="none"/>
        </w:rPr>
        <w:t>项目</w:t>
      </w:r>
      <w:r>
        <w:rPr>
          <w:rFonts w:hint="eastAsia" w:hAnsi="宋体" w:cs="宋体"/>
          <w:color w:val="auto"/>
          <w:sz w:val="24"/>
          <w:szCs w:val="20"/>
          <w:highlight w:val="none"/>
          <w:lang w:val="en-US" w:eastAsia="zh-CN"/>
        </w:rPr>
        <w:t>三</w:t>
      </w:r>
      <w:r>
        <w:rPr>
          <w:rFonts w:hint="eastAsia" w:hAnsi="宋体" w:cs="宋体"/>
          <w:color w:val="auto"/>
          <w:sz w:val="24"/>
          <w:szCs w:val="20"/>
          <w:highlight w:val="none"/>
        </w:rPr>
        <w:t>：</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江高</w:t>
      </w:r>
      <w:r>
        <w:rPr>
          <w:rFonts w:hint="eastAsia" w:hAnsi="宋体" w:cs="宋体"/>
          <w:color w:val="auto"/>
          <w:sz w:val="24"/>
          <w:szCs w:val="20"/>
          <w:highlight w:val="none"/>
          <w:u w:val="single"/>
        </w:rPr>
        <w:t>分公司</w:t>
      </w:r>
    </w:p>
    <w:p>
      <w:pPr>
        <w:pStyle w:val="13"/>
        <w:spacing w:line="500" w:lineRule="exact"/>
        <w:ind w:firstLine="480" w:firstLineChars="200"/>
        <w:outlineLvl w:val="1"/>
        <w:rPr>
          <w:rFonts w:hint="default" w:hAnsi="宋体" w:eastAsia="宋体" w:cs="宋体"/>
          <w:color w:val="auto"/>
          <w:sz w:val="24"/>
          <w:szCs w:val="24"/>
          <w:highlight w:val="none"/>
          <w:lang w:val="en-US" w:eastAsia="zh-CN"/>
        </w:rPr>
      </w:pPr>
      <w:r>
        <w:rPr>
          <w:rFonts w:hint="eastAsia" w:hAnsi="宋体" w:cs="宋体"/>
          <w:color w:val="auto"/>
          <w:sz w:val="24"/>
          <w:szCs w:val="20"/>
          <w:highlight w:val="none"/>
        </w:rPr>
        <w:t>项目</w:t>
      </w:r>
      <w:r>
        <w:rPr>
          <w:rFonts w:hint="eastAsia" w:hAnsi="宋体" w:cs="宋体"/>
          <w:color w:val="auto"/>
          <w:sz w:val="24"/>
          <w:szCs w:val="20"/>
          <w:highlight w:val="none"/>
          <w:lang w:val="en-US" w:eastAsia="zh-CN"/>
        </w:rPr>
        <w:t>四</w:t>
      </w:r>
      <w:r>
        <w:rPr>
          <w:rFonts w:hint="eastAsia" w:hAnsi="宋体" w:cs="宋体"/>
          <w:color w:val="auto"/>
          <w:sz w:val="24"/>
          <w:szCs w:val="20"/>
          <w:highlight w:val="none"/>
        </w:rPr>
        <w:t>：</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江高</w:t>
      </w:r>
      <w:r>
        <w:rPr>
          <w:rFonts w:hint="eastAsia" w:hAnsi="宋体" w:cs="宋体"/>
          <w:color w:val="auto"/>
          <w:sz w:val="24"/>
          <w:szCs w:val="20"/>
          <w:highlight w:val="none"/>
          <w:u w:val="single"/>
        </w:rPr>
        <w:t>分公司</w:t>
      </w:r>
    </w:p>
    <w:p>
      <w:pPr>
        <w:spacing w:line="384" w:lineRule="auto"/>
        <w:ind w:firstLine="480" w:firstLineChars="200"/>
        <w:rPr>
          <w:rFonts w:ascii="宋体" w:hAnsi="宋体" w:cs="宋体"/>
          <w:color w:val="auto"/>
          <w:sz w:val="24"/>
          <w:highlight w:val="none"/>
          <w:u w:val="single"/>
        </w:rPr>
      </w:pPr>
      <w:r>
        <w:rPr>
          <w:rFonts w:ascii="宋体" w:hAnsi="宋体" w:cs="宋体"/>
          <w:color w:val="auto"/>
          <w:sz w:val="24"/>
          <w:highlight w:val="none"/>
        </w:rPr>
        <w:t>8.3</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w:t>
      </w:r>
    </w:p>
    <w:p>
      <w:pPr>
        <w:spacing w:line="384"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收款账号：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w:t>
      </w:r>
    </w:p>
    <w:p>
      <w:pPr>
        <w:spacing w:line="384"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开户行：</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名称：广州市净水有限公司</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 xml:space="preserve">税号：9144 0101 75558 4729Q   </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u w:val="single"/>
          <w:lang w:val="en-US" w:eastAsia="zh-CN"/>
        </w:rPr>
        <w:t xml:space="preserve">地址：广州市天河区临江大道501号/020-38890283   </w:t>
      </w:r>
    </w:p>
    <w:p>
      <w:pPr>
        <w:keepNext w:val="0"/>
        <w:keepLines w:val="0"/>
        <w:pageBreakBefore w:val="0"/>
        <w:kinsoku/>
        <w:wordWrap/>
        <w:overflowPunct/>
        <w:topLinePunct w:val="0"/>
        <w:autoSpaceDE/>
        <w:autoSpaceDN/>
        <w:bidi w:val="0"/>
        <w:spacing w:line="500" w:lineRule="exact"/>
        <w:ind w:firstLine="480" w:firstLineChars="200"/>
        <w:textAlignment w:val="auto"/>
        <w:outlineLvl w:val="0"/>
        <w:rPr>
          <w:rFonts w:hint="eastAsia" w:asciiTheme="minorEastAsia" w:hAnsiTheme="minorEastAsia" w:eastAsiaTheme="minorEastAsia" w:cstheme="minorEastAsia"/>
          <w:color w:val="auto"/>
          <w:sz w:val="24"/>
          <w:highlight w:val="none"/>
        </w:rPr>
      </w:pPr>
      <w:r>
        <w:rPr>
          <w:rFonts w:hint="eastAsia" w:ascii="宋体" w:hAnsi="宋体" w:eastAsia="宋体" w:cs="宋体"/>
          <w:color w:val="auto"/>
          <w:sz w:val="24"/>
          <w:highlight w:val="none"/>
          <w:u w:val="single"/>
          <w:lang w:val="en-US" w:eastAsia="zh-CN"/>
        </w:rPr>
        <w:t>开户行及账号：民生银行广州分行  0301014140006932  。</w:t>
      </w:r>
    </w:p>
    <w:p>
      <w:pPr>
        <w:spacing w:line="384" w:lineRule="auto"/>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宋体" w:hAnsi="宋体" w:cs="宋体"/>
          <w:color w:val="auto"/>
          <w:szCs w:val="21"/>
          <w:highlight w:val="none"/>
        </w:rPr>
        <w:sym w:font="Wingdings 2" w:char="0052"/>
      </w:r>
      <w:r>
        <w:rPr>
          <w:rFonts w:hint="eastAsia" w:ascii="宋体" w:hAnsi="宋体" w:cs="宋体"/>
          <w:bCs/>
          <w:color w:val="auto"/>
          <w:sz w:val="24"/>
          <w:highlight w:val="none"/>
        </w:rPr>
        <w:t>无；</w:t>
      </w:r>
      <w:r>
        <w:rPr>
          <w:rFonts w:hint="eastAsia" w:ascii="宋体" w:hAnsi="宋体" w:cs="宋体"/>
          <w:color w:val="auto"/>
          <w:szCs w:val="21"/>
          <w:highlight w:val="none"/>
        </w:rPr>
        <w:t>□有,</w:t>
      </w:r>
      <w:r>
        <w:rPr>
          <w:rFonts w:hint="eastAsia" w:ascii="宋体" w:hAnsi="宋体" w:cs="宋体"/>
          <w:color w:val="auto"/>
          <w:sz w:val="24"/>
          <w:highlight w:val="none"/>
        </w:rPr>
        <w:t>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384" w:lineRule="auto"/>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360" w:lineRule="auto"/>
        <w:ind w:firstLine="480"/>
        <w:rPr>
          <w:color w:val="auto"/>
          <w:highlight w:val="none"/>
        </w:rPr>
      </w:pPr>
      <w:r>
        <w:rPr>
          <w:rFonts w:hint="eastAsia"/>
          <w:color w:val="auto"/>
          <w:highlight w:val="none"/>
        </w:rPr>
        <w:t>（1）符合甲方要求（详见附件7保函格式）的银行独立保函，</w:t>
      </w:r>
    </w:p>
    <w:p>
      <w:pPr>
        <w:pStyle w:val="22"/>
        <w:spacing w:before="0" w:beforeAutospacing="0" w:after="0" w:afterAutospacing="0" w:line="360" w:lineRule="auto"/>
        <w:ind w:firstLine="480"/>
        <w:rPr>
          <w:color w:val="auto"/>
          <w:highlight w:val="none"/>
        </w:rPr>
      </w:pPr>
      <w:r>
        <w:rPr>
          <w:rFonts w:hint="eastAsia"/>
          <w:color w:val="auto"/>
          <w:highlight w:val="none"/>
        </w:rPr>
        <w:t>（2）现金转账至甲方以下指定账户：</w:t>
      </w:r>
    </w:p>
    <w:p>
      <w:pPr>
        <w:tabs>
          <w:tab w:val="left" w:pos="1995"/>
        </w:tabs>
        <w:spacing w:line="384"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384"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384"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384" w:lineRule="auto"/>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384" w:lineRule="auto"/>
        <w:ind w:firstLine="480"/>
        <w:outlineLvl w:val="0"/>
        <w:rPr>
          <w:rFonts w:ascii="宋体" w:hAnsi="宋体" w:cs="宋体"/>
          <w:color w:val="auto"/>
          <w:sz w:val="24"/>
          <w:highlight w:val="none"/>
        </w:rPr>
      </w:pPr>
      <w:r>
        <w:rPr>
          <w:rFonts w:hint="eastAsia" w:ascii="宋体" w:hAnsi="宋体" w:cs="宋体"/>
          <w:color w:val="auto"/>
          <w:sz w:val="24"/>
          <w:highlight w:val="none"/>
        </w:rPr>
        <w:t>⑴履约银行保函（或现金履约保证金）的担保期限：从提供履约担保（或转账成功）之日起至合同履行完成。</w:t>
      </w:r>
    </w:p>
    <w:p>
      <w:pPr>
        <w:spacing w:line="384"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⑵履约银行保函在合同履行完成后，由乙方提出申请，甲方在28日内返还，不支付利息：</w:t>
      </w:r>
    </w:p>
    <w:p>
      <w:pPr>
        <w:spacing w:line="384" w:lineRule="auto"/>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⑶延长担保期限。乙方以履约银行保函形式提交履约保证金的，在银行保函到期前，乙方应提前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384" w:lineRule="auto"/>
        <w:ind w:firstLine="480" w:firstLineChars="20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28日</w:t>
      </w:r>
      <w:r>
        <w:rPr>
          <w:rFonts w:hint="eastAsia" w:cs="宋体"/>
          <w:color w:val="auto"/>
          <w:highlight w:val="none"/>
        </w:rPr>
        <w:t>内将剩余保证金（无息）返还。</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7 </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hint="eastAsia" w:asciiTheme="minorEastAsia" w:hAnsiTheme="minorEastAsia" w:eastAsiaTheme="minorEastAsia" w:cstheme="minorEastAsia"/>
          <w:color w:val="auto"/>
          <w:sz w:val="24"/>
          <w:highlight w:val="none"/>
        </w:rPr>
      </w:pPr>
      <w:r>
        <w:rPr>
          <w:rFonts w:hAnsi="宋体" w:cs="宋体"/>
          <w:color w:val="auto"/>
          <w:sz w:val="24"/>
          <w:highlight w:val="none"/>
        </w:rPr>
        <w:t>8.6</w:t>
      </w:r>
      <w:r>
        <w:rPr>
          <w:rFonts w:hint="eastAsia" w:asciiTheme="minorEastAsia" w:hAnsiTheme="minorEastAsia" w:eastAsiaTheme="minorEastAsia" w:cstheme="minorEastAsia"/>
          <w:color w:val="auto"/>
          <w:sz w:val="24"/>
          <w:highlight w:val="none"/>
        </w:rPr>
        <w:t xml:space="preserve">付款方式： </w:t>
      </w:r>
      <w:r>
        <w:rPr>
          <w:rFonts w:hint="eastAsia" w:asciiTheme="minorEastAsia" w:hAnsiTheme="minorEastAsia" w:eastAsiaTheme="minorEastAsia" w:cstheme="minorEastAsia"/>
          <w:color w:val="auto"/>
          <w:sz w:val="24"/>
          <w:highlight w:val="none"/>
        </w:rPr>
        <w:sym w:font="Wingdings" w:char="00FE"/>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p>
    <w:p>
      <w:pPr>
        <w:spacing w:line="384"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第九条竣工验收</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w:t>
      </w:r>
      <w:r>
        <w:rPr>
          <w:rFonts w:ascii="宋体" w:hAnsi="宋体" w:cs="宋体"/>
          <w:color w:val="auto"/>
          <w:sz w:val="24"/>
          <w:highlight w:val="none"/>
        </w:rPr>
        <w:t>30</w:t>
      </w:r>
      <w:r>
        <w:rPr>
          <w:rFonts w:hint="eastAsia" w:ascii="宋体" w:hAnsi="宋体" w:cs="宋体"/>
          <w:color w:val="auto"/>
          <w:sz w:val="24"/>
          <w:highlight w:val="none"/>
        </w:rPr>
        <w:t>天内将经甲方审核的完整竣工资料（含竣工图）和竣工验收报告各</w:t>
      </w:r>
      <w:r>
        <w:rPr>
          <w:rFonts w:hint="eastAsia" w:ascii="宋体" w:hAnsi="宋体" w:cs="宋体"/>
          <w:color w:val="auto"/>
          <w:sz w:val="24"/>
          <w:highlight w:val="none"/>
          <w:u w:val="single"/>
        </w:rPr>
        <w:t>一式四份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w:t>
      </w:r>
      <w:r>
        <w:rPr>
          <w:rFonts w:ascii="宋体" w:hAnsi="宋体" w:cs="宋体"/>
          <w:color w:val="auto"/>
          <w:sz w:val="24"/>
          <w:highlight w:val="none"/>
        </w:rPr>
        <w:t>/</w:t>
      </w:r>
      <w:r>
        <w:rPr>
          <w:rFonts w:hint="eastAsia" w:ascii="宋体" w:hAnsi="宋体" w:cs="宋体"/>
          <w:color w:val="auto"/>
          <w:sz w:val="24"/>
          <w:highlight w:val="none"/>
        </w:rPr>
        <w:t>竣工报告、安全备案整套资料、本合同书、询价文件</w:t>
      </w:r>
      <w:r>
        <w:rPr>
          <w:rFonts w:ascii="宋体" w:hAnsi="宋体" w:cs="宋体"/>
          <w:color w:val="auto"/>
          <w:sz w:val="24"/>
          <w:highlight w:val="none"/>
        </w:rPr>
        <w:t>/</w:t>
      </w:r>
      <w:r>
        <w:rPr>
          <w:rFonts w:hint="eastAsia" w:ascii="宋体" w:hAnsi="宋体" w:cs="宋体"/>
          <w:color w:val="auto"/>
          <w:sz w:val="24"/>
          <w:highlight w:val="none"/>
        </w:rPr>
        <w:t>响应文件、中标通知书</w:t>
      </w:r>
      <w:r>
        <w:rPr>
          <w:rFonts w:ascii="宋体" w:hAnsi="宋体" w:cs="宋体"/>
          <w:color w:val="auto"/>
          <w:sz w:val="24"/>
          <w:highlight w:val="none"/>
        </w:rPr>
        <w:t>/</w:t>
      </w:r>
      <w:r>
        <w:rPr>
          <w:rFonts w:hint="eastAsia" w:ascii="宋体" w:hAnsi="宋体" w:cs="宋体"/>
          <w:color w:val="auto"/>
          <w:sz w:val="24"/>
          <w:highlight w:val="none"/>
        </w:rPr>
        <w:t>发包通知书</w:t>
      </w:r>
      <w:r>
        <w:rPr>
          <w:rFonts w:ascii="宋体" w:hAnsi="宋体" w:cs="宋体"/>
          <w:color w:val="auto"/>
          <w:sz w:val="24"/>
          <w:highlight w:val="none"/>
        </w:rPr>
        <w:t>/</w:t>
      </w:r>
      <w:r>
        <w:rPr>
          <w:rFonts w:hint="eastAsia" w:ascii="宋体" w:hAnsi="宋体" w:cs="宋体"/>
          <w:color w:val="auto"/>
          <w:sz w:val="24"/>
          <w:highlight w:val="none"/>
        </w:rPr>
        <w:t>委托书、工程预算送审报告、工程结算书</w:t>
      </w:r>
      <w:r>
        <w:rPr>
          <w:rFonts w:ascii="宋体" w:hAnsi="宋体" w:cs="宋体"/>
          <w:color w:val="auto"/>
          <w:sz w:val="24"/>
          <w:highlight w:val="none"/>
        </w:rPr>
        <w:t>/</w:t>
      </w:r>
      <w:r>
        <w:rPr>
          <w:rFonts w:hint="eastAsia" w:ascii="宋体" w:hAnsi="宋体" w:cs="宋体"/>
          <w:color w:val="auto"/>
          <w:sz w:val="24"/>
          <w:highlight w:val="none"/>
        </w:rPr>
        <w:t>签证记录、备件开箱记录表或送货单、竣工图等，如有必须提供）和竣工验收报告后</w:t>
      </w:r>
      <w:r>
        <w:rPr>
          <w:rFonts w:ascii="宋体" w:hAnsi="宋体" w:cs="宋体"/>
          <w:color w:val="auto"/>
          <w:sz w:val="24"/>
          <w:highlight w:val="none"/>
        </w:rPr>
        <w:t>20</w:t>
      </w:r>
      <w:r>
        <w:rPr>
          <w:rFonts w:hint="eastAsia" w:ascii="宋体" w:hAnsi="宋体" w:cs="宋体"/>
          <w:color w:val="auto"/>
          <w:sz w:val="24"/>
          <w:highlight w:val="none"/>
        </w:rPr>
        <w:t>天内组织有关单位进行验收，工程竣工验收严格按国家、省、市、部门有关文件执行，并在验收后</w:t>
      </w:r>
      <w:r>
        <w:rPr>
          <w:rFonts w:ascii="宋体" w:hAnsi="宋体" w:cs="宋体"/>
          <w:color w:val="auto"/>
          <w:sz w:val="24"/>
          <w:highlight w:val="none"/>
        </w:rPr>
        <w:t>10</w:t>
      </w:r>
      <w:r>
        <w:rPr>
          <w:rFonts w:hint="eastAsia" w:ascii="宋体" w:hAnsi="宋体" w:cs="宋体"/>
          <w:color w:val="auto"/>
          <w:sz w:val="24"/>
          <w:highlight w:val="none"/>
        </w:rPr>
        <w:t>天内给予认可或提出修改意见。乙方按要求修改，并承担修改的费用。</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384" w:lineRule="auto"/>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84" w:lineRule="auto"/>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384" w:lineRule="auto"/>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384" w:lineRule="auto"/>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w:t>
      </w:r>
      <w:r>
        <w:rPr>
          <w:rFonts w:ascii="宋体" w:hAnsi="宋体" w:cs="宋体"/>
          <w:color w:val="auto"/>
          <w:sz w:val="24"/>
          <w:highlight w:val="none"/>
        </w:rPr>
        <w:t>30</w:t>
      </w:r>
      <w:r>
        <w:rPr>
          <w:rFonts w:hint="eastAsia" w:ascii="宋体" w:hAnsi="宋体" w:cs="宋体"/>
          <w:color w:val="auto"/>
          <w:sz w:val="24"/>
          <w:highlight w:val="none"/>
        </w:rPr>
        <w:t>天内将竣工档案提交甲方签认。乙方应于甲方签认后</w:t>
      </w:r>
      <w:r>
        <w:rPr>
          <w:rFonts w:ascii="宋体" w:hAnsi="宋体" w:cs="宋体"/>
          <w:color w:val="auto"/>
          <w:sz w:val="24"/>
          <w:highlight w:val="none"/>
        </w:rPr>
        <w:t>10</w:t>
      </w:r>
      <w:r>
        <w:rPr>
          <w:rFonts w:hint="eastAsia" w:ascii="宋体" w:hAnsi="宋体" w:cs="宋体"/>
          <w:color w:val="auto"/>
          <w:sz w:val="24"/>
          <w:highlight w:val="none"/>
        </w:rPr>
        <w:t>天内将竣工档案移交给甲方归档并同时移交有关归档的证明文件。甲方经审查合格的，应在收到竣工档案后</w:t>
      </w:r>
      <w:r>
        <w:rPr>
          <w:rFonts w:ascii="宋体" w:hAnsi="宋体" w:cs="宋体"/>
          <w:color w:val="auto"/>
          <w:sz w:val="24"/>
          <w:highlight w:val="none"/>
        </w:rPr>
        <w:t>10</w:t>
      </w:r>
      <w:r>
        <w:rPr>
          <w:rFonts w:hint="eastAsia" w:ascii="宋体" w:hAnsi="宋体" w:cs="宋体"/>
          <w:color w:val="auto"/>
          <w:sz w:val="24"/>
          <w:highlight w:val="none"/>
        </w:rPr>
        <w:t>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384" w:lineRule="auto"/>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384" w:lineRule="auto"/>
        <w:ind w:firstLine="480"/>
        <w:rPr>
          <w:rFonts w:hint="eastAsia"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asciiTheme="minorEastAsia" w:hAnsi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9.5</w:t>
      </w:r>
      <w:r>
        <w:rPr>
          <w:rFonts w:hint="eastAsia" w:asciiTheme="minorEastAsia" w:hAnsiTheme="minorEastAsia" w:eastAsiaTheme="minorEastAsia" w:cstheme="minorEastAsia"/>
          <w:color w:val="auto"/>
          <w:sz w:val="24"/>
          <w:szCs w:val="24"/>
          <w:highlight w:val="none"/>
        </w:rPr>
        <w:t>本合同竣工验收结算单位为</w:t>
      </w:r>
      <w:r>
        <w:rPr>
          <w:rFonts w:hint="eastAsia" w:asciiTheme="minorEastAsia" w:hAnsiTheme="minorEastAsia" w:cstheme="minorEastAsia"/>
          <w:color w:val="auto"/>
          <w:sz w:val="24"/>
          <w:szCs w:val="24"/>
          <w:highlight w:val="none"/>
          <w:lang w:eastAsia="zh-CN"/>
        </w:rPr>
        <w:t>：</w:t>
      </w:r>
    </w:p>
    <w:p>
      <w:pPr>
        <w:pStyle w:val="13"/>
        <w:spacing w:line="500" w:lineRule="exact"/>
        <w:ind w:firstLine="480" w:firstLineChars="200"/>
        <w:outlineLvl w:val="1"/>
        <w:rPr>
          <w:rFonts w:hAnsi="宋体" w:cs="宋体"/>
          <w:color w:val="auto"/>
          <w:sz w:val="24"/>
          <w:szCs w:val="20"/>
          <w:highlight w:val="none"/>
        </w:rPr>
      </w:pPr>
      <w:bookmarkStart w:id="84" w:name="_Toc474245220"/>
      <w:bookmarkStart w:id="85" w:name="_Toc520190034"/>
      <w:bookmarkStart w:id="86" w:name="_Toc518992994"/>
      <w:r>
        <w:rPr>
          <w:rFonts w:hint="eastAsia" w:hAnsi="宋体" w:cs="宋体"/>
          <w:color w:val="auto"/>
          <w:sz w:val="24"/>
          <w:szCs w:val="20"/>
          <w:highlight w:val="none"/>
        </w:rPr>
        <w:t>项目一：</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大坦沙</w:t>
      </w:r>
      <w:r>
        <w:rPr>
          <w:rFonts w:hint="eastAsia" w:hAnsi="宋体" w:cs="宋体"/>
          <w:color w:val="auto"/>
          <w:sz w:val="24"/>
          <w:szCs w:val="20"/>
          <w:highlight w:val="none"/>
          <w:u w:val="single"/>
        </w:rPr>
        <w:t>分公司</w:t>
      </w:r>
    </w:p>
    <w:p>
      <w:pPr>
        <w:pStyle w:val="13"/>
        <w:spacing w:line="500" w:lineRule="exact"/>
        <w:ind w:firstLine="480" w:firstLineChars="200"/>
        <w:outlineLvl w:val="1"/>
        <w:rPr>
          <w:rFonts w:hint="eastAsia" w:hAnsi="宋体" w:cs="宋体"/>
          <w:color w:val="auto"/>
          <w:sz w:val="24"/>
          <w:szCs w:val="20"/>
          <w:highlight w:val="none"/>
          <w:u w:val="single"/>
        </w:rPr>
      </w:pPr>
      <w:r>
        <w:rPr>
          <w:rFonts w:hint="eastAsia" w:hAnsi="宋体" w:cs="宋体"/>
          <w:color w:val="auto"/>
          <w:sz w:val="24"/>
          <w:szCs w:val="20"/>
          <w:highlight w:val="none"/>
        </w:rPr>
        <w:t>项目二：</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石井净</w:t>
      </w:r>
      <w:r>
        <w:rPr>
          <w:rFonts w:hint="eastAsia" w:hAnsi="宋体" w:cs="宋体"/>
          <w:color w:val="auto"/>
          <w:sz w:val="24"/>
          <w:szCs w:val="20"/>
          <w:highlight w:val="none"/>
          <w:u w:val="single"/>
        </w:rPr>
        <w:t>分公司</w:t>
      </w:r>
    </w:p>
    <w:p>
      <w:pPr>
        <w:pStyle w:val="13"/>
        <w:spacing w:line="500" w:lineRule="exact"/>
        <w:ind w:firstLine="480" w:firstLineChars="200"/>
        <w:outlineLvl w:val="1"/>
        <w:rPr>
          <w:rFonts w:hint="eastAsia" w:hAnsi="宋体" w:cs="宋体"/>
          <w:color w:val="auto"/>
          <w:sz w:val="24"/>
          <w:szCs w:val="20"/>
          <w:highlight w:val="none"/>
          <w:u w:val="single"/>
        </w:rPr>
      </w:pPr>
      <w:r>
        <w:rPr>
          <w:rFonts w:hint="eastAsia" w:hAnsi="宋体" w:cs="宋体"/>
          <w:color w:val="auto"/>
          <w:sz w:val="24"/>
          <w:szCs w:val="20"/>
          <w:highlight w:val="none"/>
        </w:rPr>
        <w:t>项目</w:t>
      </w:r>
      <w:r>
        <w:rPr>
          <w:rFonts w:hint="eastAsia" w:hAnsi="宋体" w:cs="宋体"/>
          <w:color w:val="auto"/>
          <w:sz w:val="24"/>
          <w:szCs w:val="20"/>
          <w:highlight w:val="none"/>
          <w:lang w:val="en-US" w:eastAsia="zh-CN"/>
        </w:rPr>
        <w:t>三</w:t>
      </w:r>
      <w:r>
        <w:rPr>
          <w:rFonts w:hint="eastAsia" w:hAnsi="宋体" w:cs="宋体"/>
          <w:color w:val="auto"/>
          <w:sz w:val="24"/>
          <w:szCs w:val="20"/>
          <w:highlight w:val="none"/>
        </w:rPr>
        <w:t>：</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江高</w:t>
      </w:r>
      <w:r>
        <w:rPr>
          <w:rFonts w:hint="eastAsia" w:hAnsi="宋体" w:cs="宋体"/>
          <w:color w:val="auto"/>
          <w:sz w:val="24"/>
          <w:szCs w:val="20"/>
          <w:highlight w:val="none"/>
          <w:u w:val="single"/>
        </w:rPr>
        <w:t>分公司</w:t>
      </w:r>
    </w:p>
    <w:p>
      <w:pPr>
        <w:pStyle w:val="13"/>
        <w:spacing w:line="500" w:lineRule="exact"/>
        <w:ind w:firstLine="480" w:firstLineChars="200"/>
        <w:outlineLvl w:val="1"/>
        <w:rPr>
          <w:rFonts w:hint="default" w:hAnsi="宋体" w:eastAsia="宋体" w:cs="宋体"/>
          <w:color w:val="auto"/>
          <w:sz w:val="24"/>
          <w:szCs w:val="24"/>
          <w:highlight w:val="none"/>
          <w:lang w:val="en-US" w:eastAsia="zh-CN"/>
        </w:rPr>
      </w:pPr>
      <w:r>
        <w:rPr>
          <w:rFonts w:hint="eastAsia" w:hAnsi="宋体" w:cs="宋体"/>
          <w:color w:val="auto"/>
          <w:sz w:val="24"/>
          <w:szCs w:val="20"/>
          <w:highlight w:val="none"/>
        </w:rPr>
        <w:t>项目</w:t>
      </w:r>
      <w:r>
        <w:rPr>
          <w:rFonts w:hint="eastAsia" w:hAnsi="宋体" w:cs="宋体"/>
          <w:color w:val="auto"/>
          <w:sz w:val="24"/>
          <w:szCs w:val="20"/>
          <w:highlight w:val="none"/>
          <w:lang w:val="en-US" w:eastAsia="zh-CN"/>
        </w:rPr>
        <w:t>四</w:t>
      </w:r>
      <w:r>
        <w:rPr>
          <w:rFonts w:hint="eastAsia" w:hAnsi="宋体" w:cs="宋体"/>
          <w:color w:val="auto"/>
          <w:sz w:val="24"/>
          <w:szCs w:val="20"/>
          <w:highlight w:val="none"/>
        </w:rPr>
        <w:t>：</w:t>
      </w:r>
      <w:r>
        <w:rPr>
          <w:rFonts w:hint="eastAsia" w:hAnsi="宋体" w:cs="宋体"/>
          <w:color w:val="auto"/>
          <w:sz w:val="24"/>
          <w:szCs w:val="20"/>
          <w:highlight w:val="none"/>
          <w:u w:val="single"/>
        </w:rPr>
        <w:t>广州市净水有限公司</w:t>
      </w:r>
      <w:r>
        <w:rPr>
          <w:rFonts w:hint="eastAsia" w:hAnsi="宋体" w:cs="宋体"/>
          <w:color w:val="auto"/>
          <w:sz w:val="24"/>
          <w:szCs w:val="20"/>
          <w:highlight w:val="none"/>
          <w:u w:val="single"/>
          <w:lang w:val="en-US" w:eastAsia="zh-CN"/>
        </w:rPr>
        <w:t>江高</w:t>
      </w:r>
      <w:r>
        <w:rPr>
          <w:rFonts w:hint="eastAsia" w:hAnsi="宋体" w:cs="宋体"/>
          <w:color w:val="auto"/>
          <w:sz w:val="24"/>
          <w:szCs w:val="20"/>
          <w:highlight w:val="none"/>
          <w:u w:val="single"/>
        </w:rPr>
        <w:t>分公司</w:t>
      </w:r>
    </w:p>
    <w:p>
      <w:pPr>
        <w:numPr>
          <w:ilvl w:val="0"/>
          <w:numId w:val="6"/>
        </w:numPr>
        <w:spacing w:before="120" w:afterLines="50" w:line="384"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bookmarkEnd w:id="84"/>
      <w:bookmarkEnd w:id="85"/>
      <w:bookmarkEnd w:id="86"/>
    </w:p>
    <w:p>
      <w:pPr>
        <w:spacing w:line="384" w:lineRule="auto"/>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384" w:lineRule="auto"/>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本项目质量保修期为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zh-CN"/>
        </w:rPr>
        <w:t>年。</w:t>
      </w:r>
    </w:p>
    <w:p>
      <w:pPr>
        <w:spacing w:line="384" w:lineRule="auto"/>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w:t>
      </w:r>
      <w:r>
        <w:rPr>
          <w:rFonts w:hint="eastAsia" w:ascii="宋体" w:hAnsi="宋体" w:cs="宋体"/>
          <w:bCs/>
          <w:color w:val="auto"/>
          <w:sz w:val="24"/>
          <w:highlight w:val="none"/>
          <w:u w:val="single"/>
          <w:lang w:val="en-US" w:eastAsia="zh-CN"/>
        </w:rPr>
        <w:t xml:space="preserve"> 5 </w:t>
      </w:r>
      <w:r>
        <w:rPr>
          <w:rFonts w:hint="eastAsia" w:ascii="宋体" w:hAnsi="宋体" w:cs="宋体"/>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w:t>
      </w:r>
      <w:r>
        <w:rPr>
          <w:rFonts w:ascii="宋体" w:hAnsi="宋体" w:cs="宋体"/>
          <w:bCs/>
          <w:color w:val="auto"/>
          <w:sz w:val="24"/>
          <w:highlight w:val="none"/>
          <w:u w:val="single"/>
        </w:rPr>
        <w:t>10%/</w:t>
      </w:r>
      <w:r>
        <w:rPr>
          <w:rFonts w:hint="eastAsia" w:ascii="宋体" w:hAnsi="宋体" w:cs="宋体"/>
          <w:bCs/>
          <w:color w:val="auto"/>
          <w:sz w:val="24"/>
          <w:highlight w:val="none"/>
          <w:u w:val="single"/>
        </w:rPr>
        <w:t>次</w:t>
      </w:r>
      <w:r>
        <w:rPr>
          <w:rFonts w:hint="eastAsia" w:ascii="宋体" w:hAnsi="宋体" w:cs="宋体"/>
          <w:bCs/>
          <w:color w:val="auto"/>
          <w:sz w:val="24"/>
          <w:highlight w:val="none"/>
        </w:rPr>
        <w:t>作为违约金。</w:t>
      </w:r>
    </w:p>
    <w:p>
      <w:pPr>
        <w:spacing w:beforeLines="50" w:afterLines="50" w:line="384" w:lineRule="auto"/>
        <w:ind w:firstLine="422" w:firstLineChars="175"/>
        <w:jc w:val="left"/>
        <w:rPr>
          <w:rFonts w:ascii="宋体" w:hAnsi="宋体" w:cs="宋体"/>
          <w:color w:val="auto"/>
          <w:sz w:val="24"/>
          <w:highlight w:val="none"/>
        </w:rPr>
      </w:pPr>
      <w:bookmarkStart w:id="87" w:name="_Toc19692"/>
      <w:bookmarkStart w:id="88" w:name="_Toc183666531"/>
      <w:bookmarkStart w:id="89" w:name="_Toc518993000"/>
      <w:bookmarkStart w:id="90" w:name="_Toc474245226"/>
      <w:bookmarkStart w:id="91" w:name="_Toc520190040"/>
      <w:bookmarkStart w:id="92" w:name="_Toc306350467"/>
      <w:bookmarkStart w:id="93" w:name="_Toc107447255"/>
      <w:bookmarkStart w:id="94" w:name="_Toc107446862"/>
      <w:r>
        <w:rPr>
          <w:rFonts w:hint="eastAsia" w:ascii="宋体" w:hAnsi="宋体" w:cs="宋体"/>
          <w:b/>
          <w:bCs/>
          <w:color w:val="auto"/>
          <w:sz w:val="24"/>
          <w:highlight w:val="none"/>
        </w:rPr>
        <w:t>第十一条不可抗力</w:t>
      </w:r>
      <w:bookmarkEnd w:id="87"/>
      <w:bookmarkEnd w:id="88"/>
      <w:bookmarkEnd w:id="89"/>
      <w:bookmarkEnd w:id="90"/>
      <w:bookmarkEnd w:id="91"/>
      <w:bookmarkEnd w:id="92"/>
      <w:bookmarkEnd w:id="93"/>
      <w:bookmarkEnd w:id="94"/>
    </w:p>
    <w:p>
      <w:pPr>
        <w:widowControl/>
        <w:autoSpaceDE w:val="0"/>
        <w:autoSpaceDN w:val="0"/>
        <w:adjustRightInd w:val="0"/>
        <w:spacing w:line="384" w:lineRule="auto"/>
        <w:ind w:firstLine="480" w:firstLineChars="200"/>
        <w:rPr>
          <w:rFonts w:ascii="宋体" w:hAnsi="宋体" w:cs="宋体"/>
          <w:bCs/>
          <w:color w:val="auto"/>
          <w:sz w:val="24"/>
          <w:highlight w:val="none"/>
        </w:rPr>
      </w:pPr>
      <w:bookmarkStart w:id="95" w:name="_Toc183666532"/>
      <w:bookmarkStart w:id="96" w:name="_Toc12010"/>
      <w:bookmarkStart w:id="97" w:name="_Toc306350468"/>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84"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⑴地震、火山爆发、滑坡、暴雨（橙色预警及以上）、台风（黄色预警及以上）、海啸、龙卷风、大面积流行病</w:t>
      </w:r>
      <w:r>
        <w:rPr>
          <w:rFonts w:ascii="宋体" w:hAnsi="宋体" w:cs="宋体"/>
          <w:bCs/>
          <w:color w:val="auto"/>
          <w:sz w:val="24"/>
          <w:highlight w:val="none"/>
        </w:rPr>
        <w:t>(如：非典型性肺炎等)或瘟疫；</w:t>
      </w:r>
    </w:p>
    <w:p>
      <w:pPr>
        <w:widowControl/>
        <w:autoSpaceDE w:val="0"/>
        <w:autoSpaceDN w:val="0"/>
        <w:adjustRightInd w:val="0"/>
        <w:spacing w:line="384"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⑵战争行为、入侵、武装冲突或外敌行为、封锁、暴乱、恐怖行为或军事演习；</w:t>
      </w:r>
    </w:p>
    <w:p>
      <w:pPr>
        <w:widowControl/>
        <w:autoSpaceDE w:val="0"/>
        <w:autoSpaceDN w:val="0"/>
        <w:adjustRightInd w:val="0"/>
        <w:spacing w:line="384" w:lineRule="auto"/>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w:t>
      </w:r>
      <w:r>
        <w:rPr>
          <w:rFonts w:ascii="宋体" w:hAnsi="宋体" w:cs="宋体"/>
          <w:bCs/>
          <w:color w:val="auto"/>
          <w:sz w:val="24"/>
          <w:highlight w:val="none"/>
        </w:rPr>
        <w:t>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84" w:lineRule="auto"/>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w:t>
      </w:r>
      <w:r>
        <w:rPr>
          <w:rFonts w:ascii="宋体" w:hAnsi="宋体" w:cs="宋体"/>
          <w:bCs/>
          <w:color w:val="auto"/>
          <w:sz w:val="24"/>
          <w:highlight w:val="none"/>
        </w:rPr>
        <w:t>(90)天，双方应协商决定继续履行本合同的条件或者变更本合同。如果自不可抗力发生后壹佰捌拾(180)天之内双方不能达成一致意见，任何一方有权解除本合同。</w:t>
      </w:r>
    </w:p>
    <w:p>
      <w:pPr>
        <w:spacing w:beforeLines="50" w:afterLines="50" w:line="384" w:lineRule="auto"/>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98" w:name="_Toc107447257"/>
      <w:bookmarkStart w:id="99" w:name="_Toc474245227"/>
      <w:bookmarkStart w:id="100" w:name="_Toc520190041"/>
      <w:bookmarkStart w:id="101" w:name="_Toc518993001"/>
      <w:bookmarkStart w:id="102" w:name="_Toc107446864"/>
      <w:bookmarkStart w:id="103" w:name="_Toc118172294"/>
    </w:p>
    <w:p>
      <w:pPr>
        <w:spacing w:beforeLines="50" w:afterLines="50" w:line="384" w:lineRule="auto"/>
        <w:ind w:firstLine="482"/>
        <w:jc w:val="left"/>
        <w:rPr>
          <w:rFonts w:ascii="宋体" w:hAnsi="宋体" w:cs="宋体"/>
          <w:b/>
          <w:bCs/>
          <w:color w:val="auto"/>
          <w:sz w:val="24"/>
          <w:highlight w:val="none"/>
        </w:rPr>
      </w:pPr>
      <w:r>
        <w:rPr>
          <w:rFonts w:hint="eastAsia" w:ascii="宋体" w:hAnsi="宋体" w:cs="宋体"/>
          <w:b/>
          <w:bCs/>
          <w:color w:val="auto"/>
          <w:sz w:val="24"/>
          <w:highlight w:val="none"/>
        </w:rPr>
        <w:t>十二条争议解决</w:t>
      </w:r>
      <w:bookmarkEnd w:id="95"/>
      <w:bookmarkEnd w:id="96"/>
      <w:bookmarkEnd w:id="97"/>
      <w:bookmarkEnd w:id="98"/>
      <w:bookmarkEnd w:id="99"/>
      <w:bookmarkEnd w:id="100"/>
      <w:bookmarkEnd w:id="101"/>
      <w:bookmarkEnd w:id="102"/>
      <w:bookmarkEnd w:id="103"/>
    </w:p>
    <w:p>
      <w:pPr>
        <w:spacing w:line="384" w:lineRule="auto"/>
        <w:ind w:firstLine="482"/>
        <w:rPr>
          <w:rFonts w:ascii="宋体" w:hAnsi="宋体" w:cs="宋体"/>
          <w:bCs/>
          <w:color w:val="auto"/>
          <w:sz w:val="24"/>
          <w:highlight w:val="none"/>
        </w:rPr>
      </w:pPr>
      <w:bookmarkStart w:id="104" w:name="_Toc183666533"/>
      <w:bookmarkStart w:id="105" w:name="_Toc306350469"/>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line="384" w:lineRule="auto"/>
        <w:ind w:firstLine="482"/>
        <w:jc w:val="left"/>
        <w:rPr>
          <w:rFonts w:ascii="宋体" w:hAnsi="宋体" w:cs="宋体"/>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bookmarkEnd w:id="104"/>
      <w:bookmarkEnd w:id="105"/>
      <w:bookmarkStart w:id="106" w:name="_Toc474245229"/>
      <w:bookmarkStart w:id="107" w:name="_Toc518993003"/>
      <w:bookmarkStart w:id="108" w:name="_Toc520190043"/>
    </w:p>
    <w:p>
      <w:pPr>
        <w:spacing w:line="384" w:lineRule="auto"/>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bookmarkStart w:id="109" w:name="_Toc107446871"/>
      <w:bookmarkStart w:id="110" w:name="_Toc107447264"/>
      <w:r>
        <w:rPr>
          <w:rFonts w:hint="eastAsia" w:ascii="宋体" w:hAnsi="宋体" w:cs="宋体"/>
          <w:b/>
          <w:bCs/>
          <w:color w:val="auto"/>
          <w:sz w:val="24"/>
          <w:highlight w:val="none"/>
        </w:rPr>
        <w:t>合同生效及其他</w:t>
      </w:r>
      <w:bookmarkEnd w:id="106"/>
      <w:bookmarkEnd w:id="107"/>
      <w:bookmarkEnd w:id="108"/>
      <w:bookmarkEnd w:id="109"/>
      <w:bookmarkEnd w:id="110"/>
    </w:p>
    <w:p>
      <w:pPr>
        <w:spacing w:line="384" w:lineRule="auto"/>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384" w:lineRule="auto"/>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份，其中：甲方</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份，乙方</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份。</w:t>
      </w:r>
    </w:p>
    <w:p>
      <w:pPr>
        <w:spacing w:line="384" w:lineRule="auto"/>
        <w:ind w:firstLine="480"/>
        <w:rPr>
          <w:rFonts w:hint="eastAsia" w:ascii="宋体" w:hAnsi="宋体" w:cs="宋体" w:eastAsiaTheme="minorEastAsia"/>
          <w:color w:val="auto"/>
          <w:sz w:val="24"/>
          <w:highlight w:val="none"/>
          <w:u w:val="single"/>
          <w:lang w:val="en-US" w:eastAsia="zh-CN"/>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无</w:t>
      </w:r>
    </w:p>
    <w:p>
      <w:pPr>
        <w:spacing w:line="384" w:lineRule="auto"/>
        <w:ind w:firstLine="480"/>
        <w:rPr>
          <w:rFonts w:hint="eastAsia" w:ascii="宋体" w:hAnsi="宋体" w:cs="宋体"/>
          <w:color w:val="auto"/>
          <w:sz w:val="24"/>
          <w:highlight w:val="none"/>
          <w:u w:val="single"/>
          <w:lang w:eastAsia="zh-CN"/>
        </w:rPr>
      </w:pPr>
    </w:p>
    <w:p>
      <w:pPr>
        <w:spacing w:line="384" w:lineRule="auto"/>
        <w:ind w:firstLine="480"/>
        <w:rPr>
          <w:rFonts w:hint="eastAsia" w:ascii="宋体" w:hAnsi="宋体" w:cs="宋体"/>
          <w:color w:val="auto"/>
          <w:sz w:val="24"/>
          <w:highlight w:val="none"/>
          <w:u w:val="single"/>
          <w:lang w:eastAsia="zh-CN"/>
        </w:rPr>
      </w:pPr>
    </w:p>
    <w:p>
      <w:pPr>
        <w:spacing w:line="384" w:lineRule="auto"/>
        <w:ind w:firstLine="480"/>
        <w:rPr>
          <w:rFonts w:hint="eastAsia" w:ascii="宋体" w:hAnsi="宋体" w:cs="宋体"/>
          <w:color w:val="auto"/>
          <w:sz w:val="24"/>
          <w:highlight w:val="none"/>
          <w:u w:val="single"/>
          <w:lang w:eastAsia="zh-CN"/>
        </w:rPr>
      </w:pPr>
    </w:p>
    <w:p>
      <w:pPr>
        <w:spacing w:line="384" w:lineRule="auto"/>
        <w:rPr>
          <w:rFonts w:ascii="宋体" w:hAnsi="宋体" w:cs="宋体"/>
          <w:color w:val="auto"/>
          <w:sz w:val="24"/>
          <w:highlight w:val="none"/>
        </w:rPr>
      </w:pPr>
    </w:p>
    <w:p>
      <w:pPr>
        <w:spacing w:line="384" w:lineRule="auto"/>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中标通知书</w:t>
      </w:r>
      <w:r>
        <w:rPr>
          <w:rFonts w:ascii="宋体" w:hAnsi="宋体" w:cs="宋体"/>
          <w:color w:val="auto"/>
          <w:sz w:val="24"/>
          <w:highlight w:val="none"/>
        </w:rPr>
        <w:t>/</w:t>
      </w:r>
      <w:r>
        <w:rPr>
          <w:rFonts w:hint="eastAsia" w:ascii="宋体" w:hAnsi="宋体" w:cs="宋体"/>
          <w:color w:val="auto"/>
          <w:sz w:val="24"/>
          <w:highlight w:val="none"/>
        </w:rPr>
        <w:t>发包通知书</w:t>
      </w:r>
      <w:r>
        <w:rPr>
          <w:rFonts w:ascii="宋体" w:hAnsi="宋体" w:cs="宋体"/>
          <w:color w:val="auto"/>
          <w:sz w:val="24"/>
          <w:highlight w:val="none"/>
        </w:rPr>
        <w:t>/</w:t>
      </w:r>
      <w:r>
        <w:rPr>
          <w:rFonts w:hint="eastAsia" w:ascii="宋体" w:hAnsi="宋体" w:cs="宋体"/>
          <w:color w:val="auto"/>
          <w:sz w:val="24"/>
          <w:highlight w:val="none"/>
          <w:lang w:val="en-US" w:eastAsia="zh-CN"/>
        </w:rPr>
        <w:t>成交通知书/</w:t>
      </w:r>
      <w:r>
        <w:rPr>
          <w:rFonts w:hint="eastAsia" w:ascii="宋体" w:hAnsi="宋体" w:cs="宋体"/>
          <w:color w:val="auto"/>
          <w:sz w:val="24"/>
          <w:highlight w:val="none"/>
        </w:rPr>
        <w:t>委托函（如有）</w:t>
      </w:r>
    </w:p>
    <w:p>
      <w:pPr>
        <w:numPr>
          <w:ilvl w:val="0"/>
          <w:numId w:val="0"/>
        </w:numPr>
        <w:spacing w:line="46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廉洁协议</w:t>
      </w:r>
    </w:p>
    <w:p>
      <w:pPr>
        <w:numPr>
          <w:ilvl w:val="0"/>
          <w:numId w:val="0"/>
        </w:numPr>
        <w:spacing w:line="460" w:lineRule="exact"/>
        <w:ind w:firstLine="720" w:firstLineChars="300"/>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不诚信行为的情形及相应被暂停参与投标活动的处理标准</w:t>
      </w:r>
    </w:p>
    <w:p>
      <w:pPr>
        <w:spacing w:line="384" w:lineRule="auto"/>
        <w:ind w:firstLine="720" w:firstLineChars="3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r>
        <w:rPr>
          <w:rFonts w:ascii="宋体" w:hAnsi="宋体" w:cs="宋体"/>
          <w:color w:val="auto"/>
          <w:sz w:val="24"/>
          <w:highlight w:val="none"/>
        </w:rPr>
        <w:t>.</w:t>
      </w:r>
      <w:r>
        <w:rPr>
          <w:rFonts w:hint="eastAsia" w:ascii="宋体" w:hAnsi="宋体" w:cs="宋体"/>
          <w:color w:val="auto"/>
          <w:sz w:val="24"/>
          <w:highlight w:val="none"/>
          <w:lang w:val="en-US" w:eastAsia="zh-CN"/>
        </w:rPr>
        <w:t>营运场所施工安全协议书</w:t>
      </w:r>
    </w:p>
    <w:p>
      <w:pPr>
        <w:spacing w:line="384" w:lineRule="auto"/>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5</w:t>
      </w:r>
      <w:r>
        <w:rPr>
          <w:rFonts w:ascii="宋体" w:hAnsi="宋体" w:cs="宋体"/>
          <w:color w:val="auto"/>
          <w:sz w:val="24"/>
          <w:highlight w:val="none"/>
        </w:rPr>
        <w:t>.</w:t>
      </w:r>
      <w:r>
        <w:rPr>
          <w:rFonts w:hint="eastAsia" w:ascii="宋体" w:hAnsi="宋体" w:cs="宋体"/>
          <w:color w:val="auto"/>
          <w:sz w:val="24"/>
          <w:highlight w:val="none"/>
        </w:rPr>
        <w:t>工程量清单</w:t>
      </w:r>
      <w:r>
        <w:rPr>
          <w:rFonts w:ascii="宋体" w:hAnsi="宋体" w:cs="宋体"/>
          <w:color w:val="auto"/>
          <w:sz w:val="24"/>
          <w:highlight w:val="none"/>
        </w:rPr>
        <w:t>/</w:t>
      </w:r>
      <w:r>
        <w:rPr>
          <w:rFonts w:hint="eastAsia" w:ascii="宋体" w:hAnsi="宋体" w:cs="宋体"/>
          <w:color w:val="auto"/>
          <w:sz w:val="24"/>
          <w:highlight w:val="none"/>
        </w:rPr>
        <w:t>报价</w:t>
      </w:r>
    </w:p>
    <w:p>
      <w:pPr>
        <w:spacing w:line="384" w:lineRule="auto"/>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6</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ascii="宋体" w:hAnsi="宋体" w:cs="宋体"/>
          <w:color w:val="auto"/>
          <w:sz w:val="24"/>
          <w:highlight w:val="none"/>
        </w:rPr>
        <w:t xml:space="preserve"> </w:t>
      </w:r>
    </w:p>
    <w:p>
      <w:pPr>
        <w:spacing w:line="360" w:lineRule="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highlight w:val="none"/>
        </w:rPr>
        <w:t xml:space="preserve">      </w:t>
      </w:r>
      <w:r>
        <w:rPr>
          <w:rFonts w:hint="eastAsia" w:asciiTheme="minorEastAsia" w:hAnsiTheme="minorEastAsia" w:eastAsiaTheme="minorEastAsia" w:cstheme="minorEastAsia"/>
          <w:b w:val="0"/>
          <w:bCs w:val="0"/>
          <w:color w:val="auto"/>
          <w:sz w:val="24"/>
          <w:highlight w:val="none"/>
          <w:lang w:val="en-US" w:eastAsia="zh-CN"/>
        </w:rPr>
        <w:t>7</w:t>
      </w:r>
      <w:r>
        <w:rPr>
          <w:rFonts w:hint="eastAsia" w:asciiTheme="minorEastAsia" w:hAnsiTheme="minorEastAsia" w:eastAsiaTheme="minorEastAsia" w:cstheme="minorEastAsia"/>
          <w:b w:val="0"/>
          <w:bCs w:val="0"/>
          <w:color w:val="auto"/>
          <w:sz w:val="24"/>
          <w:highlight w:val="none"/>
        </w:rPr>
        <w:t>.</w:t>
      </w:r>
      <w:r>
        <w:rPr>
          <w:rFonts w:hint="eastAsia" w:ascii="宋体" w:hAnsi="宋体" w:cs="宋体"/>
          <w:color w:val="auto"/>
          <w:sz w:val="24"/>
          <w:highlight w:val="none"/>
        </w:rPr>
        <w:t>履约保函（模板）</w:t>
      </w:r>
    </w:p>
    <w:p>
      <w:pPr>
        <w:spacing w:line="360" w:lineRule="auto"/>
        <w:ind w:firstLine="720" w:firstLineChars="300"/>
        <w:rPr>
          <w:rFonts w:hint="eastAsia" w:asciiTheme="minorEastAsia" w:hAnsiTheme="minorEastAsia" w:eastAsiaTheme="minorEastAsia" w:cstheme="minorEastAsia"/>
          <w:b w:val="0"/>
          <w:bCs w:val="0"/>
          <w:color w:val="auto"/>
          <w:sz w:val="24"/>
          <w:szCs w:val="24"/>
          <w:highlight w:val="none"/>
          <w:lang w:eastAsia="zh-CN"/>
        </w:rPr>
      </w:pPr>
      <w:r>
        <w:rPr>
          <w:rFonts w:hint="eastAsia" w:ascii="宋体" w:hAnsi="宋体" w:cs="宋体"/>
          <w:color w:val="auto"/>
          <w:sz w:val="24"/>
          <w:highlight w:val="none"/>
          <w:lang w:val="en-US" w:eastAsia="zh-CN"/>
        </w:rPr>
        <w:t>8.</w:t>
      </w:r>
      <w:r>
        <w:rPr>
          <w:rFonts w:hint="eastAsia" w:asciiTheme="minorEastAsia" w:hAnsiTheme="minorEastAsia" w:eastAsiaTheme="minorEastAsia" w:cstheme="minorEastAsia"/>
          <w:b w:val="0"/>
          <w:bCs w:val="0"/>
          <w:color w:val="auto"/>
          <w:sz w:val="24"/>
          <w:szCs w:val="24"/>
          <w:highlight w:val="none"/>
        </w:rPr>
        <w:t>应急救援物资清单</w:t>
      </w:r>
      <w:r>
        <w:rPr>
          <w:rFonts w:hint="eastAsia" w:asciiTheme="minorEastAsia" w:hAnsiTheme="minorEastAsia" w:eastAsiaTheme="minorEastAsia" w:cstheme="minorEastAsia"/>
          <w:b w:val="0"/>
          <w:bCs w:val="0"/>
          <w:color w:val="auto"/>
          <w:sz w:val="24"/>
          <w:szCs w:val="24"/>
          <w:highlight w:val="none"/>
          <w:lang w:eastAsia="zh-CN"/>
        </w:rPr>
        <w:t>（如需）</w:t>
      </w:r>
    </w:p>
    <w:p>
      <w:p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.授权委托证明（如需）</w:t>
      </w:r>
    </w:p>
    <w:p>
      <w:pPr>
        <w:adjustRightInd w:val="0"/>
        <w:snapToGrid w:val="0"/>
        <w:ind w:firstLine="720" w:firstLineChars="300"/>
        <w:jc w:val="both"/>
        <w:rPr>
          <w:rFonts w:ascii="宋体" w:hAnsi="宋体" w:cs="宋体"/>
          <w:b w:val="0"/>
          <w:bCs w:val="0"/>
          <w:color w:val="auto"/>
          <w:sz w:val="24"/>
          <w:szCs w:val="24"/>
          <w:highlight w:val="none"/>
        </w:rPr>
      </w:pPr>
    </w:p>
    <w:p>
      <w:pPr>
        <w:spacing w:line="384" w:lineRule="auto"/>
        <w:ind w:firstLine="720" w:firstLineChars="300"/>
        <w:rPr>
          <w:rFonts w:hint="default" w:ascii="宋体" w:hAnsi="宋体" w:eastAsia="宋体" w:cs="宋体"/>
          <w:b w:val="0"/>
          <w:bCs w:val="0"/>
          <w:color w:val="auto"/>
          <w:sz w:val="24"/>
          <w:highlight w:val="none"/>
          <w:lang w:val="en-US" w:eastAsia="zh-CN"/>
        </w:rPr>
      </w:pPr>
    </w:p>
    <w:p>
      <w:pPr>
        <w:spacing w:line="384" w:lineRule="auto"/>
        <w:rPr>
          <w:rFonts w:ascii="宋体" w:hAnsi="宋体" w:cs="宋体"/>
          <w:color w:val="auto"/>
          <w:sz w:val="24"/>
          <w:highlight w:val="none"/>
        </w:rPr>
      </w:pPr>
    </w:p>
    <w:p>
      <w:pPr>
        <w:spacing w:line="384" w:lineRule="auto"/>
        <w:rPr>
          <w:rFonts w:ascii="宋体" w:hAnsi="宋体" w:cs="宋体"/>
          <w:color w:val="auto"/>
          <w:sz w:val="24"/>
          <w:highlight w:val="none"/>
        </w:rPr>
      </w:pPr>
    </w:p>
    <w:p>
      <w:pPr>
        <w:spacing w:line="384" w:lineRule="auto"/>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乙方：（盖章）</w:t>
      </w:r>
    </w:p>
    <w:p>
      <w:pPr>
        <w:spacing w:line="384" w:lineRule="auto"/>
        <w:rPr>
          <w:rFonts w:ascii="宋体" w:hAnsi="宋体" w:cs="宋体"/>
          <w:color w:val="auto"/>
          <w:sz w:val="24"/>
          <w:highlight w:val="none"/>
        </w:rPr>
      </w:pPr>
      <w:r>
        <w:rPr>
          <w:rFonts w:hint="eastAsia" w:ascii="宋体" w:hAnsi="宋体" w:cs="宋体"/>
          <w:color w:val="auto"/>
          <w:sz w:val="24"/>
          <w:highlight w:val="none"/>
        </w:rPr>
        <w:t>法定代表</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或</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法定代表人或</w:t>
      </w:r>
    </w:p>
    <w:p>
      <w:pPr>
        <w:spacing w:line="384" w:lineRule="auto"/>
        <w:rPr>
          <w:rFonts w:ascii="宋体" w:hAnsi="宋体" w:cs="宋体"/>
          <w:color w:val="auto"/>
          <w:sz w:val="24"/>
          <w:highlight w:val="none"/>
        </w:rPr>
      </w:pPr>
      <w:r>
        <w:rPr>
          <w:rFonts w:hint="eastAsia" w:ascii="宋体" w:hAnsi="宋体" w:cs="宋体"/>
          <w:color w:val="auto"/>
          <w:sz w:val="24"/>
          <w:highlight w:val="none"/>
        </w:rPr>
        <w:t>授权代理人：</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授权代理人：</w:t>
      </w:r>
    </w:p>
    <w:p>
      <w:pPr>
        <w:spacing w:line="384"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地址：</w:t>
      </w:r>
    </w:p>
    <w:p>
      <w:pPr>
        <w:spacing w:line="384" w:lineRule="auto"/>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经办人：</w:t>
      </w:r>
    </w:p>
    <w:p>
      <w:pPr>
        <w:spacing w:line="384"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联系电话：</w:t>
      </w:r>
    </w:p>
    <w:p>
      <w:pPr>
        <w:spacing w:line="384" w:lineRule="auto"/>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传真：</w:t>
      </w:r>
    </w:p>
    <w:p>
      <w:pPr>
        <w:spacing w:line="384" w:lineRule="auto"/>
        <w:ind w:left="6360" w:hanging="6360" w:hangingChars="2650"/>
        <w:rPr>
          <w:rFonts w:ascii="宋体" w:hAnsi="宋体" w:cs="宋体"/>
          <w:color w:val="auto"/>
          <w:sz w:val="24"/>
          <w:highlight w:val="none"/>
        </w:rPr>
      </w:pPr>
      <w:r>
        <w:rPr>
          <w:rFonts w:hint="eastAsia" w:ascii="宋体" w:hAnsi="宋体" w:cs="宋体"/>
          <w:color w:val="auto"/>
          <w:sz w:val="24"/>
          <w:highlight w:val="none"/>
        </w:rPr>
        <w:t>签署日期：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签署日期：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附件1  中标通知书/发包通知书/委托函（如有）</w:t>
      </w:r>
    </w:p>
    <w:p>
      <w:pPr>
        <w:spacing w:line="360" w:lineRule="auto"/>
        <w:jc w:val="both"/>
        <w:rPr>
          <w:rFonts w:hint="eastAsia" w:ascii="宋体" w:hAnsi="宋体" w:cs="宋体"/>
          <w:b/>
          <w:bCs/>
          <w:color w:val="auto"/>
          <w:szCs w:val="21"/>
          <w:highlight w:val="none"/>
        </w:rPr>
      </w:pPr>
      <w:bookmarkStart w:id="111" w:name="_Toc387080836"/>
      <w:bookmarkStart w:id="112" w:name="_Toc389815031"/>
      <w:bookmarkStart w:id="113" w:name="_Toc389815339"/>
      <w:r>
        <w:rPr>
          <w:rFonts w:hint="eastAsia" w:ascii="宋体" w:hAnsi="宋体" w:cs="宋体"/>
          <w:b/>
          <w:bCs/>
          <w:color w:val="auto"/>
          <w:szCs w:val="21"/>
          <w:highlight w:val="none"/>
        </w:rPr>
        <w:t>附件</w:t>
      </w:r>
      <w:r>
        <w:rPr>
          <w:rFonts w:ascii="宋体" w:hAnsi="宋体" w:cs="宋体"/>
          <w:b/>
          <w:bCs/>
          <w:color w:val="auto"/>
          <w:szCs w:val="21"/>
          <w:highlight w:val="none"/>
        </w:rPr>
        <w:t>2</w:t>
      </w:r>
      <w:r>
        <w:rPr>
          <w:rFonts w:hint="eastAsia" w:ascii="宋体" w:hAnsi="宋体" w:cs="宋体"/>
          <w:b/>
          <w:bCs/>
          <w:color w:val="auto"/>
          <w:szCs w:val="21"/>
          <w:highlight w:val="none"/>
        </w:rPr>
        <w:t>：廉洁协议</w:t>
      </w:r>
    </w:p>
    <w:p>
      <w:pPr>
        <w:keepNext w:val="0"/>
        <w:keepLines w:val="0"/>
        <w:pageBreakBefore w:val="0"/>
        <w:kinsoku/>
        <w:wordWrap/>
        <w:overflowPunct/>
        <w:topLinePunct w:val="0"/>
        <w:autoSpaceDE/>
        <w:autoSpaceDN/>
        <w:bidi w:val="0"/>
        <w:adjustRightInd/>
        <w:snapToGrid/>
        <w:spacing w:line="560" w:lineRule="exact"/>
        <w:ind w:firstLine="3640" w:firstLineChars="1300"/>
        <w:jc w:val="both"/>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eastAsia="仿宋_GB2312"/>
          <w:color w:val="auto"/>
          <w:sz w:val="28"/>
          <w:szCs w:val="28"/>
          <w:highlight w:val="none"/>
          <w:u w:val="single"/>
          <w:lang w:val="en-US" w:eastAsia="zh-CN"/>
        </w:rPr>
        <w:t>广州市净水有限公司2022年大坦沙、石井净、江高分公司管道改造项目</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广州市净水有限公司2022年大坦沙、石井净、江高分公司管道改造项目</w:t>
      </w:r>
      <w:r>
        <w:rPr>
          <w:rFonts w:hint="eastAsia" w:ascii="仿宋_GB2312" w:hAnsi="仿宋_GB2312" w:eastAsia="仿宋_GB2312" w:cs="仿宋_GB2312"/>
          <w:b w:val="0"/>
          <w:bCs/>
          <w:color w:val="auto"/>
          <w:sz w:val="28"/>
          <w:szCs w:val="28"/>
          <w:highlight w:val="none"/>
          <w:u w:val="single"/>
        </w:rPr>
        <w:t>（穗净水合[     ]号）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33"/>
        <w:keepNext w:val="0"/>
        <w:keepLines w:val="0"/>
        <w:pageBreakBefore w:val="0"/>
        <w:tabs>
          <w:tab w:val="left" w:pos="5100"/>
        </w:tabs>
        <w:kinsoku/>
        <w:wordWrap/>
        <w:overflowPunct/>
        <w:topLinePunct w:val="0"/>
        <w:autoSpaceDE/>
        <w:autoSpaceDN/>
        <w:bidi w:val="0"/>
        <w:adjustRightInd/>
        <w:snapToGrid/>
        <w:spacing w:line="560" w:lineRule="exact"/>
        <w:ind w:left="7200" w:firstLine="0" w:firstLineChars="0"/>
        <w:jc w:val="left"/>
        <w:textAlignment w:val="auto"/>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pStyle w:val="2"/>
        <w:ind w:left="0" w:leftChars="0" w:firstLine="0" w:firstLineChars="0"/>
        <w:rPr>
          <w:rFonts w:hint="eastAsia" w:ascii="仿宋_GB2312" w:hAnsi="仿宋_GB2312" w:eastAsia="仿宋_GB2312" w:cs="仿宋_GB2312"/>
          <w:b w:val="0"/>
          <w:bCs/>
          <w:color w:val="auto"/>
          <w:sz w:val="28"/>
          <w:szCs w:val="28"/>
          <w:highlight w:val="none"/>
        </w:rPr>
      </w:pPr>
    </w:p>
    <w:p>
      <w:pPr>
        <w:adjustRightInd w:val="0"/>
        <w:snapToGrid w:val="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eastAsia="宋体" w:cs="宋体"/>
          <w:color w:val="auto"/>
          <w:sz w:val="21"/>
          <w:szCs w:val="21"/>
          <w:highlight w:val="none"/>
        </w:rPr>
        <w:t>不诚信行为的情形及相应被暂停参与投标活动的处理标准</w:t>
      </w:r>
    </w:p>
    <w:tbl>
      <w:tblPr>
        <w:tblStyle w:val="23"/>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auto"/>
          <w:sz w:val="24"/>
          <w:szCs w:val="24"/>
          <w:highlight w:val="none"/>
        </w:rPr>
        <w:t>《广州市净水有限公司经营建设项目参建企业不诚信行为管理办法》</w:t>
      </w:r>
      <w:r>
        <w:rPr>
          <w:rFonts w:hint="eastAsia" w:ascii="仿宋_GB2312" w:hAnsi="仿宋_GB2312" w:eastAsia="仿宋_GB2312" w:cs="仿宋_GB2312"/>
          <w:color w:val="auto"/>
          <w:sz w:val="24"/>
          <w:szCs w:val="24"/>
          <w:highlight w:val="none"/>
          <w:lang w:eastAsia="zh-CN"/>
        </w:rPr>
        <w:t>。</w:t>
      </w:r>
    </w:p>
    <w:tbl>
      <w:tblPr>
        <w:tblStyle w:val="23"/>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
              <w:ind w:firstLine="1126"/>
              <w:rPr>
                <w:rFonts w:hint="default" w:eastAsia="仿宋_GB2312"/>
                <w:color w:val="auto"/>
                <w:highlight w:val="none"/>
                <w:lang w:val="en-US" w:eastAsia="zh-CN"/>
              </w:rPr>
            </w:pPr>
            <w:r>
              <w:rPr>
                <w:rFonts w:hint="eastAsia"/>
                <w:color w:val="auto"/>
                <w:highlight w:val="none"/>
                <w:lang w:val="en-US" w:eastAsia="zh-CN"/>
              </w:rPr>
              <w:t>附件9</w:t>
            </w:r>
          </w:p>
        </w:tc>
      </w:tr>
    </w:tbl>
    <w:p>
      <w:pPr>
        <w:pStyle w:val="2"/>
        <w:ind w:left="0" w:leftChars="0" w:firstLine="0" w:firstLineChars="0"/>
        <w:rPr>
          <w:rFonts w:ascii="宋体" w:hAnsi="宋体" w:cs="宋体"/>
          <w:b/>
          <w:bCs/>
          <w:color w:val="auto"/>
          <w:sz w:val="24"/>
          <w:szCs w:val="24"/>
          <w:highlight w:val="none"/>
        </w:rPr>
      </w:pPr>
    </w:p>
    <w:p>
      <w:pPr>
        <w:pStyle w:val="2"/>
        <w:ind w:left="0" w:leftChars="0" w:firstLine="0" w:firstLineChars="0"/>
        <w:rPr>
          <w:rFonts w:ascii="宋体" w:hAnsi="宋体" w:cs="宋体"/>
          <w:b/>
          <w:bCs/>
          <w:color w:val="auto"/>
          <w:sz w:val="24"/>
          <w:szCs w:val="24"/>
          <w:highlight w:val="none"/>
        </w:rPr>
      </w:pPr>
    </w:p>
    <w:tbl>
      <w:tblPr>
        <w:tblStyle w:val="23"/>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
              <w:ind w:firstLine="1126"/>
              <w:rPr>
                <w:color w:val="auto"/>
                <w:highlight w:val="none"/>
              </w:rPr>
            </w:pPr>
          </w:p>
        </w:tc>
      </w:tr>
    </w:tbl>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bookmarkEnd w:id="111"/>
      <w:bookmarkEnd w:id="112"/>
      <w:bookmarkEnd w:id="113"/>
      <w:r>
        <w:rPr>
          <w:rFonts w:hint="eastAsia" w:ascii="宋体" w:hAnsi="宋体" w:cs="宋体"/>
          <w:b/>
          <w:color w:val="auto"/>
          <w:szCs w:val="21"/>
          <w:highlight w:val="none"/>
        </w:rPr>
        <w:t>安全管理协议书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bookmarkStart w:id="114" w:name="_Toc21391"/>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adjustRightInd w:val="0"/>
        <w:snapToGrid w:val="0"/>
        <w:spacing w:line="560" w:lineRule="exact"/>
        <w:jc w:val="left"/>
        <w:rPr>
          <w:rStyle w:val="26"/>
          <w:rFonts w:asciiTheme="minorEastAsia" w:hAnsiTheme="minorEastAsia" w:eastAsiaTheme="minorEastAsia"/>
          <w:b w:val="0"/>
          <w:color w:val="auto"/>
          <w:highlight w:val="none"/>
          <w:u w:val="single"/>
        </w:rPr>
      </w:pPr>
    </w:p>
    <w:bookmarkEnd w:id="114"/>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广州市净水有限公司</w:t>
      </w:r>
      <w:r>
        <w:rPr>
          <w:rFonts w:hint="eastAsia" w:asciiTheme="minorEastAsia" w:hAnsiTheme="minorEastAsia"/>
          <w:color w:val="auto"/>
          <w:sz w:val="24"/>
          <w:highlight w:val="none"/>
          <w:u w:val="single"/>
          <w:lang w:val="en-US" w:eastAsia="zh-CN"/>
        </w:rPr>
        <w:t>2022年大坦沙、石井净、江高分公司管道改造</w:t>
      </w:r>
      <w:r>
        <w:rPr>
          <w:rFonts w:hint="eastAsia" w:asciiTheme="minorEastAsia" w:hAnsiTheme="minorEastAsia" w:eastAsiaTheme="minorEastAsia"/>
          <w:color w:val="auto"/>
          <w:sz w:val="24"/>
          <w:highlight w:val="none"/>
          <w:u w:val="single"/>
          <w:lang w:val="en-US" w:eastAsia="zh-CN"/>
        </w:rPr>
        <w:t>项目</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color w:val="auto"/>
          <w:sz w:val="24"/>
          <w:highlight w:val="none"/>
          <w:u w:val="single"/>
          <w:lang w:val="en-US" w:eastAsia="zh-CN"/>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6"/>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pStyle w:val="2"/>
        <w:ind w:left="0" w:leftChars="0" w:firstLine="0" w:firstLineChars="0"/>
        <w:rPr>
          <w:rFonts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w:t>
      </w:r>
      <w:r>
        <w:rPr>
          <w:rFonts w:hint="eastAsia" w:ascii="宋体" w:hAnsi="宋体" w:cs="宋体"/>
          <w:b/>
          <w:color w:val="auto"/>
          <w:szCs w:val="21"/>
          <w:highlight w:val="none"/>
          <w:lang w:val="en-US" w:eastAsia="zh-CN"/>
        </w:rPr>
        <w:t>工程量清单报价（</w:t>
      </w:r>
      <w:r>
        <w:rPr>
          <w:rFonts w:hint="eastAsia" w:ascii="宋体" w:hAnsi="宋体" w:cs="宋体"/>
          <w:b/>
          <w:bCs/>
          <w:color w:val="auto"/>
          <w:szCs w:val="21"/>
          <w:highlight w:val="none"/>
          <w:lang w:val="en-US" w:eastAsia="zh-CN"/>
        </w:rPr>
        <w:t>详见询价文件）</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 xml:space="preserve"> ：项目投入人员架构表</w:t>
      </w:r>
    </w:p>
    <w:tbl>
      <w:tblPr>
        <w:tblStyle w:val="23"/>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cs="宋体"/>
                <w:color w:val="auto"/>
                <w:sz w:val="24"/>
                <w:szCs w:val="24"/>
                <w:highlight w:val="none"/>
              </w:rPr>
            </w:pPr>
          </w:p>
        </w:tc>
      </w:tr>
    </w:tbl>
    <w:p>
      <w:pPr>
        <w:pStyle w:val="2"/>
        <w:rPr>
          <w:rFonts w:hint="eastAsia"/>
          <w:color w:val="auto"/>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：履约保函（模板）</w:t>
      </w:r>
    </w:p>
    <w:p>
      <w:pPr>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履约保函模板</w:t>
      </w:r>
    </w:p>
    <w:p>
      <w:pPr>
        <w:rPr>
          <w:rFonts w:asciiTheme="minorEastAsia" w:hAnsiTheme="minorEastAsia" w:eastAsiaTheme="minorEastAsia"/>
          <w:color w:val="auto"/>
          <w:sz w:val="24"/>
          <w:highlight w:val="none"/>
        </w:rPr>
      </w:pPr>
    </w:p>
    <w:p>
      <w:pP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致：</w:t>
      </w:r>
      <w:r>
        <w:rPr>
          <w:rFonts w:hint="eastAsia" w:asciiTheme="minorEastAsia" w:hAnsiTheme="minorEastAsia" w:eastAsiaTheme="minorEastAsia"/>
          <w:color w:val="auto"/>
          <w:sz w:val="24"/>
          <w:highlight w:val="none"/>
          <w:u w:val="single"/>
        </w:rPr>
        <w:t xml:space="preserve">               （受益人）</w:t>
      </w:r>
      <w:r>
        <w:rPr>
          <w:rFonts w:asciiTheme="minorEastAsia" w:hAnsiTheme="minorEastAsia" w:eastAsiaTheme="minorEastAsia"/>
          <w:color w:val="auto"/>
          <w:sz w:val="24"/>
          <w:highlight w:val="none"/>
        </w:rPr>
        <w:br w:type="textWrapping"/>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鉴于（以下简称“委托人”）与贵方于</w:t>
      </w:r>
      <w:r>
        <w:rPr>
          <w:rFonts w:hint="eastAsia" w:asciiTheme="minorEastAsia" w:hAnsiTheme="minorEastAsia" w:eastAsiaTheme="minorEastAsia"/>
          <w:color w:val="auto"/>
          <w:sz w:val="24"/>
          <w:highlight w:val="none"/>
          <w:u w:val="single"/>
        </w:rPr>
        <w:t xml:space="preserve">   年  月  日</w:t>
      </w:r>
      <w:r>
        <w:rPr>
          <w:rFonts w:hint="eastAsia" w:asciiTheme="minorEastAsia" w:hAnsiTheme="minorEastAsia" w:eastAsiaTheme="minorEastAsia"/>
          <w:color w:val="auto"/>
          <w:sz w:val="24"/>
          <w:highlight w:val="none"/>
        </w:rPr>
        <w:t>签订了（以下简称“合同”），我行同意为委托人出具履约保函，作为委托人履行合同义务的担保，以使你方得到履约保函的保障。本保函为不可撤销，见索即付的独立保函。</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二、贵单位的索赔申请应符合下述条件：</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（一）贵单位法定代表人或其授权代表签字并加盖单位公章；</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（二）在保函有效期内送达我行；</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（三）明确的索赔金额（不得超过本保函第一条所列之限额）。</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三、本保函自签发之日起生效，有效期至</w:t>
      </w:r>
      <w:r>
        <w:rPr>
          <w:rFonts w:hint="eastAsia" w:asciiTheme="minorEastAsia" w:hAnsiTheme="minorEastAsia" w:eastAsiaTheme="minorEastAsia"/>
          <w:color w:val="auto"/>
          <w:sz w:val="24"/>
          <w:highlight w:val="none"/>
          <w:u w:val="single"/>
        </w:rPr>
        <w:t xml:space="preserve">  年  月  日</w:t>
      </w:r>
      <w:r>
        <w:rPr>
          <w:rFonts w:hint="eastAsia" w:asciiTheme="minorEastAsia" w:hAnsiTheme="minorEastAsia" w:eastAsiaTheme="minorEastAsia"/>
          <w:color w:val="auto"/>
          <w:sz w:val="24"/>
          <w:highlight w:val="none"/>
        </w:rPr>
        <w:t>。本保函于下述任一事项发生之时立即失效，我行在本保函项下的保证义务即刻解除：</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（一）本保函有效期限届满；</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（二）我行保证的义务履行完毕。</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五、我行向你方支付索赔金额后，本保函担保金额即按贵方通知的索赔金额予以递减。</w:t>
      </w: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六、保函失效后请将保函退回我行注销，无论正本最终退回与否，不影响本保函依上述约定自动失效。</w:t>
      </w:r>
    </w:p>
    <w:p>
      <w:pPr>
        <w:ind w:firstLine="420"/>
        <w:rPr>
          <w:rFonts w:asciiTheme="minorEastAsia" w:hAnsiTheme="minorEastAsia" w:eastAsiaTheme="minorEastAsia"/>
          <w:color w:val="auto"/>
          <w:sz w:val="24"/>
          <w:highlight w:val="none"/>
        </w:rPr>
      </w:pPr>
    </w:p>
    <w:p>
      <w:pPr>
        <w:ind w:firstLine="420"/>
        <w:rPr>
          <w:rFonts w:asciiTheme="minorEastAsia" w:hAnsiTheme="minorEastAsia" w:eastAsiaTheme="minorEastAsia"/>
          <w:color w:val="auto"/>
          <w:sz w:val="24"/>
          <w:highlight w:val="none"/>
        </w:rPr>
      </w:pPr>
    </w:p>
    <w:p>
      <w:pPr>
        <w:ind w:firstLine="42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落款</w:t>
      </w:r>
    </w:p>
    <w:p>
      <w:pPr>
        <w:ind w:firstLine="420"/>
        <w:rPr>
          <w:rFonts w:asciiTheme="minorEastAsia" w:hAnsiTheme="minorEastAsia" w:eastAsiaTheme="minorEastAsia"/>
          <w:color w:val="auto"/>
          <w:sz w:val="24"/>
          <w:highlight w:val="none"/>
        </w:rPr>
      </w:pPr>
    </w:p>
    <w:p>
      <w:pPr>
        <w:ind w:firstLine="64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保函说明：</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保函不得有下列或类似含义的表述：</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1.银行承担的为连带责任保证、一般保证。</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2.未经银行书面同意，受益人与申请人修改合同或其项下附件时，银行的保证义务解除。</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3.合同撤销或无效的，保函失效。</w:t>
      </w:r>
    </w:p>
    <w:p>
      <w:pPr>
        <w:ind w:firstLine="645"/>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4.申请人对受益人的抗辩，银行有权向受益人主张。</w:t>
      </w:r>
    </w:p>
    <w:p>
      <w:pPr>
        <w:ind w:firstLine="645"/>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5.受益人请求付款的请款单据包含法院裁判文书、仲裁裁决、第三方单位出具的鉴定书等申请人违约的证明材料。</w:t>
      </w:r>
    </w:p>
    <w:p>
      <w:pPr>
        <w:rPr>
          <w:rFonts w:cs="仿宋_GB2312" w:asciiTheme="minorEastAsia" w:hAnsiTheme="minorEastAsia" w:eastAsiaTheme="minorEastAsia"/>
          <w:color w:val="auto"/>
          <w:sz w:val="24"/>
          <w:highlight w:val="none"/>
        </w:rPr>
      </w:pPr>
    </w:p>
    <w:p>
      <w:pPr>
        <w:rPr>
          <w:rFonts w:cs="仿宋_GB2312" w:asciiTheme="minorEastAsia" w:hAnsiTheme="minorEastAsia" w:eastAsiaTheme="minorEastAsia"/>
          <w:color w:val="auto"/>
          <w:sz w:val="24"/>
          <w:highlight w:val="none"/>
        </w:rPr>
      </w:pPr>
    </w:p>
    <w:p>
      <w:pPr>
        <w:pStyle w:val="2"/>
        <w:ind w:firstLine="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jc w:val="both"/>
        <w:rPr>
          <w:rFonts w:hint="eastAsia"/>
          <w:color w:val="auto"/>
          <w:highlight w:val="none"/>
        </w:rPr>
      </w:pPr>
      <w:bookmarkStart w:id="115" w:name="_Toc1563"/>
      <w:bookmarkStart w:id="116" w:name="_Toc16552"/>
      <w:bookmarkStart w:id="117" w:name="_Toc6230"/>
      <w:bookmarkStart w:id="118" w:name="_Toc30824"/>
      <w:bookmarkStart w:id="119" w:name="_Toc21847"/>
      <w:bookmarkStart w:id="120" w:name="_Toc28358"/>
      <w:bookmarkStart w:id="121" w:name="_Toc5129"/>
      <w:bookmarkStart w:id="122" w:name="_Toc8147"/>
      <w:bookmarkStart w:id="123" w:name="_Toc12169"/>
      <w:bookmarkStart w:id="124" w:name="_Toc23515"/>
      <w:bookmarkStart w:id="125" w:name="_Toc3723"/>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2275205</wp:posOffset>
                </wp:positionH>
                <wp:positionV relativeFrom="paragraph">
                  <wp:posOffset>856615</wp:posOffset>
                </wp:positionV>
                <wp:extent cx="958850" cy="0"/>
                <wp:effectExtent l="0" t="0" r="0" b="0"/>
                <wp:wrapNone/>
                <wp:docPr id="29"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79.15pt;margin-top:67.45pt;height:0pt;width:75.5pt;z-index:251676672;mso-width-relative:page;mso-height-relative:page;" filled="f" stroked="t" coordsize="21600,21600" o:gfxdata="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TT/KnXAAAACwEAAA8AAAAAAAAAAQAgAAAAIgAAAGRycy9kb3ducmV2LnhtbFBLAQIU&#10;ABQAAAAIAIdO4kAz4mXN9AEAAOQDAAAOAAAAAAAAAAEAIAAAACYBAABkcnMvZTJvRG9jLnhtbFBL&#10;BQYAAAAABgAGAFkBAACMBQAAAAA=&#10;">
                <v:fill on="f" focussize="0,0"/>
                <v:stroke color="#000000" joinstyle="round"/>
                <v:imagedata o:title=""/>
                <o:lock v:ext="edit" aspectratio="f"/>
              </v:shape>
            </w:pict>
          </mc:Fallback>
        </mc:AlternateContent>
      </w:r>
    </w:p>
    <w:p>
      <w:pPr>
        <w:pStyle w:val="4"/>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2258695</wp:posOffset>
                </wp:positionH>
                <wp:positionV relativeFrom="paragraph">
                  <wp:posOffset>590550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77.85pt;margin-top:46.5pt;height:0pt;width:75.5pt;z-index:251665408;mso-width-relative:page;mso-height-relative:page;" filled="f" stroked="t" coordsize="21600,21600" o:gfxdata="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L13TjWAAAACQEAAA8AAAAAAAAAAQAgAAAAIgAAAGRycy9kb3ducmV2LnhtbFBLAQIUABQA&#10;AAAIAIdO4kBKAv7M8gEAAOM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115"/>
      <w:bookmarkEnd w:id="116"/>
      <w:bookmarkEnd w:id="117"/>
      <w:bookmarkEnd w:id="118"/>
      <w:bookmarkEnd w:id="119"/>
      <w:bookmarkEnd w:id="120"/>
      <w:bookmarkEnd w:id="121"/>
      <w:bookmarkEnd w:id="122"/>
      <w:bookmarkEnd w:id="123"/>
      <w:bookmarkEnd w:id="124"/>
      <w:bookmarkEnd w:id="125"/>
    </w:p>
    <w:p>
      <w:pPr>
        <w:pStyle w:val="36"/>
        <w:rPr>
          <w:color w:val="auto"/>
          <w:highlight w:val="none"/>
        </w:rPr>
      </w:pPr>
    </w:p>
    <w:p>
      <w:pPr>
        <w:pStyle w:val="4"/>
        <w:rPr>
          <w:color w:val="auto"/>
          <w:highlight w:val="none"/>
        </w:rPr>
      </w:pPr>
      <w:bookmarkStart w:id="126" w:name="_Toc22764"/>
      <w:bookmarkStart w:id="127" w:name="_Toc21675"/>
      <w:bookmarkStart w:id="128" w:name="_Toc12769"/>
      <w:bookmarkStart w:id="129" w:name="_Toc17119"/>
      <w:bookmarkStart w:id="130" w:name="_Toc24490"/>
      <w:bookmarkStart w:id="131" w:name="_Toc10840"/>
      <w:bookmarkStart w:id="132" w:name="_Toc12610"/>
      <w:bookmarkStart w:id="133" w:name="_Toc30157"/>
      <w:bookmarkStart w:id="134" w:name="_Toc24815"/>
      <w:bookmarkStart w:id="135" w:name="_Toc88209951"/>
      <w:bookmarkStart w:id="136" w:name="_Toc5342"/>
      <w:bookmarkStart w:id="137" w:name="_Toc87616388"/>
      <w:bookmarkStart w:id="138" w:name="_Toc31564"/>
      <w:r>
        <w:rPr>
          <w:rFonts w:hint="eastAsia"/>
          <w:color w:val="auto"/>
          <w:highlight w:val="none"/>
        </w:rPr>
        <w:t>响应文件</w:t>
      </w:r>
      <w:r>
        <w:rPr>
          <w:rFonts w:hint="eastAsia"/>
          <w:color w:val="auto"/>
          <w:highlight w:val="none"/>
          <w:lang w:val="en-US" w:eastAsia="zh-CN"/>
        </w:rPr>
        <w:t>格式要求</w:t>
      </w:r>
      <w:bookmarkEnd w:id="126"/>
      <w:bookmarkEnd w:id="127"/>
      <w:bookmarkEnd w:id="128"/>
      <w:bookmarkEnd w:id="129"/>
      <w:bookmarkEnd w:id="130"/>
      <w:bookmarkEnd w:id="131"/>
      <w:bookmarkEnd w:id="132"/>
      <w:bookmarkEnd w:id="133"/>
      <w:bookmarkEnd w:id="134"/>
      <w:bookmarkEnd w:id="135"/>
      <w:bookmarkEnd w:id="136"/>
      <w:bookmarkEnd w:id="137"/>
      <w:bookmarkEnd w:id="138"/>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方正小标宋简体" w:eastAsia="方正小标宋简体"/>
          <w:color w:val="auto"/>
          <w:sz w:val="44"/>
          <w:szCs w:val="44"/>
          <w:highlight w:val="none"/>
          <w:u w:val="single"/>
        </w:rPr>
        <w:t>广州市净水有限公司2022年大坦沙、石井净、江高分公司管道改造项目</w:t>
      </w: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39" w:name="_Toc87616389"/>
      <w:bookmarkStart w:id="140" w:name="_Toc88209952"/>
      <w:r>
        <w:rPr>
          <w:rFonts w:hint="eastAsia" w:ascii="仿宋_GB2312" w:eastAsia="仿宋_GB2312"/>
          <w:color w:val="auto"/>
          <w:sz w:val="28"/>
          <w:szCs w:val="28"/>
          <w:highlight w:val="none"/>
        </w:rPr>
        <w:t>1.响应函</w:t>
      </w:r>
      <w:bookmarkEnd w:id="139"/>
      <w:bookmarkEnd w:id="140"/>
    </w:p>
    <w:p>
      <w:pPr>
        <w:spacing w:line="600" w:lineRule="exact"/>
        <w:rPr>
          <w:rFonts w:hint="eastAsia" w:ascii="仿宋_GB2312" w:eastAsia="仿宋_GB2312"/>
          <w:color w:val="auto"/>
          <w:sz w:val="28"/>
          <w:szCs w:val="28"/>
          <w:highlight w:val="none"/>
        </w:rPr>
      </w:pPr>
      <w:bookmarkStart w:id="141" w:name="_Toc88209953"/>
      <w:bookmarkStart w:id="142" w:name="_Toc87616390"/>
      <w:r>
        <w:rPr>
          <w:rFonts w:hint="eastAsia" w:ascii="仿宋_GB2312" w:eastAsia="仿宋_GB2312"/>
          <w:color w:val="auto"/>
          <w:sz w:val="28"/>
          <w:szCs w:val="28"/>
          <w:highlight w:val="none"/>
        </w:rPr>
        <w:t>2.法定代表人证明或授权委托书</w:t>
      </w:r>
      <w:bookmarkEnd w:id="141"/>
      <w:bookmarkEnd w:id="142"/>
      <w:bookmarkStart w:id="143" w:name="_Toc88209956"/>
      <w:bookmarkStart w:id="144"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43"/>
      <w:bookmarkEnd w:id="144"/>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bookmarkStart w:id="145" w:name="_Toc87616394"/>
      <w:bookmarkStart w:id="146" w:name="_Toc88209957"/>
      <w:bookmarkStart w:id="147" w:name="_Toc28619645"/>
      <w:bookmarkStart w:id="148" w:name="_Toc6313"/>
      <w:bookmarkStart w:id="149" w:name="_Toc12665"/>
      <w:r>
        <w:rPr>
          <w:rFonts w:hint="eastAsia" w:asciiTheme="minorEastAsia" w:hAnsiTheme="minorEastAsia" w:eastAsiaTheme="minorEastAsia"/>
          <w:color w:val="auto"/>
          <w:sz w:val="28"/>
          <w:szCs w:val="28"/>
          <w:highlight w:val="none"/>
        </w:rPr>
        <w:t>1.响应函</w:t>
      </w:r>
      <w:bookmarkEnd w:id="145"/>
      <w:bookmarkEnd w:id="146"/>
      <w:bookmarkEnd w:id="147"/>
      <w:bookmarkEnd w:id="148"/>
      <w:bookmarkEnd w:id="14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广州市净水有限公司2022年大坦沙、石井净、江高分公司管道改造项目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50" w:name="_Toc87616395"/>
      <w:bookmarkStart w:id="151" w:name="_Toc22527"/>
      <w:bookmarkStart w:id="152" w:name="_Toc29833"/>
      <w:bookmarkStart w:id="153" w:name="_Toc88209958"/>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50"/>
      <w:bookmarkEnd w:id="151"/>
      <w:bookmarkEnd w:id="152"/>
      <w:bookmarkEnd w:id="153"/>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8"/>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7"/>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6432"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6432;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广州市净水有限公司2022年大坦沙、石井净、江高分公司管道改造项目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6"/>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7456"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54" w:name="_Toc88209963"/>
      <w:bookmarkStart w:id="155" w:name="_Toc87616400"/>
      <w:bookmarkStart w:id="156" w:name="_Toc8086"/>
      <w:bookmarkStart w:id="157"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54"/>
      <w:bookmarkEnd w:id="155"/>
      <w:bookmarkEnd w:id="156"/>
      <w:bookmarkEnd w:id="15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58"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58"/>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US" w:eastAsia="zh-CN"/>
        </w:rPr>
        <w:t>广州市净水有限公司2022年大坦沙、石井净、江高分公司管道改造项目</w:t>
      </w:r>
      <w:r>
        <w:rPr>
          <w:rFonts w:hint="eastAsia" w:ascii="宋体" w:hAnsi="宋体" w:eastAsia="宋体" w:cs="宋体"/>
          <w:color w:val="auto"/>
          <w:kern w:val="2"/>
          <w:sz w:val="24"/>
          <w:szCs w:val="24"/>
          <w:highlight w:val="none"/>
          <w:u w:val="single"/>
          <w:lang w:val="en-GB"/>
        </w:rPr>
        <w:t>（项目编号：</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keepNext w:val="0"/>
        <w:keepLines w:val="0"/>
        <w:pageBreakBefore w:val="0"/>
        <w:widowControl/>
        <w:numPr>
          <w:ilvl w:val="0"/>
          <w:numId w:val="7"/>
        </w:numPr>
        <w:kinsoku/>
        <w:wordWrap/>
        <w:overflowPunct/>
        <w:topLinePunct w:val="0"/>
        <w:bidi w:val="0"/>
        <w:adjustRightInd/>
        <w:spacing w:line="360" w:lineRule="auto"/>
        <w:ind w:firstLine="562" w:firstLineChars="200"/>
        <w:textAlignment w:val="auto"/>
        <w:rPr>
          <w:rFonts w:hint="eastAsia" w:ascii="宋体" w:hAnsi="宋体" w:eastAsia="宋体" w:cs="宋体"/>
          <w:b w:val="0"/>
          <w:bCs w:val="0"/>
          <w:color w:val="auto"/>
          <w:sz w:val="24"/>
          <w:szCs w:val="24"/>
          <w:highlight w:val="none"/>
          <w:u w:val="none"/>
          <w:lang w:val="en-US" w:eastAsia="zh-CN"/>
        </w:rPr>
      </w:pPr>
      <w:bookmarkStart w:id="159" w:name="_Toc19423"/>
      <w:bookmarkStart w:id="160" w:name="_Toc32430"/>
      <w:r>
        <w:rPr>
          <w:rFonts w:hint="eastAsia" w:asciiTheme="minorEastAsia" w:hAnsiTheme="minorEastAsia" w:eastAsiaTheme="minorEastAsia"/>
          <w:color w:val="auto"/>
          <w:sz w:val="28"/>
          <w:szCs w:val="28"/>
          <w:highlight w:val="none"/>
        </w:rPr>
        <w:t>报价表</w:t>
      </w:r>
      <w:bookmarkEnd w:id="159"/>
      <w:bookmarkEnd w:id="160"/>
    </w:p>
    <w:p>
      <w:pPr>
        <w:pageBreakBefore w:val="0"/>
        <w:wordWrap/>
        <w:topLinePunct w:val="0"/>
        <w:bidi w:val="0"/>
        <w:adjustRightInd w:val="0"/>
        <w:snapToGrid w:val="0"/>
        <w:spacing w:line="360" w:lineRule="auto"/>
        <w:rPr>
          <w:rFonts w:hint="eastAsia" w:ascii="宋体" w:hAnsi="宋体" w:eastAsia="宋体" w:cs="宋体"/>
          <w:b/>
          <w:bCs/>
          <w:color w:val="auto"/>
          <w:sz w:val="24"/>
          <w:szCs w:val="24"/>
          <w:highlight w:val="none"/>
        </w:rPr>
      </w:pPr>
    </w:p>
    <w:p>
      <w:pPr>
        <w:pageBreakBefore w:val="0"/>
        <w:wordWrap/>
        <w:topLinePunct w:val="0"/>
        <w:bidi w:val="0"/>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供应商名称： </w:t>
      </w:r>
    </w:p>
    <w:p>
      <w:pPr>
        <w:pStyle w:val="13"/>
        <w:pageBreakBefore w:val="0"/>
        <w:wordWrap/>
        <w:topLinePunct w:val="0"/>
        <w:bidi w:val="0"/>
        <w:adjustRightInd w:val="0"/>
        <w:snapToGrid w:val="0"/>
        <w:spacing w:line="360" w:lineRule="auto"/>
        <w:ind w:right="48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[货币单位：人民币元]</w:t>
      </w:r>
    </w:p>
    <w:tbl>
      <w:tblPr>
        <w:tblStyle w:val="48"/>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2"/>
        <w:gridCol w:w="1515"/>
        <w:gridCol w:w="1110"/>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07" w:type="dxa"/>
            <w:gridSpan w:val="4"/>
            <w:tcBorders>
              <w:top w:val="single" w:color="auto" w:sz="4" w:space="0"/>
              <w:left w:val="single" w:color="auto" w:sz="4" w:space="0"/>
              <w:bottom w:val="single" w:color="auto" w:sz="4" w:space="0"/>
              <w:right w:val="single" w:color="auto" w:sz="4" w:space="0"/>
            </w:tcBorders>
            <w:vAlign w:val="center"/>
          </w:tcPr>
          <w:p>
            <w:pPr>
              <w:pageBreakBefore w:val="0"/>
              <w:wordWrap/>
              <w:topLinePunct w:val="0"/>
              <w:bidi w:val="0"/>
              <w:adjustRightInd w:val="0"/>
              <w:snapToGrid w:val="0"/>
              <w:spacing w:line="360" w:lineRule="auto"/>
              <w:jc w:val="both"/>
              <w:rPr>
                <w:rFonts w:hint="eastAsia" w:ascii="宋体" w:hAnsi="宋体" w:eastAsia="宋体" w:cs="宋体"/>
                <w:color w:val="auto"/>
                <w:highlight w:val="none"/>
                <w:lang w:eastAsia="zh-CN"/>
              </w:rPr>
            </w:pPr>
            <w:r>
              <w:rPr>
                <w:rFonts w:hint="eastAsia" w:ascii="宋体" w:hAnsi="宋体" w:eastAsia="宋体" w:cs="宋体"/>
                <w:b/>
                <w:color w:val="auto"/>
                <w:sz w:val="24"/>
                <w:szCs w:val="24"/>
                <w:highlight w:val="none"/>
                <w:u w:val="none"/>
                <w:lang w:val="en-GB" w:eastAsia="zh-CN"/>
              </w:rPr>
              <w:t>广州市净水有限公司2022年大坦沙、石井净、江高分公司管道改造项目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52" w:type="dxa"/>
            <w:tcBorders>
              <w:top w:val="single" w:color="auto" w:sz="4" w:space="0"/>
              <w:left w:val="single" w:color="auto" w:sz="4" w:space="0"/>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default" w:ascii="宋体" w:hAnsi="宋体" w:eastAsia="宋体" w:cs="宋体"/>
                <w:b/>
                <w:bCs/>
                <w:color w:val="auto"/>
                <w:highlight w:val="none"/>
                <w:lang w:val="en-US" w:eastAsia="zh-CN"/>
              </w:rPr>
            </w:pPr>
            <w:r>
              <w:rPr>
                <w:rFonts w:hint="eastAsia" w:hAnsi="宋体" w:eastAsia="宋体" w:cs="宋体"/>
                <w:b/>
                <w:bCs/>
                <w:color w:val="auto"/>
                <w:highlight w:val="none"/>
                <w:lang w:val="en-US" w:eastAsia="zh-CN"/>
              </w:rPr>
              <w:t>项目</w:t>
            </w:r>
          </w:p>
        </w:tc>
        <w:tc>
          <w:tcPr>
            <w:tcW w:w="1515"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default" w:ascii="宋体" w:hAnsi="宋体" w:eastAsia="宋体" w:cs="宋体"/>
                <w:b/>
                <w:bCs/>
                <w:color w:val="auto"/>
                <w:highlight w:val="none"/>
                <w:lang w:val="en-US" w:eastAsia="zh-CN"/>
              </w:rPr>
            </w:pPr>
            <w:r>
              <w:rPr>
                <w:rFonts w:hint="eastAsia" w:hAnsi="宋体" w:eastAsia="宋体"/>
                <w:b/>
                <w:bCs/>
                <w:color w:val="auto"/>
                <w:highlight w:val="none"/>
              </w:rPr>
              <w:t>项目总价（含税价/元）</w:t>
            </w:r>
          </w:p>
        </w:tc>
        <w:tc>
          <w:tcPr>
            <w:tcW w:w="1110" w:type="dxa"/>
            <w:tcBorders>
              <w:top w:val="single" w:color="auto" w:sz="4" w:space="0"/>
              <w:left w:val="nil"/>
              <w:bottom w:val="single" w:color="auto" w:sz="4" w:space="0"/>
              <w:right w:val="single" w:color="auto" w:sz="4" w:space="0"/>
            </w:tcBorders>
            <w:vAlign w:val="center"/>
          </w:tcPr>
          <w:p>
            <w:pPr>
              <w:pStyle w:val="46"/>
              <w:jc w:val="center"/>
              <w:rPr>
                <w:rFonts w:hint="eastAsia" w:hAnsi="宋体" w:eastAsia="宋体"/>
                <w:b/>
                <w:bCs/>
                <w:color w:val="auto"/>
                <w:highlight w:val="none"/>
              </w:rPr>
            </w:pPr>
            <w:r>
              <w:rPr>
                <w:rFonts w:hint="eastAsia" w:hAnsi="宋体" w:eastAsia="宋体" w:cs="宋体"/>
                <w:b/>
                <w:bCs/>
                <w:color w:val="auto"/>
                <w:sz w:val="24"/>
                <w:szCs w:val="24"/>
                <w:highlight w:val="none"/>
                <w:lang w:val="en-US" w:eastAsia="zh-CN"/>
              </w:rPr>
              <w:t>绿色安全措施费（元）</w:t>
            </w:r>
          </w:p>
        </w:tc>
        <w:tc>
          <w:tcPr>
            <w:tcW w:w="1130" w:type="dxa"/>
            <w:tcBorders>
              <w:top w:val="single" w:color="auto" w:sz="4" w:space="0"/>
              <w:left w:val="nil"/>
              <w:bottom w:val="single" w:color="auto" w:sz="4" w:space="0"/>
              <w:right w:val="single" w:color="auto" w:sz="4" w:space="0"/>
            </w:tcBorders>
            <w:vAlign w:val="center"/>
          </w:tcPr>
          <w:p>
            <w:pPr>
              <w:pStyle w:val="46"/>
              <w:jc w:val="center"/>
              <w:rPr>
                <w:rFonts w:hint="eastAsia" w:hAnsi="宋体" w:eastAsia="宋体"/>
                <w:b/>
                <w:bCs/>
                <w:color w:val="auto"/>
                <w:highlight w:val="none"/>
              </w:rPr>
            </w:pPr>
            <w:r>
              <w:rPr>
                <w:rFonts w:hint="eastAsia" w:hAnsi="宋体" w:eastAsia="宋体" w:cs="宋体"/>
                <w:b/>
                <w:bCs/>
                <w:color w:val="auto"/>
                <w:sz w:val="24"/>
                <w:szCs w:val="24"/>
                <w:highlight w:val="none"/>
                <w:lang w:val="en-US" w:eastAsia="zh-CN"/>
              </w:rPr>
              <w:t>暂列金（元）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52" w:type="dxa"/>
            <w:tcBorders>
              <w:top w:val="single" w:color="auto" w:sz="4" w:space="0"/>
              <w:left w:val="single" w:color="auto" w:sz="4" w:space="0"/>
              <w:bottom w:val="single" w:color="auto" w:sz="4" w:space="0"/>
              <w:right w:val="single" w:color="auto" w:sz="4" w:space="0"/>
            </w:tcBorders>
            <w:vAlign w:val="center"/>
          </w:tcPr>
          <w:p>
            <w:pPr>
              <w:pStyle w:val="46"/>
              <w:spacing w:line="360" w:lineRule="auto"/>
              <w:jc w:val="left"/>
              <w:outlineLvl w:val="1"/>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项目一：大坦沙分公司2022年三期污水泵房管道改造项目</w:t>
            </w:r>
          </w:p>
        </w:tc>
        <w:tc>
          <w:tcPr>
            <w:tcW w:w="1515"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1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3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lang w:val="en-US" w:eastAsia="zh-CN"/>
              </w:rPr>
            </w:pPr>
            <w:r>
              <w:rPr>
                <w:rFonts w:hint="eastAsia" w:hAnsi="宋体" w:eastAsia="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52" w:type="dxa"/>
            <w:tcBorders>
              <w:top w:val="single" w:color="auto" w:sz="4" w:space="0"/>
              <w:left w:val="single" w:color="auto" w:sz="4" w:space="0"/>
              <w:bottom w:val="single" w:color="auto" w:sz="4" w:space="0"/>
              <w:right w:val="single" w:color="auto" w:sz="4" w:space="0"/>
            </w:tcBorders>
            <w:vAlign w:val="center"/>
          </w:tcPr>
          <w:p>
            <w:pPr>
              <w:pStyle w:val="46"/>
              <w:spacing w:line="360" w:lineRule="auto"/>
              <w:jc w:val="left"/>
              <w:outlineLvl w:val="1"/>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项目二：石井净分公司2022年二期厂区生产区域自来水及中水系统完善工程</w:t>
            </w:r>
          </w:p>
        </w:tc>
        <w:tc>
          <w:tcPr>
            <w:tcW w:w="1515"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1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3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lang w:val="en-US" w:eastAsia="zh-CN"/>
              </w:rPr>
            </w:pPr>
            <w:r>
              <w:rPr>
                <w:rFonts w:hint="eastAsia" w:hAnsi="宋体" w:eastAsia="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52" w:type="dxa"/>
            <w:tcBorders>
              <w:top w:val="single" w:color="auto" w:sz="4" w:space="0"/>
              <w:left w:val="single" w:color="auto" w:sz="4" w:space="0"/>
              <w:bottom w:val="single" w:color="auto" w:sz="4" w:space="0"/>
              <w:right w:val="single" w:color="auto" w:sz="4" w:space="0"/>
            </w:tcBorders>
            <w:vAlign w:val="center"/>
          </w:tcPr>
          <w:p>
            <w:pPr>
              <w:pStyle w:val="46"/>
              <w:spacing w:line="360" w:lineRule="auto"/>
              <w:jc w:val="left"/>
              <w:outlineLvl w:val="1"/>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项目三：江高分公司2022年生产区域自来水中水改造项目</w:t>
            </w:r>
          </w:p>
        </w:tc>
        <w:tc>
          <w:tcPr>
            <w:tcW w:w="1515"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1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3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52" w:type="dxa"/>
            <w:tcBorders>
              <w:top w:val="single" w:color="auto" w:sz="4" w:space="0"/>
              <w:left w:val="single" w:color="auto" w:sz="4" w:space="0"/>
              <w:bottom w:val="single" w:color="auto" w:sz="4" w:space="0"/>
              <w:right w:val="single" w:color="auto" w:sz="4" w:space="0"/>
            </w:tcBorders>
            <w:vAlign w:val="center"/>
          </w:tcPr>
          <w:p>
            <w:pPr>
              <w:pStyle w:val="46"/>
              <w:spacing w:line="360" w:lineRule="auto"/>
              <w:jc w:val="left"/>
              <w:outlineLvl w:val="1"/>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项目四：江高分公司2022年一期机修车间改造项目</w:t>
            </w:r>
          </w:p>
        </w:tc>
        <w:tc>
          <w:tcPr>
            <w:tcW w:w="1515"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1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3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lang w:val="en-US" w:eastAsia="zh-CN"/>
              </w:rPr>
            </w:pPr>
            <w:r>
              <w:rPr>
                <w:rFonts w:hint="eastAsia" w:hAnsi="宋体" w:eastAsia="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52" w:type="dxa"/>
            <w:tcBorders>
              <w:top w:val="single" w:color="auto" w:sz="4" w:space="0"/>
              <w:left w:val="single" w:color="auto" w:sz="4" w:space="0"/>
              <w:bottom w:val="single" w:color="auto" w:sz="4" w:space="0"/>
              <w:right w:val="single" w:color="auto" w:sz="4" w:space="0"/>
            </w:tcBorders>
            <w:vAlign w:val="center"/>
          </w:tcPr>
          <w:p>
            <w:pPr>
              <w:pStyle w:val="46"/>
              <w:pageBreakBefore w:val="0"/>
              <w:wordWrap/>
              <w:topLinePunct w:val="0"/>
              <w:bidi w:val="0"/>
              <w:snapToGrid/>
              <w:spacing w:line="360" w:lineRule="auto"/>
              <w:jc w:val="center"/>
              <w:outlineLvl w:val="1"/>
              <w:rPr>
                <w:rFonts w:hint="eastAsia" w:ascii="宋体" w:hAnsi="宋体" w:eastAsia="宋体" w:cs="宋体"/>
                <w:b/>
                <w:bCs/>
                <w:color w:val="auto"/>
                <w:highlight w:val="none"/>
                <w:lang w:val="en-US" w:eastAsia="zh-CN"/>
              </w:rPr>
            </w:pPr>
            <w:r>
              <w:rPr>
                <w:rFonts w:hint="eastAsia" w:hAnsi="宋体" w:eastAsia="宋体" w:cs="宋体"/>
                <w:b/>
                <w:bCs/>
                <w:color w:val="auto"/>
                <w:highlight w:val="none"/>
                <w:lang w:val="en-US" w:eastAsia="zh-CN"/>
              </w:rPr>
              <w:t>合计</w:t>
            </w:r>
          </w:p>
        </w:tc>
        <w:tc>
          <w:tcPr>
            <w:tcW w:w="1515"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1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c>
          <w:tcPr>
            <w:tcW w:w="1130" w:type="dxa"/>
            <w:tcBorders>
              <w:top w:val="single" w:color="auto" w:sz="4" w:space="0"/>
              <w:left w:val="nil"/>
              <w:bottom w:val="single" w:color="auto" w:sz="4" w:space="0"/>
              <w:right w:val="single" w:color="auto" w:sz="4" w:space="0"/>
            </w:tcBorders>
            <w:vAlign w:val="center"/>
          </w:tcPr>
          <w:p>
            <w:pPr>
              <w:pStyle w:val="46"/>
              <w:pageBreakBefore w:val="0"/>
              <w:wordWrap/>
              <w:topLinePunct w:val="0"/>
              <w:bidi w:val="0"/>
              <w:snapToGrid w:val="0"/>
              <w:spacing w:line="360" w:lineRule="auto"/>
              <w:jc w:val="center"/>
              <w:rPr>
                <w:rFonts w:hint="eastAsia" w:ascii="宋体" w:hAnsi="宋体" w:eastAsia="宋体" w:cs="宋体"/>
                <w:color w:val="auto"/>
                <w:highlight w:val="none"/>
              </w:rPr>
            </w:pPr>
          </w:p>
        </w:tc>
      </w:tr>
    </w:tbl>
    <w:p>
      <w:pPr>
        <w:pageBreakBefore w:val="0"/>
        <w:wordWrap/>
        <w:topLinePunct w:val="0"/>
        <w:bidi w:val="0"/>
        <w:adjustRightInd w:val="0"/>
        <w:snapToGrid w:val="0"/>
        <w:spacing w:line="360" w:lineRule="auto"/>
        <w:rPr>
          <w:rFonts w:hint="eastAsia" w:ascii="宋体" w:hAnsi="宋体" w:eastAsia="宋体" w:cs="宋体"/>
          <w:color w:val="auto"/>
          <w:sz w:val="24"/>
          <w:szCs w:val="24"/>
          <w:highlight w:val="none"/>
          <w:lang w:val="en-GB"/>
        </w:rPr>
      </w:pPr>
    </w:p>
    <w:p>
      <w:pPr>
        <w:pStyle w:val="22"/>
        <w:pageBreakBefore w:val="0"/>
        <w:wordWrap/>
        <w:topLinePunct w:val="0"/>
        <w:bidi w:val="0"/>
        <w:adjustRightInd w:val="0"/>
        <w:snapToGrid w:val="0"/>
        <w:spacing w:before="0" w:beforeAutospacing="0" w:after="0" w:afterAutospacing="0" w:line="360" w:lineRule="auto"/>
        <w:ind w:firstLine="420"/>
        <w:jc w:val="both"/>
        <w:rPr>
          <w:rFonts w:hint="eastAsia" w:ascii="宋体" w:hAnsi="宋体" w:eastAsia="宋体" w:cs="宋体"/>
          <w:b/>
          <w:bCs/>
          <w:color w:val="auto"/>
          <w:highlight w:val="none"/>
          <w:lang w:val="zh-CN"/>
        </w:rPr>
      </w:pPr>
      <w:r>
        <w:rPr>
          <w:rFonts w:hint="eastAsia" w:ascii="宋体" w:hAnsi="宋体" w:eastAsia="宋体" w:cs="宋体"/>
          <w:b/>
          <w:bCs/>
          <w:color w:val="auto"/>
          <w:sz w:val="24"/>
          <w:szCs w:val="24"/>
          <w:highlight w:val="none"/>
          <w:lang w:val="en-GB"/>
        </w:rPr>
        <w:t>注</w:t>
      </w:r>
      <w:r>
        <w:rPr>
          <w:rFonts w:hint="eastAsia" w:ascii="宋体" w:hAnsi="宋体" w:eastAsia="宋体" w:cs="宋体"/>
          <w:color w:val="auto"/>
          <w:sz w:val="24"/>
          <w:szCs w:val="24"/>
          <w:highlight w:val="none"/>
          <w:lang w:val="en-GB"/>
        </w:rPr>
        <w:t>：</w:t>
      </w:r>
      <w:r>
        <w:rPr>
          <w:rFonts w:hint="eastAsia" w:ascii="宋体" w:hAnsi="宋体" w:eastAsia="宋体" w:cs="宋体"/>
          <w:b/>
          <w:bCs/>
          <w:color w:val="auto"/>
          <w:highlight w:val="none"/>
          <w:lang w:val="zh-CN"/>
        </w:rPr>
        <w:t>△绿色施工安全防护措施费</w:t>
      </w:r>
      <w:r>
        <w:rPr>
          <w:rFonts w:hint="eastAsia" w:eastAsia="宋体" w:cs="宋体"/>
          <w:b/>
          <w:bCs/>
          <w:color w:val="auto"/>
          <w:highlight w:val="none"/>
          <w:lang w:val="en-US" w:eastAsia="zh-CN"/>
        </w:rPr>
        <w:t>及暂列金</w:t>
      </w:r>
      <w:r>
        <w:rPr>
          <w:rFonts w:hint="eastAsia" w:ascii="宋体" w:hAnsi="宋体" w:eastAsia="宋体" w:cs="宋体"/>
          <w:b/>
          <w:bCs/>
          <w:color w:val="auto"/>
          <w:highlight w:val="none"/>
          <w:lang w:val="zh-CN"/>
        </w:rPr>
        <w:t>为非竞争性费用，在报价时须按</w:t>
      </w:r>
      <w:r>
        <w:rPr>
          <w:rFonts w:hint="eastAsia" w:ascii="宋体" w:hAnsi="宋体" w:eastAsia="宋体" w:cs="宋体"/>
          <w:b/>
          <w:bCs/>
          <w:color w:val="auto"/>
          <w:highlight w:val="none"/>
        </w:rPr>
        <w:t>询价</w:t>
      </w:r>
      <w:r>
        <w:rPr>
          <w:rFonts w:hint="eastAsia" w:ascii="宋体" w:hAnsi="宋体" w:eastAsia="宋体" w:cs="宋体"/>
          <w:b/>
          <w:bCs/>
          <w:color w:val="auto"/>
          <w:highlight w:val="none"/>
          <w:lang w:val="zh-CN"/>
        </w:rPr>
        <w:t>文件规定的金额填写，不得参与竞争，否则按无效报价处理。</w:t>
      </w:r>
    </w:p>
    <w:p>
      <w:pPr>
        <w:pageBreakBefore w:val="0"/>
        <w:wordWrap/>
        <w:topLinePunct w:val="0"/>
        <w:bidi w:val="0"/>
        <w:adjustRightInd w:val="0"/>
        <w:snapToGrid w:val="0"/>
        <w:spacing w:line="360" w:lineRule="auto"/>
        <w:jc w:val="both"/>
        <w:rPr>
          <w:rFonts w:hint="eastAsia" w:ascii="宋体" w:hAnsi="宋体" w:eastAsia="宋体" w:cs="宋体"/>
          <w:color w:val="auto"/>
          <w:sz w:val="24"/>
          <w:szCs w:val="24"/>
          <w:highlight w:val="none"/>
          <w:lang w:val="en-GB"/>
        </w:rPr>
      </w:pPr>
    </w:p>
    <w:p>
      <w:pPr>
        <w:pStyle w:val="10"/>
        <w:pageBreakBefore w:val="0"/>
        <w:wordWrap/>
        <w:topLinePunct w:val="0"/>
        <w:bidi w:val="0"/>
        <w:adjustRightInd w:val="0"/>
        <w:snapToGrid w:val="0"/>
        <w:spacing w:after="0" w:line="360" w:lineRule="auto"/>
        <w:jc w:val="right"/>
        <w:rPr>
          <w:rFonts w:hint="eastAsia" w:ascii="宋体" w:hAnsi="宋体" w:eastAsia="宋体" w:cs="宋体"/>
          <w:color w:val="auto"/>
          <w:highlight w:val="none"/>
          <w:lang w:val="en-GB"/>
        </w:rPr>
      </w:pPr>
    </w:p>
    <w:p>
      <w:pPr>
        <w:pageBreakBefore w:val="0"/>
        <w:wordWrap/>
        <w:topLinePunct w:val="0"/>
        <w:bidi w:val="0"/>
        <w:adjustRightInd w:val="0"/>
        <w:snapToGrid w:val="0"/>
        <w:spacing w:line="360" w:lineRule="auto"/>
        <w:ind w:left="4253" w:leftChars="2025"/>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供应商名称（单位公章）：</w:t>
      </w:r>
    </w:p>
    <w:p>
      <w:pPr>
        <w:pStyle w:val="2"/>
        <w:rPr>
          <w:rFonts w:hint="eastAsia"/>
          <w:color w:val="auto"/>
          <w:highlight w:val="none"/>
        </w:rPr>
      </w:pPr>
    </w:p>
    <w:p>
      <w:pPr>
        <w:pageBreakBefore w:val="0"/>
        <w:wordWrap/>
        <w:topLinePunct w:val="0"/>
        <w:bidi w:val="0"/>
        <w:adjustRightInd w:val="0"/>
        <w:snapToGrid w:val="0"/>
        <w:spacing w:line="360" w:lineRule="auto"/>
        <w:ind w:firstLine="4200" w:firstLineChars="1750"/>
        <w:jc w:val="right"/>
        <w:rPr>
          <w:rFonts w:hint="eastAsia" w:ascii="宋体" w:hAnsi="宋体" w:eastAsia="宋体" w:cs="宋体"/>
          <w:b/>
          <w:color w:val="auto"/>
          <w:sz w:val="36"/>
          <w:szCs w:val="36"/>
          <w:highlight w:val="none"/>
        </w:rPr>
      </w:pPr>
      <w:r>
        <w:rPr>
          <w:rFonts w:hint="eastAsia" w:ascii="宋体" w:hAnsi="宋体" w:eastAsia="宋体" w:cs="宋体"/>
          <w:color w:val="auto"/>
          <w:sz w:val="24"/>
          <w:szCs w:val="24"/>
          <w:highlight w:val="none"/>
        </w:rPr>
        <w:t>日期：   年   月   日</w:t>
      </w:r>
    </w:p>
    <w:p>
      <w:pPr>
        <w:numPr>
          <w:ilvl w:val="0"/>
          <w:numId w:val="0"/>
        </w:numPr>
        <w:rPr>
          <w:color w:val="auto"/>
          <w:highlight w:val="none"/>
        </w:rPr>
      </w:pPr>
    </w:p>
    <w:p>
      <w:pPr>
        <w:spacing w:line="360" w:lineRule="auto"/>
        <w:rPr>
          <w:rFonts w:hint="eastAsia" w:ascii="宋体" w:hAnsi="宋体" w:cs="宋体"/>
          <w:color w:val="auto"/>
          <w:sz w:val="24"/>
          <w:highlight w:val="none"/>
          <w:lang w:val="en-US" w:eastAsia="zh-CN"/>
        </w:rPr>
      </w:pPr>
    </w:p>
    <w:p>
      <w:pPr>
        <w:pStyle w:val="2"/>
        <w:ind w:firstLine="0"/>
        <w:rPr>
          <w:rFonts w:hint="eastAsia" w:ascii="宋体" w:hAnsi="宋体" w:cs="宋体"/>
          <w:color w:val="auto"/>
          <w:sz w:val="24"/>
          <w:highlight w:val="none"/>
          <w:lang w:val="en-US" w:eastAsia="zh-CN"/>
        </w:rPr>
      </w:pPr>
    </w:p>
    <w:p>
      <w:pPr>
        <w:pStyle w:val="2"/>
        <w:ind w:firstLine="0"/>
        <w:rPr>
          <w:rFonts w:hint="eastAsia" w:ascii="宋体" w:hAnsi="宋体" w:cs="宋体"/>
          <w:color w:val="auto"/>
          <w:sz w:val="24"/>
          <w:highlight w:val="none"/>
          <w:lang w:val="en-US" w:eastAsia="zh-CN"/>
        </w:rPr>
      </w:pPr>
    </w:p>
    <w:p>
      <w:pPr>
        <w:pageBreakBefore w:val="0"/>
        <w:wordWrap/>
        <w:topLinePunct w:val="0"/>
        <w:bidi w:val="0"/>
        <w:spacing w:line="360" w:lineRule="auto"/>
        <w:jc w:val="center"/>
        <w:rPr>
          <w:rFonts w:hint="eastAsia" w:ascii="宋体" w:hAnsi="宋体" w:eastAsia="宋体" w:cs="宋体"/>
          <w:color w:val="auto"/>
          <w:sz w:val="36"/>
          <w:szCs w:val="36"/>
          <w:highlight w:val="none"/>
        </w:rPr>
      </w:pPr>
      <w:r>
        <w:rPr>
          <w:rFonts w:hint="eastAsia" w:ascii="宋体" w:hAnsi="宋体" w:eastAsia="宋体" w:cs="宋体"/>
          <w:b/>
          <w:bCs/>
          <w:color w:val="auto"/>
          <w:sz w:val="36"/>
          <w:szCs w:val="36"/>
          <w:highlight w:val="none"/>
        </w:rPr>
        <w:t>项目明细报价</w:t>
      </w:r>
    </w:p>
    <w:p>
      <w:pPr>
        <w:pStyle w:val="46"/>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color w:val="auto"/>
          <w:kern w:val="2"/>
          <w:sz w:val="28"/>
          <w:szCs w:val="28"/>
          <w:highlight w:val="none"/>
        </w:rPr>
        <w:t>工程量清单报价</w:t>
      </w:r>
    </w:p>
    <w:p>
      <w:pPr>
        <w:pStyle w:val="2"/>
        <w:rPr>
          <w:rFonts w:hint="eastAsia" w:ascii="宋体" w:hAnsi="宋体" w:cs="宋体"/>
          <w:color w:val="auto"/>
          <w:sz w:val="24"/>
          <w:highlight w:val="none"/>
          <w:lang w:val="en-US" w:eastAsia="zh-CN"/>
        </w:rPr>
      </w:pPr>
    </w:p>
    <w:p>
      <w:pPr>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项目一：大坦沙分公司2022年三期污水泵房管道改造项目</w:t>
      </w:r>
    </w:p>
    <w:tbl>
      <w:tblPr>
        <w:tblStyle w:val="23"/>
        <w:tblW w:w="92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1"/>
        <w:gridCol w:w="2509"/>
        <w:gridCol w:w="1542"/>
        <w:gridCol w:w="941"/>
        <w:gridCol w:w="767"/>
        <w:gridCol w:w="222"/>
        <w:gridCol w:w="495"/>
        <w:gridCol w:w="1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283"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建设项目费用汇总表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5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工程名称：大坦沙分公司2022年三期污水泵房管道改造项目</w:t>
            </w:r>
          </w:p>
        </w:tc>
        <w:tc>
          <w:tcPr>
            <w:tcW w:w="222" w:type="dxa"/>
            <w:tcBorders>
              <w:top w:val="nil"/>
              <w:left w:val="nil"/>
              <w:bottom w:val="nil"/>
              <w:right w:val="nil"/>
            </w:tcBorders>
            <w:shd w:val="clear" w:color="FFFFFF" w:fill="FFFFFF"/>
            <w:vAlign w:val="bottom"/>
          </w:tcPr>
          <w:p>
            <w:pPr>
              <w:jc w:val="center"/>
              <w:rPr>
                <w:rFonts w:hint="eastAsia" w:ascii="宋体" w:hAnsi="宋体" w:eastAsia="宋体" w:cs="宋体"/>
                <w:i w:val="0"/>
                <w:iCs w:val="0"/>
                <w:color w:val="auto"/>
                <w:sz w:val="20"/>
                <w:szCs w:val="20"/>
                <w:highlight w:val="none"/>
                <w:u w:val="none"/>
              </w:rPr>
            </w:pPr>
          </w:p>
        </w:tc>
        <w:tc>
          <w:tcPr>
            <w:tcW w:w="2011"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9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50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单项工程名称</w:t>
            </w:r>
          </w:p>
        </w:tc>
        <w:tc>
          <w:tcPr>
            <w:tcW w:w="154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3941"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29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50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54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4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5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29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5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大坦沙分公司2022年三期污水泵房管道改造项目</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4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17244.71</w:t>
            </w:r>
          </w:p>
        </w:tc>
        <w:tc>
          <w:tcPr>
            <w:tcW w:w="15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29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25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大坦沙分公司2022年三期污水泵房管道改造项目-安装工程</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4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14517.32</w:t>
            </w:r>
          </w:p>
        </w:tc>
        <w:tc>
          <w:tcPr>
            <w:tcW w:w="15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29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25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大坦沙分公司2022年三期污水泵房管道改造项目-市政工程</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4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2650.24</w:t>
            </w:r>
          </w:p>
        </w:tc>
        <w:tc>
          <w:tcPr>
            <w:tcW w:w="15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29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25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大坦沙分公司2022年三期污水泵房管道改造项目-绿化工程</w:t>
            </w:r>
          </w:p>
        </w:tc>
        <w:tc>
          <w:tcPr>
            <w:tcW w:w="15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48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77.15</w:t>
            </w:r>
          </w:p>
        </w:tc>
        <w:tc>
          <w:tcPr>
            <w:tcW w:w="15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800"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合计</w:t>
            </w:r>
          </w:p>
        </w:tc>
        <w:tc>
          <w:tcPr>
            <w:tcW w:w="154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c>
          <w:tcPr>
            <w:tcW w:w="94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highlight w:val="none"/>
                <w:u w:val="none"/>
              </w:rPr>
            </w:pPr>
          </w:p>
        </w:tc>
        <w:tc>
          <w:tcPr>
            <w:tcW w:w="1484"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c>
          <w:tcPr>
            <w:tcW w:w="151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050"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注：本表适用于工程项目费用的汇总。</w:t>
            </w:r>
          </w:p>
        </w:tc>
        <w:tc>
          <w:tcPr>
            <w:tcW w:w="222"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2011" w:type="dxa"/>
            <w:gridSpan w:val="2"/>
            <w:tcBorders>
              <w:top w:val="nil"/>
              <w:left w:val="nil"/>
              <w:bottom w:val="nil"/>
              <w:right w:val="nil"/>
            </w:tcBorders>
            <w:shd w:val="clear" w:color="FFFFFF" w:fill="FFFFFF"/>
            <w:vAlign w:val="center"/>
          </w:tcPr>
          <w:p>
            <w:pPr>
              <w:jc w:val="right"/>
              <w:rPr>
                <w:rFonts w:hint="eastAsia" w:ascii="宋体" w:hAnsi="宋体" w:eastAsia="宋体" w:cs="宋体"/>
                <w:i w:val="0"/>
                <w:iCs w:val="0"/>
                <w:color w:val="auto"/>
                <w:sz w:val="18"/>
                <w:szCs w:val="18"/>
                <w:highlight w:val="none"/>
                <w:u w:val="none"/>
              </w:rPr>
            </w:pPr>
          </w:p>
        </w:tc>
      </w:tr>
    </w:tbl>
    <w:p>
      <w:pPr>
        <w:pStyle w:val="2"/>
        <w:rPr>
          <w:rFonts w:hint="eastAsia" w:ascii="宋体" w:hAnsi="宋体" w:cs="宋体"/>
          <w:color w:val="auto"/>
          <w:sz w:val="24"/>
          <w:highlight w:val="none"/>
          <w:lang w:val="en-US" w:eastAsia="zh-CN"/>
        </w:rPr>
      </w:pPr>
    </w:p>
    <w:p>
      <w:pPr>
        <w:pStyle w:val="2"/>
        <w:rPr>
          <w:rFonts w:hint="eastAsia" w:ascii="宋体" w:hAnsi="宋体" w:cs="宋体"/>
          <w:color w:val="auto"/>
          <w:sz w:val="24"/>
          <w:highlight w:val="none"/>
          <w:lang w:val="en-US" w:eastAsia="zh-CN"/>
        </w:rPr>
      </w:pPr>
    </w:p>
    <w:tbl>
      <w:tblPr>
        <w:tblStyle w:val="23"/>
        <w:tblW w:w="517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79"/>
        <w:gridCol w:w="4061"/>
        <w:gridCol w:w="2144"/>
        <w:gridCol w:w="20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4"/>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单位工程费用汇总表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00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w:t>
            </w:r>
            <w:r>
              <w:rPr>
                <w:rFonts w:hint="eastAsia" w:ascii="宋体" w:hAnsi="宋体" w:eastAsia="宋体" w:cs="宋体"/>
                <w:i w:val="0"/>
                <w:color w:val="auto"/>
                <w:kern w:val="0"/>
                <w:sz w:val="20"/>
                <w:szCs w:val="20"/>
                <w:highlight w:val="none"/>
                <w:u w:val="none"/>
                <w:lang w:val="en-US" w:eastAsia="zh-CN" w:bidi="ar"/>
              </w:rPr>
              <w:t>：大坦沙分公司2022年三期污水泵房管道改造项目-安装工程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33"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21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16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087"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污水泵房铺设导水管并加设活动式围栏工程</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污水泵管道更换工程</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3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1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6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087"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0"/>
        <w:numPr>
          <w:ilvl w:val="0"/>
          <w:numId w:val="0"/>
        </w:numPr>
        <w:ind w:leftChars="200"/>
        <w:rPr>
          <w:rFonts w:hint="eastAsia"/>
          <w:color w:val="auto"/>
          <w:highlight w:val="none"/>
        </w:rPr>
      </w:pPr>
    </w:p>
    <w:tbl>
      <w:tblPr>
        <w:tblStyle w:val="23"/>
        <w:tblW w:w="517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91"/>
        <w:gridCol w:w="1229"/>
        <w:gridCol w:w="1345"/>
        <w:gridCol w:w="2225"/>
        <w:gridCol w:w="671"/>
        <w:gridCol w:w="443"/>
        <w:gridCol w:w="94"/>
        <w:gridCol w:w="145"/>
        <w:gridCol w:w="738"/>
        <w:gridCol w:w="828"/>
        <w:gridCol w:w="8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540"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w:t>
            </w:r>
            <w:r>
              <w:rPr>
                <w:rFonts w:hint="eastAsia" w:ascii="宋体" w:hAnsi="宋体" w:eastAsia="宋体" w:cs="宋体"/>
                <w:i w:val="0"/>
                <w:color w:val="auto"/>
                <w:kern w:val="0"/>
                <w:sz w:val="20"/>
                <w:szCs w:val="20"/>
                <w:highlight w:val="none"/>
                <w:u w:val="none"/>
                <w:lang w:val="en-US" w:eastAsia="zh-CN" w:bidi="ar"/>
              </w:rPr>
              <w:t>：大坦沙分公司2022年三期污水泵房管道改造项目-安装工程</w:t>
            </w:r>
          </w:p>
        </w:tc>
        <w:tc>
          <w:tcPr>
            <w:tcW w:w="130"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329"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6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73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11"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365"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29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408"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6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1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9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80"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6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3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11"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6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9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80"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污水泵房铺设导水管并加设活动式围栏工程</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4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导水管（DN300）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1.材质：无缝钢管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2.规格：DN300、厚度 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3.导水管弯头：DN300、厚度 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4.法兰盘：焊接到DN300管段，配套不锈钢螺栓便于安装阀门</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031003002001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闸阀</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1.闸阀(甲供)</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031001002002</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导水管（DN600）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1.材质：无缝钢管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2.规格：DN600、厚度 14mm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3.导水管弯头：DN600、厚度 14mm</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011615001001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钢管开孔</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1.旧钢管开孔与新导水管焊接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2.开孔规格：DN600</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010606012001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龙门架</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1.搭建龙门架:20a工字钢制作安装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2.高度2m，跨度4.5m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3.总长度:23m</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0.642</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010606012002</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龙门架行走小车</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1.重量:1t</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2.材质:不锈钢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3.其他:行走小车为成品产品，符合1t能装上20a工字钢即可</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031202002002</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管道防腐蚀面层</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1.DN300钢管、弯头(内外面防腐）</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2.DN600钢管、弯头(内外面防腐）</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3.20a 工字钢</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4.手工除锈(轻锈)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5.刷漆材料和遍数:红丹防锈底漆一遍;弹性聚氨酯面漆两遍</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162.8</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031001002003</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双法兰偏心渐缩管拆除及安装 DN400*DN200 L=700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1.DN200端与水泵耦合器匹配，无缝钢管配套不锈钢螺丝及垫片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031001002004</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双法兰偏心渐缩管拆除及安装 DN500*DN400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L=600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1.无缝钢管配套不锈钢螺丝及垫片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031001002005</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双法兰直管拆除及安装管壁 DN500 L=5000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1.无缝钢管,内外衬防腐配套不锈钢螺丝及垫片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031001002006</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单法兰式伸缩接头拆除及安装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DN500 L=159/130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L=60 Lo=80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1.VSSJA型,304不锈钢，配套不锈钢螺丝及垫片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3.其他：已包含旧管拆除吊出，新管吊进安装的费用</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0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031001002007</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单法兰短管拆除及安装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DN500 L=1175</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1.按实际调整无缝钢管,配套不锈钢螺丝及垫片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3.管道内外防腐处理:手工除锈 轻锈;红丹防锈底漆一遍;弹性聚氨酯面漆两遍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4.其他：已包含旧管拆除吊出，新管吊进安装的费用</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031001002008</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90°双法兰弯管拆除及安装</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1.304不锈钢,配套不锈钢螺丝及垫片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2.管壁厚度≥8mm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3.其他：已包含旧管拆除吊出，新管吊进安装的费用</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管道固定支架拆除</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2.材质及规格:60×60×7 不锈钢角钢</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108.4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031002001002</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管道固定支架安装</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2.材质及规格:60×60×7 不锈钢角钢</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108.4</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041001001001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拆除水泵底水泥基座位面层</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1.拆除水泵底水泥基座位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2.尺寸：1.5*1.5m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3.厚度：0.3m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4.数量：4个</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040203007001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修复水泵底水泥基座位面层</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1.修复水泵底水泥基座位</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2.尺寸：1.5*1.5m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3.厚度：0.3m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4.混凝土强度等级：C30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5.数量：4个</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010516001001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M20螺栓</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1.M20螺栓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2.部位：水泵底水泥基座位</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030109001001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潜水泵安装（导水）</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1.离心式深水泵安装 设备重量(t 以内) 1</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030109001002</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潜水泵拆除（导水）</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1.离心式深水泵拆除 设备重量(t 以内) 1</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031001002009</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导水管安装（DN300）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1.材质：导水管(消防水带)安装 </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60</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031001002010</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导水管拆除（DN300）</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1.材质：导水管(消防水带)拆除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2.规格：DN300</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60</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23</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030404017001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导水泵临时户外电箱</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1.导水泵临时户外电箱</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2.配电箱尺寸:600×350×250mm</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030404017002</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导水泵临时户外电箱拆除</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1.导水泵临时户外电箱拆除</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2.配电箱尺寸:600×350×250mm</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030408001001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电力电缆</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1.导水泵临时电力电缆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2.电缆规格：VV-3×50+2×25mm2</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45</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26</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030408001002</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电力电缆拆除</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1.拆除导水泵临时电力电缆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2.电缆规格：VV-3×50+2×25mm2</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45</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27</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011706002001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排水、降水</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1.乙方安装人员24h驻场，控泵导水，10天</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2.污水泵出口直径：150mm</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28</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041105001001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洞内通风设施</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1.离心通风机风量：10000m3/h</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40</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29</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081307001001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有毒气体检测</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1.有毒气体检测</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台·次</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320</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060102002001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抽水泵及管道搬运现场</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1.载货汽车将抽水泵及管道搬运现场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2.载货汽车规格:≥2t</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031302007001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高层施工增加费</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1.高层施工增加费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031301017001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1.脚手架搭拆费</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66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011703001001</w:t>
            </w:r>
          </w:p>
        </w:tc>
        <w:tc>
          <w:tcPr>
            <w:tcW w:w="73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水泵井内垂直运输</w:t>
            </w:r>
          </w:p>
        </w:tc>
        <w:tc>
          <w:tcPr>
            <w:tcW w:w="121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1.水泵井内垂直运输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2.运输机械：手拉葫芦及单轨小车</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3.其他：操作手拉葫芦1人， 上下摆件各1人</w:t>
            </w:r>
          </w:p>
        </w:tc>
        <w:tc>
          <w:tcPr>
            <w:tcW w:w="3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台班</w:t>
            </w:r>
          </w:p>
        </w:tc>
        <w:tc>
          <w:tcPr>
            <w:tcW w:w="292"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48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5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7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tbl>
      <w:tblPr>
        <w:tblStyle w:val="23"/>
        <w:tblpPr w:leftFromText="180" w:rightFromText="180" w:vertAnchor="text" w:horzAnchor="page" w:tblpX="1411" w:tblpY="1349"/>
        <w:tblOverlap w:val="never"/>
        <w:tblW w:w="529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43"/>
        <w:gridCol w:w="957"/>
        <w:gridCol w:w="1717"/>
        <w:gridCol w:w="1300"/>
        <w:gridCol w:w="767"/>
        <w:gridCol w:w="933"/>
        <w:gridCol w:w="733"/>
        <w:gridCol w:w="800"/>
        <w:gridCol w:w="1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5000"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w:t>
            </w:r>
            <w:r>
              <w:rPr>
                <w:rFonts w:hint="eastAsia" w:ascii="宋体" w:hAnsi="宋体" w:eastAsia="宋体" w:cs="宋体"/>
                <w:i w:val="0"/>
                <w:color w:val="auto"/>
                <w:kern w:val="0"/>
                <w:sz w:val="20"/>
                <w:szCs w:val="20"/>
                <w:highlight w:val="none"/>
                <w:u w:val="none"/>
                <w:lang w:val="en-US" w:eastAsia="zh-CN" w:bidi="ar"/>
              </w:rPr>
              <w:t>：大坦沙分公司2022年三期污水泵房管道改造项目-安装工程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2"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50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91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69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40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9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39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26"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819"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LSSGCSF00001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14517.32</w:t>
            </w: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031301010001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031301011001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TSSGBWZJF001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粤031302008001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031302002001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JTGRSGZJF001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粤031302009001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342"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509"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DXGXJCJXF001</w:t>
            </w:r>
          </w:p>
        </w:tc>
        <w:tc>
          <w:tcPr>
            <w:tcW w:w="914"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69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0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9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42"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50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QTFY00000001</w:t>
            </w:r>
          </w:p>
        </w:tc>
        <w:tc>
          <w:tcPr>
            <w:tcW w:w="9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69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0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2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81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bl>
    <w:p>
      <w:pPr>
        <w:pStyle w:val="11"/>
        <w:rPr>
          <w:rFonts w:hint="eastAsia"/>
          <w:color w:val="auto"/>
          <w:highlight w:val="none"/>
        </w:rPr>
      </w:pPr>
    </w:p>
    <w:tbl>
      <w:tblPr>
        <w:tblStyle w:val="23"/>
        <w:tblpPr w:leftFromText="180" w:rightFromText="180" w:vertAnchor="text" w:horzAnchor="page" w:tblpX="1488" w:tblpY="1079"/>
        <w:tblOverlap w:val="never"/>
        <w:tblW w:w="94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1"/>
        <w:gridCol w:w="2365"/>
        <w:gridCol w:w="1816"/>
        <w:gridCol w:w="784"/>
        <w:gridCol w:w="3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406" w:type="dxa"/>
            <w:gridSpan w:val="5"/>
            <w:tcBorders>
              <w:top w:val="nil"/>
              <w:left w:val="nil"/>
              <w:bottom w:val="nil"/>
              <w:right w:val="nil"/>
            </w:tcBorders>
            <w:shd w:val="clear" w:color="FFFFFF" w:fill="FFFFFF"/>
            <w:vAlign w:val="center"/>
          </w:tcPr>
          <w:p>
            <w:pPr>
              <w:keepNext w:val="0"/>
              <w:keepLines w:val="0"/>
              <w:widowControl/>
              <w:suppressLineNumbers w:val="0"/>
              <w:tabs>
                <w:tab w:val="left" w:pos="9398"/>
              </w:tabs>
              <w:ind w:firstLine="1606" w:firstLineChars="400"/>
              <w:jc w:val="left"/>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406"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工程名称：大坦沙分公司2022年三期污水泵房管道改造项目-安装工程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24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3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78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320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3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8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20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236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320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406"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bl>
    <w:p>
      <w:pPr>
        <w:pStyle w:val="11"/>
        <w:rPr>
          <w:rFonts w:hint="eastAsia"/>
          <w:color w:val="auto"/>
          <w:highlight w:val="none"/>
        </w:rPr>
      </w:pPr>
    </w:p>
    <w:tbl>
      <w:tblPr>
        <w:tblStyle w:val="23"/>
        <w:tblpPr w:leftFromText="180" w:rightFromText="180" w:vertAnchor="text" w:horzAnchor="page" w:tblpX="971" w:tblpY="1180"/>
        <w:tblOverlap w:val="never"/>
        <w:tblW w:w="102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6"/>
        <w:gridCol w:w="2456"/>
        <w:gridCol w:w="1928"/>
        <w:gridCol w:w="1541"/>
        <w:gridCol w:w="2118"/>
        <w:gridCol w:w="180"/>
        <w:gridCol w:w="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25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9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工程名称：大坦沙分公司2022年三期污水泵房管道改造项目-安装工程</w:t>
            </w:r>
          </w:p>
        </w:tc>
        <w:tc>
          <w:tcPr>
            <w:tcW w:w="2118" w:type="dxa"/>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p>
        </w:tc>
        <w:tc>
          <w:tcPr>
            <w:tcW w:w="1141"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6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45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92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54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229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6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6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45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9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5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289"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96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11"/>
        <w:rPr>
          <w:rFonts w:hint="eastAsia"/>
          <w:color w:val="auto"/>
          <w:highlight w:val="none"/>
        </w:rPr>
      </w:pPr>
    </w:p>
    <w:p>
      <w:pPr>
        <w:pStyle w:val="11"/>
        <w:rPr>
          <w:rFonts w:hint="eastAsia"/>
          <w:color w:val="auto"/>
          <w:highlight w:val="none"/>
        </w:rPr>
      </w:pPr>
    </w:p>
    <w:p>
      <w:pPr>
        <w:pStyle w:val="11"/>
        <w:rPr>
          <w:rFonts w:hint="eastAsia"/>
          <w:color w:val="auto"/>
          <w:highlight w:val="none"/>
        </w:rPr>
      </w:pPr>
    </w:p>
    <w:tbl>
      <w:tblPr>
        <w:tblStyle w:val="23"/>
        <w:tblW w:w="525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80"/>
        <w:gridCol w:w="4061"/>
        <w:gridCol w:w="1258"/>
        <w:gridCol w:w="352"/>
        <w:gridCol w:w="533"/>
        <w:gridCol w:w="21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单位工程费用汇总表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380"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项目一：大坦沙分公司2022年三期污水泵房管道改造项目-市政工程</w:t>
            </w:r>
          </w:p>
        </w:tc>
        <w:tc>
          <w:tcPr>
            <w:tcW w:w="189"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430"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26"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17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150"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144"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路面工程</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余泥渣土场外运输工程</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26"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17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705"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费用合计=1+2+3+5</w:t>
            </w:r>
          </w:p>
        </w:tc>
        <w:tc>
          <w:tcPr>
            <w:tcW w:w="115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44"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1"/>
        <w:rPr>
          <w:rFonts w:hint="eastAsia"/>
          <w:color w:val="auto"/>
          <w:highlight w:val="none"/>
        </w:rPr>
      </w:pPr>
    </w:p>
    <w:tbl>
      <w:tblPr>
        <w:tblStyle w:val="23"/>
        <w:tblW w:w="51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21"/>
        <w:gridCol w:w="950"/>
        <w:gridCol w:w="1118"/>
        <w:gridCol w:w="2000"/>
        <w:gridCol w:w="1000"/>
        <w:gridCol w:w="624"/>
        <w:gridCol w:w="240"/>
        <w:gridCol w:w="703"/>
        <w:gridCol w:w="852"/>
        <w:gridCol w:w="10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477"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项目一：大坦沙分公司2022年三期污水泵房管道改造项目-市政工程</w:t>
            </w:r>
          </w:p>
        </w:tc>
        <w:tc>
          <w:tcPr>
            <w:tcW w:w="130"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392"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0"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515"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06"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08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5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468"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39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1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0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8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1"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0"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1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06"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8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8"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1"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050101010002</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绿化路面开挖</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1.绿化路面开挖</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2.开挖长度：35m，宽度：1.2m，深度：1.2m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3.开挖方式：人工开挖</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50.4</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010501001002</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垫层</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1.导水管垫层</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2.垫层材质:砂砾石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3.厚度:150mm</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6.3</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040103001003</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回填方</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1.导水管回填</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2.回填材质:砂砾石</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3.厚度:回填到管面15cm沙砾石</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21.84</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040103001002</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回填原土</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1.回填原土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2.回填土覆土深度：30cm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3.夯实方式：人工夯实</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11.42</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050307009002</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管道标志牌</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1.材质：铝合金管道标识圆形牌</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2.规格:DN100圆形牌、厚2mm</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5"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011503001002</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不锈钢围栏</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1.不锈钢围栏</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2.不锈钢扶手规格及数量：Φ60×3mm-90m；不锈钢栏杆规格：Φ60×3.5mm-180m、Φ20×2mm-700m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3.不锈钢活页数量：26套</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90</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011615001002</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围栏活动套口制作</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1.水泥面钻孔</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2.规格:Φ60mm、深 10cm</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80</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040103002001</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1.装土方式:人工装土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2.运距:20km</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38.98</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35" w:hRule="atLeast"/>
        </w:trPr>
        <w:tc>
          <w:tcPr>
            <w:tcW w:w="390"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51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040103002002</w:t>
            </w:r>
          </w:p>
        </w:tc>
        <w:tc>
          <w:tcPr>
            <w:tcW w:w="60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余方弃置</w:t>
            </w:r>
          </w:p>
        </w:tc>
        <w:tc>
          <w:tcPr>
            <w:tcW w:w="10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1.装土方式:人工装拆除废料</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2.运距:20km</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3.部位：拆除水泵底水泥基座位</w:t>
            </w:r>
          </w:p>
        </w:tc>
        <w:tc>
          <w:tcPr>
            <w:tcW w:w="5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468"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0.68</w:t>
            </w:r>
          </w:p>
        </w:tc>
        <w:tc>
          <w:tcPr>
            <w:tcW w:w="3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trPr>
        <w:tc>
          <w:tcPr>
            <w:tcW w:w="3988" w:type="pct"/>
            <w:gridSpan w:val="8"/>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合计</w:t>
            </w:r>
          </w:p>
        </w:tc>
        <w:tc>
          <w:tcPr>
            <w:tcW w:w="46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549"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1"/>
        <w:rPr>
          <w:rFonts w:hint="eastAsia"/>
          <w:color w:val="auto"/>
          <w:highlight w:val="none"/>
        </w:rPr>
      </w:pPr>
    </w:p>
    <w:tbl>
      <w:tblPr>
        <w:tblStyle w:val="23"/>
        <w:tblW w:w="51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3"/>
        <w:gridCol w:w="1131"/>
        <w:gridCol w:w="1339"/>
        <w:gridCol w:w="1417"/>
        <w:gridCol w:w="650"/>
        <w:gridCol w:w="778"/>
        <w:gridCol w:w="354"/>
        <w:gridCol w:w="235"/>
        <w:gridCol w:w="500"/>
        <w:gridCol w:w="40"/>
        <w:gridCol w:w="2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1"/>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324"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项目一：大坦沙分公司2022年三期污水泵房管道改造项目-市政工程</w:t>
            </w:r>
          </w:p>
        </w:tc>
        <w:tc>
          <w:tcPr>
            <w:tcW w:w="420"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255"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51"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613"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725"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768"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35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2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31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27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1276"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2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LSSGCSF00001</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7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2650.24</w:t>
            </w:r>
          </w:p>
        </w:tc>
        <w:tc>
          <w:tcPr>
            <w:tcW w:w="31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以分部分项的人工费与施工机具费之和为计算基础；以专业工程类型</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区分不同费率计算；</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单独场地平整工程费率为4.35%；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道路、管网工程费率为16.50%；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桥涵、隧道、水处理构筑物工程费率为14.50%；</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分部分项工程总费用在300 万元以内（含300 万元）的项目按基本费率乘以1.20；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77" w:hRule="atLeast"/>
        </w:trPr>
        <w:tc>
          <w:tcPr>
            <w:tcW w:w="2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粤041109009001</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7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2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2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041109002001</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7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2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25" w:hRule="atLeast"/>
        </w:trPr>
        <w:tc>
          <w:tcPr>
            <w:tcW w:w="251" w:type="pct"/>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613"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041109005001</w:t>
            </w:r>
          </w:p>
        </w:tc>
        <w:tc>
          <w:tcPr>
            <w:tcW w:w="725"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交通疏解员增加费</w:t>
            </w:r>
          </w:p>
        </w:tc>
        <w:tc>
          <w:tcPr>
            <w:tcW w:w="768"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2"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421"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1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按照项目分部分项人工费的15%计算（有方案的按照方案计算），</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结算时据实结算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5" w:hRule="atLeast"/>
        </w:trPr>
        <w:tc>
          <w:tcPr>
            <w:tcW w:w="2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041108001001</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7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2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92" w:hRule="atLeast"/>
        </w:trPr>
        <w:tc>
          <w:tcPr>
            <w:tcW w:w="2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粤041109008001</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7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3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2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25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613"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QTFY00000001</w:t>
            </w:r>
          </w:p>
        </w:tc>
        <w:tc>
          <w:tcPr>
            <w:tcW w:w="72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76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5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rPr>
        <w:tc>
          <w:tcPr>
            <w:tcW w:w="2710"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合    计</w:t>
            </w:r>
          </w:p>
        </w:tc>
        <w:tc>
          <w:tcPr>
            <w:tcW w:w="42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27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7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p>
        </w:tc>
      </w:tr>
    </w:tbl>
    <w:tbl>
      <w:tblPr>
        <w:tblStyle w:val="23"/>
        <w:tblpPr w:leftFromText="180" w:rightFromText="180" w:vertAnchor="text" w:horzAnchor="page" w:tblpX="1671" w:tblpY="1424"/>
        <w:tblOverlap w:val="never"/>
        <w:tblW w:w="89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4"/>
        <w:gridCol w:w="2893"/>
        <w:gridCol w:w="2116"/>
        <w:gridCol w:w="1784"/>
        <w:gridCol w:w="1583"/>
        <w:gridCol w:w="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917"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917"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项目一：大坦沙分公司2022年三期污水泵房管道改造项目-市政工程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75" w:hRule="atLeast"/>
        </w:trPr>
        <w:tc>
          <w:tcPr>
            <w:tcW w:w="52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89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1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78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583"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28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消纳费</w:t>
            </w:r>
          </w:p>
        </w:tc>
        <w:tc>
          <w:tcPr>
            <w:tcW w:w="2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8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7" w:type="dxa"/>
          <w:trHeight w:val="360" w:hRule="atLeast"/>
        </w:trPr>
        <w:tc>
          <w:tcPr>
            <w:tcW w:w="524"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289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21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8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58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17" w:type="dxa"/>
            <w:gridSpan w:val="6"/>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bl>
    <w:tbl>
      <w:tblPr>
        <w:tblStyle w:val="23"/>
        <w:tblpPr w:leftFromText="180" w:rightFromText="180" w:vertAnchor="text" w:horzAnchor="page" w:tblpX="1671" w:tblpY="1734"/>
        <w:tblOverlap w:val="never"/>
        <w:tblW w:w="89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9"/>
        <w:gridCol w:w="2051"/>
        <w:gridCol w:w="3033"/>
        <w:gridCol w:w="842"/>
        <w:gridCol w:w="292"/>
        <w:gridCol w:w="1100"/>
        <w:gridCol w:w="1100"/>
        <w:gridCol w:w="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6" w:type="dxa"/>
          <w:trHeight w:val="795" w:hRule="atLeast"/>
        </w:trPr>
        <w:tc>
          <w:tcPr>
            <w:tcW w:w="8917"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6" w:type="dxa"/>
          <w:trHeight w:val="570" w:hRule="atLeast"/>
        </w:trPr>
        <w:tc>
          <w:tcPr>
            <w:tcW w:w="6425"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项目一：大坦沙分公司2022年三期污水泵房管道改造项目-市政工程</w:t>
            </w:r>
          </w:p>
        </w:tc>
        <w:tc>
          <w:tcPr>
            <w:tcW w:w="1392" w:type="dxa"/>
            <w:gridSpan w:val="2"/>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p>
        </w:tc>
        <w:tc>
          <w:tcPr>
            <w:tcW w:w="1100"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05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303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13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10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166"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0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30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13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16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17"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166"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11"/>
        <w:rPr>
          <w:rFonts w:hint="eastAsia"/>
          <w:color w:val="auto"/>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80"/>
        <w:gridCol w:w="4063"/>
        <w:gridCol w:w="1374"/>
        <w:gridCol w:w="240"/>
        <w:gridCol w:w="534"/>
        <w:gridCol w:w="1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单位工程费用汇总表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616" w:type="pct"/>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项目一：大坦沙分公司2022年三期污水泵房管道改造项目-绿化工程</w:t>
            </w:r>
          </w:p>
        </w:tc>
        <w:tc>
          <w:tcPr>
            <w:tcW w:w="135"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248" w:type="pct"/>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553"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28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946"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53"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22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r>
              <w:rPr>
                <w:rFonts w:hint="eastAsia" w:ascii="宋体" w:hAnsi="宋体" w:eastAsia="宋体" w:cs="宋体"/>
                <w:i w:val="0"/>
                <w:color w:val="auto"/>
                <w:sz w:val="20"/>
                <w:szCs w:val="20"/>
                <w:highlight w:val="none"/>
                <w:u w:val="none"/>
              </w:rPr>
              <w:t>费用合计=1+2+3+5</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4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1"/>
        <w:rPr>
          <w:rFonts w:hint="eastAsia"/>
          <w:color w:val="auto"/>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9"/>
        <w:gridCol w:w="1003"/>
        <w:gridCol w:w="1100"/>
        <w:gridCol w:w="2134"/>
        <w:gridCol w:w="1091"/>
        <w:gridCol w:w="607"/>
        <w:gridCol w:w="80"/>
        <w:gridCol w:w="740"/>
        <w:gridCol w:w="742"/>
        <w:gridCol w:w="6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10"/>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407" w:type="pct"/>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项目一：大坦沙分公司2022年三期污水泵房管道改造项目-绿化工程</w:t>
            </w:r>
          </w:p>
        </w:tc>
        <w:tc>
          <w:tcPr>
            <w:tcW w:w="342" w:type="pct"/>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250" w:type="pct"/>
            <w:gridSpan w:val="4"/>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5"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565"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1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20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614"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387"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1205"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6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0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16"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418" w:type="pct"/>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3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5"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65"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0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614"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87"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5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整个项目</w:t>
            </w:r>
          </w:p>
        </w:tc>
        <w:tc>
          <w:tcPr>
            <w:tcW w:w="120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6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05"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565"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050102012001</w:t>
            </w:r>
          </w:p>
        </w:tc>
        <w:tc>
          <w:tcPr>
            <w:tcW w:w="61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铺种台湾草</w:t>
            </w:r>
          </w:p>
        </w:tc>
        <w:tc>
          <w:tcPr>
            <w:tcW w:w="120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1.植被：台湾草</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2.养护期：6个月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3.灌溉方式：机械灌溉</w:t>
            </w:r>
          </w:p>
        </w:tc>
        <w:tc>
          <w:tcPr>
            <w:tcW w:w="61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m2</w:t>
            </w:r>
          </w:p>
        </w:tc>
        <w:tc>
          <w:tcPr>
            <w:tcW w:w="387"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42</w:t>
            </w:r>
          </w:p>
        </w:tc>
        <w:tc>
          <w:tcPr>
            <w:tcW w:w="416"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3" w:hRule="atLeast"/>
        </w:trPr>
        <w:tc>
          <w:tcPr>
            <w:tcW w:w="4211" w:type="pct"/>
            <w:gridSpan w:val="8"/>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418"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tbl>
      <w:tblPr>
        <w:tblStyle w:val="23"/>
        <w:tblpPr w:leftFromText="180" w:rightFromText="180" w:vertAnchor="text" w:horzAnchor="page" w:tblpX="1211" w:tblpY="1162"/>
        <w:tblOverlap w:val="never"/>
        <w:tblW w:w="544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7"/>
        <w:gridCol w:w="933"/>
        <w:gridCol w:w="1317"/>
        <w:gridCol w:w="1517"/>
        <w:gridCol w:w="866"/>
        <w:gridCol w:w="850"/>
        <w:gridCol w:w="717"/>
        <w:gridCol w:w="783"/>
        <w:gridCol w:w="20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5000"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项目一：大坦沙分公司2022年三期污水泵房管道改造项目-绿化工程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4" w:type="pc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482"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681"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78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447"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39"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370"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404" w:type="pc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104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LSSGCSF00001</w:t>
            </w:r>
          </w:p>
        </w:tc>
        <w:tc>
          <w:tcPr>
            <w:tcW w:w="6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7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sz w:val="20"/>
                <w:szCs w:val="20"/>
                <w:highlight w:val="none"/>
                <w:u w:val="none"/>
                <w:lang w:val="en-US" w:eastAsia="zh-CN"/>
              </w:rPr>
              <w:t>77.15</w:t>
            </w:r>
          </w:p>
        </w:tc>
        <w:tc>
          <w:tcPr>
            <w:tcW w:w="3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4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以分部分项的人工费与施工机具费之和为计算基础，按10%计算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5"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粤050405010001</w:t>
            </w:r>
          </w:p>
        </w:tc>
        <w:tc>
          <w:tcPr>
            <w:tcW w:w="6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7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3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4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以分部分项的人工费与施工机具费之和为计算基础；市级文明工地0.61%；省级文明工地1.20%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050405002001</w:t>
            </w:r>
          </w:p>
        </w:tc>
        <w:tc>
          <w:tcPr>
            <w:tcW w:w="6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7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43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4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65"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粤050405009001</w:t>
            </w:r>
          </w:p>
        </w:tc>
        <w:tc>
          <w:tcPr>
            <w:tcW w:w="6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7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43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4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赶工措施费=（1-δ）*分部分项的（人工费+施工机具费）*0.58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050405006001</w:t>
            </w:r>
          </w:p>
        </w:tc>
        <w:tc>
          <w:tcPr>
            <w:tcW w:w="6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反季节栽植影响措施</w:t>
            </w:r>
          </w:p>
        </w:tc>
        <w:tc>
          <w:tcPr>
            <w:tcW w:w="7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4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44"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48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QTFY00000001</w:t>
            </w:r>
          </w:p>
        </w:tc>
        <w:tc>
          <w:tcPr>
            <w:tcW w:w="681"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78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447"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43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4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741" w:type="pct"/>
            <w:gridSpan w:val="5"/>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r>
              <w:rPr>
                <w:rFonts w:hint="eastAsia"/>
                <w:color w:val="auto"/>
                <w:highlight w:val="none"/>
              </w:rPr>
              <w:t>合    计</w:t>
            </w:r>
          </w:p>
        </w:tc>
        <w:tc>
          <w:tcPr>
            <w:tcW w:w="43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4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r>
    </w:tbl>
    <w:p>
      <w:pPr>
        <w:pStyle w:val="11"/>
        <w:rPr>
          <w:rFonts w:hint="eastAsia"/>
          <w:color w:val="auto"/>
          <w:highlight w:val="none"/>
        </w:rPr>
      </w:pPr>
    </w:p>
    <w:tbl>
      <w:tblPr>
        <w:tblStyle w:val="23"/>
        <w:tblpPr w:leftFromText="180" w:rightFromText="180" w:vertAnchor="text" w:horzAnchor="page" w:tblpX="1049" w:tblpY="1011"/>
        <w:tblOverlap w:val="never"/>
        <w:tblW w:w="54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8"/>
        <w:gridCol w:w="3287"/>
        <w:gridCol w:w="2117"/>
        <w:gridCol w:w="1783"/>
        <w:gridCol w:w="1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00"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项目一：大坦沙分公司2022年三期污水泵房管道改造项目-绿化工程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646"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67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0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90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688"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67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0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6"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67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07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0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68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bl>
    <w:tbl>
      <w:tblPr>
        <w:tblStyle w:val="23"/>
        <w:tblpPr w:leftFromText="180" w:rightFromText="180" w:vertAnchor="text" w:horzAnchor="page" w:tblpX="1171" w:tblpY="583"/>
        <w:tblOverlap w:val="never"/>
        <w:tblW w:w="96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6"/>
        <w:gridCol w:w="1701"/>
        <w:gridCol w:w="2850"/>
        <w:gridCol w:w="1666"/>
        <w:gridCol w:w="1067"/>
        <w:gridCol w:w="1221"/>
        <w:gridCol w:w="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633"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63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项目一：大坦沙分公司2022年三期污水泵房管道改造项目-绿化工程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2" w:type="dxa"/>
          <w:trHeight w:val="570" w:hRule="atLeast"/>
        </w:trPr>
        <w:tc>
          <w:tcPr>
            <w:tcW w:w="106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70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8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0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22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2" w:type="dxa"/>
          <w:trHeight w:val="570" w:hRule="atLeast"/>
        </w:trPr>
        <w:tc>
          <w:tcPr>
            <w:tcW w:w="106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7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8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2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2" w:type="dxa"/>
          <w:trHeight w:val="360" w:hRule="atLeast"/>
        </w:trPr>
        <w:tc>
          <w:tcPr>
            <w:tcW w:w="8350"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22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2"/>
        <w:ind w:left="0" w:leftChars="0" w:firstLine="0" w:firstLineChars="0"/>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项目二：石井净分公司2022年二期厂区生产区域自来水及中水系统完善工程</w:t>
      </w:r>
    </w:p>
    <w:p>
      <w:pPr>
        <w:pStyle w:val="2"/>
        <w:rPr>
          <w:rFonts w:hint="eastAsia" w:ascii="宋体" w:hAnsi="宋体" w:cs="宋体"/>
          <w:color w:val="auto"/>
          <w:sz w:val="24"/>
          <w:highlight w:val="none"/>
          <w:lang w:val="en-US" w:eastAsia="zh-CN"/>
        </w:rPr>
      </w:pPr>
    </w:p>
    <w:tbl>
      <w:tblPr>
        <w:tblStyle w:val="23"/>
        <w:tblW w:w="914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70"/>
        <w:gridCol w:w="3230"/>
        <w:gridCol w:w="2028"/>
        <w:gridCol w:w="465"/>
        <w:gridCol w:w="395"/>
        <w:gridCol w:w="15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9143" w:type="dxa"/>
            <w:gridSpan w:val="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728" w:type="dxa"/>
            <w:gridSpan w:val="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项目二：石井净分公司2022年二期厂区生产区域自来水及中水系统完善工程</w:t>
            </w:r>
          </w:p>
        </w:tc>
        <w:tc>
          <w:tcPr>
            <w:tcW w:w="465"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950"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470"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3230"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汇总内容</w:t>
            </w:r>
          </w:p>
        </w:tc>
        <w:tc>
          <w:tcPr>
            <w:tcW w:w="2888"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155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中水系统</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自来水系统</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措施合计</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其他措施费</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其他项目</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3.2</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3.3</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3.5</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3.6</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3.7</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3.9</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3.10</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税前工程造价</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增值税销项税额</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总造价</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323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人工费</w:t>
            </w:r>
          </w:p>
        </w:tc>
        <w:tc>
          <w:tcPr>
            <w:tcW w:w="2888" w:type="dxa"/>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700"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投标报价合计=1+2+3+5</w:t>
            </w:r>
          </w:p>
        </w:tc>
        <w:tc>
          <w:tcPr>
            <w:tcW w:w="2888" w:type="dxa"/>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55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p>
      <w:pPr>
        <w:pStyle w:val="13"/>
        <w:spacing w:line="360" w:lineRule="auto"/>
        <w:ind w:firstLine="0" w:firstLineChars="0"/>
        <w:outlineLvl w:val="1"/>
        <w:rPr>
          <w:rFonts w:hint="eastAsia" w:asciiTheme="minorEastAsia" w:hAnsiTheme="minorEastAsia" w:eastAsiaTheme="minorEastAsia" w:cstheme="minorEastAsia"/>
          <w:color w:val="auto"/>
          <w:sz w:val="24"/>
          <w:highlight w:val="none"/>
          <w:u w:val="single"/>
          <w:lang w:val="en-US" w:eastAsia="zh-CN"/>
        </w:rPr>
      </w:pPr>
    </w:p>
    <w:tbl>
      <w:tblPr>
        <w:tblStyle w:val="23"/>
        <w:tblW w:w="9652" w:type="dxa"/>
        <w:tblInd w:w="-31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17"/>
        <w:gridCol w:w="1035"/>
        <w:gridCol w:w="1290"/>
        <w:gridCol w:w="1935"/>
        <w:gridCol w:w="750"/>
        <w:gridCol w:w="1207"/>
        <w:gridCol w:w="968"/>
        <w:gridCol w:w="765"/>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9652" w:type="dxa"/>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6734" w:type="dxa"/>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项目二：石井净分公司2022年二期厂区生产区域自来水及中水系统完善工程</w:t>
            </w:r>
          </w:p>
        </w:tc>
        <w:tc>
          <w:tcPr>
            <w:tcW w:w="1733" w:type="dxa"/>
            <w:gridSpan w:val="2"/>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p>
        </w:tc>
        <w:tc>
          <w:tcPr>
            <w:tcW w:w="1185" w:type="dxa"/>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17"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0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29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93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75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1207"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918" w:type="dxa"/>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17"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9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0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68"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517"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93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5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207"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968"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中水系统</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负一层</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031001006005</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塑料管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1.介质:中水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2.材质、规格:PE电熔管DN65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3.连接形式:电热熔连接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4.含直通、三通、弯头、变径头等管件</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5.压力试验及吹、洗设计要求:按设计要求</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686</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031002001009</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1.材质:镀锌管卡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2.规格:DN65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343</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031002001010</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管道支架</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2.材质:角钢50*5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1034.49</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031201003005</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金属结构刷油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1.除锈级别:轻锈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2.油漆品种:红丹环氧防锈漆、环氧磁漆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3.涂刷遍数、漆膜厚度:各两遍</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1034.49</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030901010001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室内消火栓</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1.名称:室内消火栓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2.型号、规格:DN65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3.附件材质、规格:综合考虑</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负一层合计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负二层</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031001006006</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塑料管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1.介质:中水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2.材质、规格:PE电熔管DN65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3.连接形式:电热熔连接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4.含直通、三通、弯头、变径头等管件</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5.压力试验及吹、洗设计要求:按设计要求</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258</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031002001011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1.材质:镀锌管卡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2.规格:DN65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129</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031002001012</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管道支架</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2.材质:角钢50*5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389.06</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031201003006</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金属结构刷油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1.除锈级别:轻锈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2.油漆品种:红丹环氧防锈漆、环氧磁漆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3.涂刷遍数、漆膜厚度:各两遍</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389.06</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030901010002</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室内消火栓</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1.名称:室内消火栓</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2.型号、规格:DN65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3.附件材质、规格:综合考虑</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负二层合计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中水系统合计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自来水系统</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负一层</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031001006007</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塑料管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1.介质:自来水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2.材质、规格:PE电熔管DN25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3.连接形式:电热熔连接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4.含直通、三通、弯头、变径头等管件</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5.压力试验及吹、洗设计要求:按设计要求</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686</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031002001013</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1.材质:镀锌管卡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2.规格:DN25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343</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13</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031002001014</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管道支架</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2.材质:角钢50*5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1034.49</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14</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031201003007</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金属结构刷油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1.除锈级别:轻锈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2.油漆品种:红丹环氧防锈漆、环氧磁漆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3.涂刷遍数、漆膜厚度:各两遍</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1034.49</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031004014001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给、排水附(配)件</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1.名称:水龙头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2.型号、规格:DN25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负一层合计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负二层</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4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16</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031001006008</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塑料管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1.介质:自来水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2.材质、规格:PE电熔管DN25</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3.连接形式:电热熔连接</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4.含直通、三通、弯头、变径头等管件</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5.压力试验及吹、洗设计要求:按设计要求</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258</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17</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031002001015</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1.材质:镀锌管卡</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2.规格:DN25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套</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129</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031002001016</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管道支架</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1.名称:管道支架制作安装</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2.材质:角钢50*5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389.06</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35"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19</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031201003008</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金属结构刷油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1.除锈级别:轻锈</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2.油漆品种:红丹环氧防锈漆、环氧磁漆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3.涂刷遍数、漆膜厚度:各两遍</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kg</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389.06</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031004014002</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给、排水附(配)件</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1.名称:水龙头</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2.型号、规格:DN25</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个</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负二层合计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自来水系统合计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措施项目</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031302007001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高层施工增加</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031301017001</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脚手架搭拆费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w:t>
            </w: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51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0"/>
                <w:szCs w:val="20"/>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单价措施合计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20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6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7702" w:type="dxa"/>
            <w:gridSpan w:val="7"/>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本页小计</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7702" w:type="dxa"/>
            <w:gridSpan w:val="7"/>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7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118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r>
    </w:tbl>
    <w:tbl>
      <w:tblPr>
        <w:tblStyle w:val="23"/>
        <w:tblpPr w:leftFromText="180" w:rightFromText="180" w:vertAnchor="text" w:horzAnchor="page" w:tblpX="1027" w:tblpY="2421"/>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68"/>
        <w:gridCol w:w="794"/>
        <w:gridCol w:w="1883"/>
        <w:gridCol w:w="1597"/>
        <w:gridCol w:w="1021"/>
        <w:gridCol w:w="927"/>
        <w:gridCol w:w="833"/>
        <w:gridCol w:w="506"/>
        <w:gridCol w:w="1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10410" w:type="dxa"/>
            <w:gridSpan w:val="9"/>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0410" w:type="dxa"/>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项目二：石井净分公司2022年二期厂区生产区域自来水及中水系统完善工程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868"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79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883"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1597"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计算基础</w:t>
            </w:r>
          </w:p>
        </w:tc>
        <w:tc>
          <w:tcPr>
            <w:tcW w:w="1021"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927"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833"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调整费率</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w:t>
            </w:r>
          </w:p>
        </w:tc>
        <w:tc>
          <w:tcPr>
            <w:tcW w:w="506"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调整后金额</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(元)</w:t>
            </w:r>
          </w:p>
        </w:tc>
        <w:tc>
          <w:tcPr>
            <w:tcW w:w="1981"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95"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LSSGCSF00001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绿色施工安全防护措施费</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auto"/>
                <w:sz w:val="20"/>
                <w:szCs w:val="20"/>
                <w:highlight w:val="none"/>
                <w:u w:val="none"/>
                <w:lang w:val="en-US"/>
              </w:rPr>
            </w:pPr>
            <w:r>
              <w:rPr>
                <w:rFonts w:hint="eastAsia" w:ascii="宋体" w:hAnsi="宋体" w:eastAsia="宋体" w:cs="宋体"/>
                <w:i w:val="0"/>
                <w:color w:val="auto"/>
                <w:kern w:val="0"/>
                <w:sz w:val="20"/>
                <w:szCs w:val="20"/>
                <w:highlight w:val="none"/>
                <w:u w:val="none"/>
                <w:lang w:val="en-US" w:eastAsia="zh-CN" w:bidi="ar"/>
              </w:rPr>
              <w:t>28211.26</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031301010001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安装与生产同时进行增加费用</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031301011001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在有害身体健康环境中施工增加费</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TSSGBWZJF001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在地下（暗）室、设备及大口径管道内等特殊施工部位进行施工增加费</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30</w:t>
            </w: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65"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粤031302008001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031302002001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夜间施工增加费</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JTGRSGZJF001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交通干扰工程施工增加费</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76"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粤031302009001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文明工地增加费</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分部分项人工费+分部分项机具费</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w:t>
            </w: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868" w:type="dxa"/>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794"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DXGXJCJXF001</w:t>
            </w:r>
          </w:p>
        </w:tc>
        <w:tc>
          <w:tcPr>
            <w:tcW w:w="188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地下管线交叉降效费</w:t>
            </w:r>
          </w:p>
        </w:tc>
        <w:tc>
          <w:tcPr>
            <w:tcW w:w="1597"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1"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27"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86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79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QTFY00000001</w:t>
            </w:r>
          </w:p>
        </w:tc>
        <w:tc>
          <w:tcPr>
            <w:tcW w:w="188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159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63" w:type="dxa"/>
            <w:gridSpan w:val="5"/>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927"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833"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506"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c>
          <w:tcPr>
            <w:tcW w:w="1981"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bl>
    <w:p>
      <w:pPr>
        <w:pStyle w:val="13"/>
        <w:tabs>
          <w:tab w:val="left" w:pos="1260"/>
        </w:tabs>
        <w:spacing w:line="500" w:lineRule="exact"/>
        <w:jc w:val="left"/>
        <w:rPr>
          <w:rFonts w:hint="eastAsia" w:ascii="宋体" w:hAnsi="宋体" w:eastAsia="宋体" w:cs="宋体"/>
          <w:b/>
          <w:bCs/>
          <w:color w:val="auto"/>
          <w:kern w:val="2"/>
          <w:sz w:val="21"/>
          <w:szCs w:val="21"/>
          <w:highlight w:val="none"/>
          <w:lang w:val="en-US" w:eastAsia="zh-CN" w:bidi="ar-SA"/>
        </w:rPr>
      </w:pPr>
    </w:p>
    <w:p>
      <w:pPr>
        <w:pStyle w:val="14"/>
        <w:rPr>
          <w:rFonts w:hint="eastAsia" w:ascii="宋体" w:hAnsi="宋体" w:eastAsia="宋体" w:cs="宋体"/>
          <w:b/>
          <w:bCs/>
          <w:color w:val="auto"/>
          <w:kern w:val="2"/>
          <w:sz w:val="21"/>
          <w:szCs w:val="21"/>
          <w:highlight w:val="none"/>
          <w:lang w:val="en-US" w:eastAsia="zh-CN" w:bidi="ar-SA"/>
        </w:rPr>
      </w:pPr>
    </w:p>
    <w:p>
      <w:pPr>
        <w:pStyle w:val="15"/>
        <w:rPr>
          <w:rFonts w:hint="eastAsia"/>
          <w:color w:val="auto"/>
          <w:highlight w:val="none"/>
          <w:lang w:val="en-US" w:eastAsia="zh-CN"/>
        </w:rPr>
      </w:pPr>
    </w:p>
    <w:tbl>
      <w:tblPr>
        <w:tblStyle w:val="23"/>
        <w:tblpPr w:leftFromText="180" w:rightFromText="180" w:vertAnchor="text" w:horzAnchor="page" w:tblpX="907" w:tblpY="991"/>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67"/>
        <w:gridCol w:w="2284"/>
        <w:gridCol w:w="2476"/>
        <w:gridCol w:w="2078"/>
        <w:gridCol w:w="2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10410" w:type="dxa"/>
            <w:gridSpan w:val="5"/>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0"/>
                <w:szCs w:val="40"/>
                <w:highlight w:val="none"/>
                <w:u w:val="none"/>
              </w:rPr>
            </w:pPr>
            <w:r>
              <w:rPr>
                <w:rFonts w:hint="eastAsia" w:ascii="宋体" w:hAnsi="宋体" w:eastAsia="宋体" w:cs="宋体"/>
                <w:b/>
                <w:i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10410" w:type="dxa"/>
            <w:gridSpan w:val="5"/>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项目二：石井净分公司2022年二期厂区生产区域自来水及中水系统完善工程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267" w:type="dxa"/>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2284"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476"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c>
          <w:tcPr>
            <w:tcW w:w="2078" w:type="dxa"/>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结算金额（元）</w:t>
            </w:r>
          </w:p>
        </w:tc>
        <w:tc>
          <w:tcPr>
            <w:tcW w:w="2305" w:type="dxa"/>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暂列金额</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暂估价</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2.1</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材料暂估价</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2.2</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专业工程暂估价</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计日工</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总承包服务费</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5</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预算包干费</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工程优质费</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7</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概算幅度差</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8</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现场签证费用</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9</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索赔费用</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267"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10</w:t>
            </w:r>
          </w:p>
        </w:tc>
        <w:tc>
          <w:tcPr>
            <w:tcW w:w="228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其他费用</w:t>
            </w:r>
          </w:p>
        </w:tc>
        <w:tc>
          <w:tcPr>
            <w:tcW w:w="247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3551" w:type="dxa"/>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2476"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078" w:type="dxa"/>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auto"/>
                <w:sz w:val="20"/>
                <w:szCs w:val="20"/>
                <w:highlight w:val="none"/>
                <w:u w:val="none"/>
              </w:rPr>
            </w:pPr>
          </w:p>
        </w:tc>
        <w:tc>
          <w:tcPr>
            <w:tcW w:w="2305" w:type="dxa"/>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w:t>
            </w:r>
          </w:p>
        </w:tc>
      </w:tr>
    </w:tbl>
    <w:p>
      <w:pPr>
        <w:spacing w:line="360" w:lineRule="auto"/>
        <w:rPr>
          <w:rFonts w:hint="eastAsia" w:ascii="宋体" w:hAnsi="宋体" w:eastAsia="宋体" w:cs="宋体"/>
          <w:b/>
          <w:bCs/>
          <w:color w:val="auto"/>
          <w:sz w:val="21"/>
          <w:szCs w:val="21"/>
          <w:highlight w:val="none"/>
        </w:rPr>
      </w:pPr>
    </w:p>
    <w:p>
      <w:pPr>
        <w:pStyle w:val="46"/>
        <w:rPr>
          <w:rFonts w:hint="eastAsia"/>
          <w:color w:val="auto"/>
          <w:highlight w:val="none"/>
        </w:rPr>
      </w:pPr>
    </w:p>
    <w:p>
      <w:pPr>
        <w:adjustRightInd w:val="0"/>
        <w:snapToGrid w:val="0"/>
        <w:spacing w:line="300" w:lineRule="auto"/>
        <w:rPr>
          <w:rFonts w:hint="eastAsia" w:ascii="仿宋" w:hAnsi="仿宋" w:eastAsia="仿宋" w:cs="仿宋_GB2312"/>
          <w:b/>
          <w:color w:val="auto"/>
          <w:sz w:val="28"/>
          <w:szCs w:val="28"/>
          <w:highlight w:val="none"/>
        </w:rPr>
      </w:pPr>
    </w:p>
    <w:tbl>
      <w:tblPr>
        <w:tblStyle w:val="23"/>
        <w:tblW w:w="932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3"/>
        <w:gridCol w:w="1124"/>
        <w:gridCol w:w="735"/>
        <w:gridCol w:w="1154"/>
        <w:gridCol w:w="719"/>
        <w:gridCol w:w="375"/>
        <w:gridCol w:w="930"/>
        <w:gridCol w:w="122"/>
        <w:gridCol w:w="899"/>
        <w:gridCol w:w="2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328"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计日工表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695"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工程名称：石井净分公司2022年二期厂区生产区域自来水及中水系统完善工程</w:t>
            </w:r>
          </w:p>
        </w:tc>
        <w:tc>
          <w:tcPr>
            <w:tcW w:w="130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3328"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编号</w:t>
            </w:r>
          </w:p>
        </w:tc>
        <w:tc>
          <w:tcPr>
            <w:tcW w:w="112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7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115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暂定数量</w:t>
            </w:r>
          </w:p>
        </w:tc>
        <w:tc>
          <w:tcPr>
            <w:tcW w:w="1094"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实际数量</w:t>
            </w:r>
          </w:p>
        </w:tc>
        <w:tc>
          <w:tcPr>
            <w:tcW w:w="105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320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2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5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94"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5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暂定</w:t>
            </w: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实际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1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22"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人工小计</w:t>
            </w: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1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1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22"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材料小计</w:t>
            </w: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1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施工机具</w:t>
            </w: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1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1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9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22"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施工机具小计</w:t>
            </w: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22"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4.企业管理费和利润</w:t>
            </w:r>
          </w:p>
        </w:tc>
        <w:tc>
          <w:tcPr>
            <w:tcW w:w="8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22"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         计</w:t>
            </w:r>
          </w:p>
        </w:tc>
        <w:tc>
          <w:tcPr>
            <w:tcW w:w="89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30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328" w:type="dxa"/>
            <w:gridSpan w:val="1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此表项目名称、暂定数量由招标人填写，编制招标控制价时，单价由招标人按有关计价规定确定；投标时，单价由投标人自主报价，按暂定数量计算合价计入投标总价中。结算时，按发承包双方确认的实际数量计算合价。</w:t>
            </w:r>
          </w:p>
        </w:tc>
      </w:tr>
    </w:tbl>
    <w:p>
      <w:pPr>
        <w:pStyle w:val="2"/>
        <w:rPr>
          <w:rFonts w:hint="eastAsia" w:ascii="仿宋" w:hAnsi="仿宋" w:eastAsia="仿宋" w:cs="仿宋_GB2312"/>
          <w:b/>
          <w:color w:val="auto"/>
          <w:sz w:val="28"/>
          <w:szCs w:val="28"/>
          <w:highlight w:val="none"/>
        </w:rPr>
      </w:pPr>
    </w:p>
    <w:tbl>
      <w:tblPr>
        <w:tblStyle w:val="23"/>
        <w:tblW w:w="82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7"/>
        <w:gridCol w:w="1767"/>
        <w:gridCol w:w="1962"/>
        <w:gridCol w:w="228"/>
        <w:gridCol w:w="1140"/>
        <w:gridCol w:w="18"/>
        <w:gridCol w:w="764"/>
        <w:gridCol w:w="12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205"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9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工程名称：石井净分公司2022年二期厂区生产区域自来水及中水系统完善工程</w:t>
            </w:r>
          </w:p>
        </w:tc>
        <w:tc>
          <w:tcPr>
            <w:tcW w:w="1386"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023"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6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7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1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14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取费基数</w:t>
            </w:r>
          </w:p>
        </w:tc>
        <w:tc>
          <w:tcPr>
            <w:tcW w:w="7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25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1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25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946"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25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2"/>
        <w:rPr>
          <w:rFonts w:hint="eastAsia" w:ascii="仿宋" w:hAnsi="仿宋" w:eastAsia="仿宋" w:cs="仿宋_GB2312"/>
          <w:b/>
          <w:color w:val="auto"/>
          <w:sz w:val="28"/>
          <w:szCs w:val="28"/>
          <w:highlight w:val="none"/>
        </w:rPr>
      </w:pPr>
    </w:p>
    <w:p>
      <w:pPr>
        <w:adjustRightInd w:val="0"/>
        <w:snapToGrid w:val="0"/>
        <w:spacing w:line="300" w:lineRule="auto"/>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w:t>
      </w:r>
      <w:r>
        <w:rPr>
          <w:rFonts w:hint="eastAsia" w:ascii="仿宋" w:hAnsi="仿宋" w:eastAsia="仿宋" w:cs="仿宋_GB2312"/>
          <w:b/>
          <w:color w:val="auto"/>
          <w:sz w:val="28"/>
          <w:szCs w:val="28"/>
          <w:highlight w:val="none"/>
          <w:lang w:val="en-US" w:eastAsia="zh-CN"/>
        </w:rPr>
        <w:t>三</w:t>
      </w:r>
      <w:r>
        <w:rPr>
          <w:rFonts w:hint="eastAsia"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lang w:val="en-US" w:eastAsia="zh-CN"/>
        </w:rPr>
        <w:t>江高分公司2022年生产区域自来水中水改造项目</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1"/>
        <w:gridCol w:w="4395"/>
        <w:gridCol w:w="1116"/>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工程名称：江高分公司2022年生产区域自来水中水改造项目</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监理费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0" w:type="auto"/>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18"/>
                <w:szCs w:val="18"/>
                <w:highlight w:val="none"/>
                <w:u w:val="none"/>
              </w:rPr>
            </w:pPr>
          </w:p>
        </w:tc>
      </w:tr>
    </w:tbl>
    <w:p>
      <w:pPr>
        <w:rPr>
          <w:color w:val="auto"/>
          <w:highlight w:val="none"/>
        </w:rPr>
      </w:pPr>
    </w:p>
    <w:tbl>
      <w:tblPr>
        <w:tblStyle w:val="23"/>
        <w:tblW w:w="921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4"/>
        <w:gridCol w:w="1239"/>
        <w:gridCol w:w="1759"/>
        <w:gridCol w:w="2255"/>
        <w:gridCol w:w="718"/>
        <w:gridCol w:w="1013"/>
        <w:gridCol w:w="700"/>
        <w:gridCol w:w="533"/>
        <w:gridCol w:w="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211" w:type="dxa"/>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697"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工程名称：江高分公司2022年生产区域自来水中水改造项目</w:t>
            </w:r>
          </w:p>
        </w:tc>
        <w:tc>
          <w:tcPr>
            <w:tcW w:w="173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783"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3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5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2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71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01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783"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7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7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030801016001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PVC给水管DN20</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4.压力试验、吹扫设计要求</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031004014005</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PVC水龙头</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030804014001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直角弯头DN20</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030804014003</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三通DN20</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030804014002</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直通DN20</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105</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030801019001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中水管</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1.材质:铸铁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2.规格:DN65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3.连接形式:法兰连接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4.压力试验</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030807002001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闸阀安装DN65</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1.材质:铸铁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2.规格:DN65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3.连接形式:法兰连接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030804017003</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三通DN65</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1.材质:铸铁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2.规格:DN65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3.连接形式:法兰连接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030804017002</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直角弯头DN65</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1.材质:铸铁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2.规格:DN65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3.连接形式:法兰连接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030801016002</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排水管DN200</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030804014005</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直角弯头DN200</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030804014006</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直通DN200</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2.规格:DN200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3.连接形式:粘接</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031004014001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地漏</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1.材质:PVC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2.规格:DN100</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2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53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211" w:type="dxa"/>
            <w:gridSpan w:val="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697"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731" w:type="dxa"/>
            <w:gridSpan w:val="2"/>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1783"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211" w:type="dxa"/>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697"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工程名称：江高分公司2022年生产区域自来水中水改造项目</w:t>
            </w:r>
          </w:p>
        </w:tc>
        <w:tc>
          <w:tcPr>
            <w:tcW w:w="173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783"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23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5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25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71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101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1783"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4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7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0"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53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4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75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25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1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1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030413003001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打洞(孔)</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1.名称:机械钻孔 φ50</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70</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031002001001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管道支架</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1.名称:管道支架制安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2.材质:镀锌角钢 45*4</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610.6</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2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031301017001</w:t>
            </w:r>
          </w:p>
        </w:tc>
        <w:tc>
          <w:tcPr>
            <w:tcW w:w="175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22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101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128" w:type="dxa"/>
            <w:gridSpan w:val="7"/>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5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128"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53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55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211" w:type="dxa"/>
            <w:gridSpan w:val="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697" w:type="dxa"/>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none"/>
              </w:rPr>
            </w:pPr>
          </w:p>
        </w:tc>
        <w:tc>
          <w:tcPr>
            <w:tcW w:w="1731" w:type="dxa"/>
            <w:gridSpan w:val="2"/>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highlight w:val="none"/>
                <w:u w:val="single"/>
              </w:rPr>
            </w:pPr>
          </w:p>
        </w:tc>
        <w:tc>
          <w:tcPr>
            <w:tcW w:w="1783"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表—08</w:t>
            </w:r>
          </w:p>
        </w:tc>
      </w:tr>
    </w:tbl>
    <w:p>
      <w:pPr>
        <w:rPr>
          <w:color w:val="auto"/>
          <w:highlight w:val="none"/>
        </w:rPr>
      </w:pPr>
    </w:p>
    <w:p>
      <w:pPr>
        <w:rPr>
          <w:color w:val="auto"/>
          <w:highlight w:val="none"/>
        </w:rPr>
      </w:pPr>
    </w:p>
    <w:p>
      <w:pPr>
        <w:rPr>
          <w:color w:val="auto"/>
          <w:highlight w:val="none"/>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6"/>
        <w:gridCol w:w="805"/>
        <w:gridCol w:w="1633"/>
        <w:gridCol w:w="1300"/>
        <w:gridCol w:w="583"/>
        <w:gridCol w:w="490"/>
        <w:gridCol w:w="677"/>
        <w:gridCol w:w="622"/>
        <w:gridCol w:w="399"/>
        <w:gridCol w:w="418"/>
        <w:gridCol w:w="1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967" w:type="pct"/>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工程名称：江高分公司2022年生产区域自来水中水改造项目</w:t>
            </w:r>
          </w:p>
        </w:tc>
        <w:tc>
          <w:tcPr>
            <w:tcW w:w="937"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095"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444"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0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717"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32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64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34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450"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86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6332.15</w:t>
            </w: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031301010001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031301011001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TSSGBWZJF001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粤031302008001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031302002001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JTGRSGZJF001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粤031302009001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312"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44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DXGXJCJXF001</w:t>
            </w:r>
          </w:p>
        </w:tc>
        <w:tc>
          <w:tcPr>
            <w:tcW w:w="90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71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4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1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4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QTFY00000001</w:t>
            </w:r>
          </w:p>
        </w:tc>
        <w:tc>
          <w:tcPr>
            <w:tcW w:w="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71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3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4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34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97" w:type="pct"/>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64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rPr>
            </w:pPr>
          </w:p>
        </w:tc>
        <w:tc>
          <w:tcPr>
            <w:tcW w:w="34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450"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6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rPr>
          <w:color w:val="auto"/>
          <w:highlight w:val="none"/>
        </w:rPr>
      </w:pPr>
    </w:p>
    <w:p>
      <w:pPr>
        <w:rPr>
          <w:color w:val="auto"/>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1"/>
        <w:gridCol w:w="2211"/>
        <w:gridCol w:w="1250"/>
        <w:gridCol w:w="2860"/>
        <w:gridCol w:w="1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342" w:type="dxa"/>
            <w:gridSpan w:val="4"/>
            <w:tcBorders>
              <w:top w:val="nil"/>
              <w:left w:val="nil"/>
              <w:bottom w:val="nil"/>
              <w:right w:val="nil"/>
            </w:tcBorders>
            <w:shd w:val="clear" w:color="FFFFFF" w:fill="FFFFFF"/>
            <w:vAlign w:val="center"/>
          </w:tcPr>
          <w:p>
            <w:pPr>
              <w:jc w:val="center"/>
              <w:rPr>
                <w:rFonts w:hint="eastAsia" w:ascii="宋体" w:hAnsi="宋体" w:eastAsia="宋体" w:cs="宋体"/>
                <w:b/>
                <w:bCs/>
                <w:i w:val="0"/>
                <w:iCs w:val="0"/>
                <w:color w:val="auto"/>
                <w:sz w:val="20"/>
                <w:szCs w:val="20"/>
                <w:highlight w:val="none"/>
                <w:u w:val="none"/>
              </w:rPr>
            </w:pPr>
          </w:p>
        </w:tc>
        <w:tc>
          <w:tcPr>
            <w:tcW w:w="1625" w:type="dxa"/>
            <w:tcBorders>
              <w:top w:val="nil"/>
              <w:left w:val="nil"/>
              <w:bottom w:val="nil"/>
              <w:right w:val="nil"/>
            </w:tcBorders>
            <w:shd w:val="clear" w:color="FFFFFF" w:fill="FFFFFF"/>
            <w:vAlign w:val="center"/>
          </w:tcPr>
          <w:p>
            <w:pPr>
              <w:jc w:val="right"/>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工程名称：江高分公司2022年生产区域自来水中水改造项目</w:t>
            </w:r>
          </w:p>
        </w:tc>
        <w:tc>
          <w:tcPr>
            <w:tcW w:w="362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1625"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220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162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4132.74</w:t>
            </w: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62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0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62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3624"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625" w:type="dxa"/>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表—12</w:t>
            </w:r>
          </w:p>
        </w:tc>
      </w:tr>
    </w:tbl>
    <w:p>
      <w:pPr>
        <w:rPr>
          <w:color w:val="auto"/>
          <w:highlight w:val="none"/>
        </w:rPr>
      </w:pP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5"/>
        <w:gridCol w:w="2582"/>
        <w:gridCol w:w="1055"/>
        <w:gridCol w:w="1055"/>
        <w:gridCol w:w="1028"/>
        <w:gridCol w:w="409"/>
        <w:gridCol w:w="410"/>
        <w:gridCol w:w="1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工程名称：江高分公司2022年生产区域自来水中水改造项目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取费基数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46"/>
        <w:rPr>
          <w:rFonts w:hint="eastAsia"/>
          <w:color w:val="auto"/>
          <w:highlight w:val="none"/>
        </w:rPr>
      </w:pPr>
    </w:p>
    <w:p>
      <w:pPr>
        <w:pStyle w:val="46"/>
        <w:rPr>
          <w:rFonts w:hint="eastAsia"/>
          <w:color w:val="auto"/>
          <w:highlight w:val="none"/>
        </w:rPr>
      </w:pPr>
    </w:p>
    <w:p>
      <w:pPr>
        <w:autoSpaceDE w:val="0"/>
        <w:autoSpaceDN w:val="0"/>
        <w:spacing w:line="520" w:lineRule="exact"/>
        <w:ind w:firstLine="0" w:firstLineChars="0"/>
        <w:rPr>
          <w:rFonts w:hint="default"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项目四：江高分公司2022年一期机修车间改造项目</w:t>
      </w:r>
    </w:p>
    <w:tbl>
      <w:tblPr>
        <w:tblStyle w:val="23"/>
        <w:tblW w:w="93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6"/>
        <w:gridCol w:w="1604"/>
        <w:gridCol w:w="1440"/>
        <w:gridCol w:w="297"/>
        <w:gridCol w:w="857"/>
        <w:gridCol w:w="577"/>
        <w:gridCol w:w="1732"/>
        <w:gridCol w:w="1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375"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单项工程汇总表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334" w:type="dxa"/>
            <w:gridSpan w:val="5"/>
            <w:tcBorders>
              <w:top w:val="nil"/>
              <w:left w:val="nil"/>
              <w:bottom w:val="nil"/>
              <w:right w:val="nil"/>
            </w:tcBorders>
            <w:shd w:val="clear" w:color="FFFFFF" w:fill="FFFFFF"/>
            <w:vAlign w:val="bottom"/>
          </w:tcPr>
          <w:p>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工程名称：江高分公司2022年一期机修车间改造项目</w:t>
            </w:r>
          </w:p>
        </w:tc>
        <w:tc>
          <w:tcPr>
            <w:tcW w:w="4041"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13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6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单位工程名称</w:t>
            </w:r>
          </w:p>
        </w:tc>
        <w:tc>
          <w:tcPr>
            <w:tcW w:w="144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5195"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3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6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4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731"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1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6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建筑工程</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31"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1987.70</w:t>
            </w: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13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6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安装工程</w:t>
            </w:r>
          </w:p>
        </w:tc>
        <w:tc>
          <w:tcPr>
            <w:tcW w:w="144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31"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1324.78</w:t>
            </w:r>
          </w:p>
        </w:tc>
        <w:tc>
          <w:tcPr>
            <w:tcW w:w="173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740"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w:t>
            </w:r>
          </w:p>
        </w:tc>
        <w:tc>
          <w:tcPr>
            <w:tcW w:w="144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31"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73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73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375" w:type="dxa"/>
            <w:gridSpan w:val="8"/>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注：本表适用于单项工程招标控制价或投标报价的汇总。暂估价包括分部分项工程中的暂估价和专业工程工程暂估价。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77" w:type="dxa"/>
            <w:gridSpan w:val="4"/>
            <w:tcBorders>
              <w:top w:val="nil"/>
              <w:left w:val="nil"/>
              <w:bottom w:val="nil"/>
              <w:right w:val="nil"/>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857"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highlight w:val="none"/>
                <w:u w:val="none"/>
              </w:rPr>
            </w:pPr>
          </w:p>
        </w:tc>
        <w:tc>
          <w:tcPr>
            <w:tcW w:w="4041" w:type="dxa"/>
            <w:gridSpan w:val="3"/>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表—03</w:t>
            </w:r>
          </w:p>
        </w:tc>
      </w:tr>
    </w:tbl>
    <w:p>
      <w:pPr>
        <w:pStyle w:val="14"/>
        <w:rPr>
          <w:rFonts w:hint="eastAsia"/>
          <w:color w:val="auto"/>
          <w:highlight w:val="none"/>
          <w:lang w:val="en-US" w:eastAsia="zh-CN"/>
        </w:rPr>
      </w:pPr>
    </w:p>
    <w:tbl>
      <w:tblPr>
        <w:tblStyle w:val="23"/>
        <w:tblW w:w="98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5"/>
        <w:gridCol w:w="3806"/>
        <w:gridCol w:w="2203"/>
        <w:gridCol w:w="180"/>
        <w:gridCol w:w="2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25"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35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工程名称：建筑工程</w:t>
            </w:r>
          </w:p>
        </w:tc>
        <w:tc>
          <w:tcPr>
            <w:tcW w:w="2471"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34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380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38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229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8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3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51"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合计=1+2+3+5</w:t>
            </w:r>
          </w:p>
        </w:tc>
        <w:tc>
          <w:tcPr>
            <w:tcW w:w="238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825" w:type="dxa"/>
            <w:gridSpan w:val="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spacing w:line="360" w:lineRule="auto"/>
        <w:rPr>
          <w:rFonts w:ascii="宋体" w:hAnsi="宋体" w:cs="宋体"/>
          <w:b/>
          <w:bCs/>
          <w:color w:val="auto"/>
          <w:szCs w:val="21"/>
          <w:highlight w:val="none"/>
        </w:rPr>
      </w:pPr>
    </w:p>
    <w:tbl>
      <w:tblPr>
        <w:tblStyle w:val="23"/>
        <w:tblW w:w="93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4"/>
        <w:gridCol w:w="1416"/>
        <w:gridCol w:w="997"/>
        <w:gridCol w:w="1664"/>
        <w:gridCol w:w="523"/>
        <w:gridCol w:w="617"/>
        <w:gridCol w:w="859"/>
        <w:gridCol w:w="91"/>
        <w:gridCol w:w="1067"/>
        <w:gridCol w:w="788"/>
        <w:gridCol w:w="8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39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571"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工程名称：建筑工程</w:t>
            </w:r>
          </w:p>
        </w:tc>
        <w:tc>
          <w:tcPr>
            <w:tcW w:w="1999"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820"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9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99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187"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61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95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29"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9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9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18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5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67"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788"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9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9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18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61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5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88"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穗011210007001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隔墙</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1.隔墙类型:间隔墙体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2.厚度:18mm</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011201001001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墙面一般抹灰</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1.墙体类型:隔断墙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2.墙体一般抹灰</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011406003001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满刮腻子</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1.腻子种类:成品腻子粉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2.刮腻子遍数:1</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011302001001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吊顶天棚</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1.面层材料品种、规格:铝吊顶天花600*600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2.龙骨材料种类、规格、中距:U型轻钢龙骨</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56.25</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011204003001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块料墙面</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1.安装方式:卫浴间墙砖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2.面层材料品种、规格、颜色:200*450mm</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011102003001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块料楼地面</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1.面层材料品种、规格、颜色:瓷质抛光砖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2.规格:800mm*800mm</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56.25</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010802001001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不锈钢门</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1.门框、扇材质:不锈钢门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2.门框或扇外围尺寸:1000mm*2000mm</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010802001002</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铝合金玻璃门</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1.门框、扇材质:铝合金玻璃门、拉手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2.尺寸:700mm*2000mm</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m2</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01B001</w:t>
            </w: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不锈钢工具柜</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1.名称：不锈钢工具柜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2.材质：304厚1.2mm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3.规格：2000*1000*400</w:t>
            </w: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9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1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728"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7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728"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78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7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390"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bl>
    <w:p>
      <w:pPr>
        <w:spacing w:line="360" w:lineRule="auto"/>
        <w:rPr>
          <w:rFonts w:ascii="宋体" w:hAnsi="宋体" w:cs="宋体"/>
          <w:b/>
          <w:bCs/>
          <w:color w:val="auto"/>
          <w:szCs w:val="21"/>
          <w:highlight w:val="none"/>
        </w:rPr>
      </w:pPr>
    </w:p>
    <w:tbl>
      <w:tblPr>
        <w:tblStyle w:val="23"/>
        <w:tblW w:w="943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992"/>
        <w:gridCol w:w="1450"/>
        <w:gridCol w:w="1417"/>
        <w:gridCol w:w="833"/>
        <w:gridCol w:w="282"/>
        <w:gridCol w:w="401"/>
        <w:gridCol w:w="750"/>
        <w:gridCol w:w="984"/>
        <w:gridCol w:w="15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433"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732"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工程名称：建筑工程</w:t>
            </w:r>
          </w:p>
        </w:tc>
        <w:tc>
          <w:tcPr>
            <w:tcW w:w="1151"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55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5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99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4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1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83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68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75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98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56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7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sz w:val="20"/>
                <w:szCs w:val="20"/>
                <w:highlight w:val="none"/>
                <w:u w:val="none"/>
                <w:lang w:val="en-US" w:eastAsia="zh-CN"/>
              </w:rPr>
              <w:t>1987.704</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2" w:hRule="atLeast"/>
        </w:trPr>
        <w:tc>
          <w:tcPr>
            <w:tcW w:w="7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WMGDZJF00001</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011707002001</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6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7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GGCSF0000001</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w:t>
            </w:r>
          </w:p>
        </w:tc>
        <w:tc>
          <w:tcPr>
            <w:tcW w:w="6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5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99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QTFY00000001</w:t>
            </w:r>
          </w:p>
        </w:tc>
        <w:tc>
          <w:tcPr>
            <w:tcW w:w="14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3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8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450"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68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75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98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56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pStyle w:val="2"/>
        <w:rPr>
          <w:rFonts w:ascii="宋体" w:hAnsi="宋体" w:cs="宋体"/>
          <w:b/>
          <w:bCs/>
          <w:color w:val="auto"/>
          <w:szCs w:val="21"/>
          <w:highlight w:val="none"/>
        </w:rPr>
      </w:pPr>
    </w:p>
    <w:tbl>
      <w:tblPr>
        <w:tblStyle w:val="23"/>
        <w:tblW w:w="83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9"/>
        <w:gridCol w:w="1946"/>
        <w:gridCol w:w="1101"/>
        <w:gridCol w:w="764"/>
        <w:gridCol w:w="1014"/>
        <w:gridCol w:w="539"/>
        <w:gridCol w:w="2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325"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94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工程名称：建筑工程</w:t>
            </w:r>
          </w:p>
        </w:tc>
        <w:tc>
          <w:tcPr>
            <w:tcW w:w="177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601"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9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94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6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55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206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94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86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06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99"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94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6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55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206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25"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bl>
    <w:p>
      <w:pPr>
        <w:pStyle w:val="2"/>
        <w:rPr>
          <w:rFonts w:ascii="宋体" w:hAnsi="宋体" w:cs="宋体"/>
          <w:b/>
          <w:bCs/>
          <w:color w:val="auto"/>
          <w:szCs w:val="21"/>
          <w:highlight w:val="none"/>
        </w:rPr>
      </w:pPr>
    </w:p>
    <w:tbl>
      <w:tblPr>
        <w:tblStyle w:val="23"/>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6"/>
        <w:gridCol w:w="1393"/>
        <w:gridCol w:w="1991"/>
        <w:gridCol w:w="228"/>
        <w:gridCol w:w="1454"/>
        <w:gridCol w:w="18"/>
        <w:gridCol w:w="1171"/>
        <w:gridCol w:w="14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820"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45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工程名称：建筑工程</w:t>
            </w:r>
          </w:p>
        </w:tc>
        <w:tc>
          <w:tcPr>
            <w:tcW w:w="1700"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67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6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39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21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45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18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49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6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2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45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18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49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21"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49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2"/>
        <w:rPr>
          <w:rFonts w:ascii="宋体" w:hAnsi="宋体" w:cs="宋体"/>
          <w:b/>
          <w:bCs/>
          <w:color w:val="auto"/>
          <w:szCs w:val="21"/>
          <w:highlight w:val="none"/>
        </w:rPr>
      </w:pPr>
    </w:p>
    <w:tbl>
      <w:tblPr>
        <w:tblStyle w:val="23"/>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6"/>
        <w:gridCol w:w="2608"/>
        <w:gridCol w:w="87"/>
        <w:gridCol w:w="1754"/>
        <w:gridCol w:w="734"/>
        <w:gridCol w:w="22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8820" w:type="dxa"/>
            <w:gridSpan w:val="6"/>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单位工程汇总表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04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工程名称：安装工程</w:t>
            </w:r>
          </w:p>
        </w:tc>
        <w:tc>
          <w:tcPr>
            <w:tcW w:w="1754"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302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34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260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汇总内容</w:t>
            </w:r>
          </w:p>
        </w:tc>
        <w:tc>
          <w:tcPr>
            <w:tcW w:w="257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2291"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措施合计</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其他措施费</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其他项目</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税前工程造价</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总造价</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34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26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人工费</w:t>
            </w:r>
          </w:p>
        </w:tc>
        <w:tc>
          <w:tcPr>
            <w:tcW w:w="257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954"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合计=1+2+3+5</w:t>
            </w:r>
          </w:p>
        </w:tc>
        <w:tc>
          <w:tcPr>
            <w:tcW w:w="2575"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229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820"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pStyle w:val="2"/>
        <w:rPr>
          <w:rFonts w:ascii="宋体" w:hAnsi="宋体" w:cs="宋体"/>
          <w:b/>
          <w:bCs/>
          <w:color w:val="auto"/>
          <w:szCs w:val="21"/>
          <w:highlight w:val="none"/>
        </w:rPr>
      </w:pPr>
    </w:p>
    <w:tbl>
      <w:tblPr>
        <w:tblStyle w:val="23"/>
        <w:tblW w:w="921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3"/>
        <w:gridCol w:w="1028"/>
        <w:gridCol w:w="1050"/>
        <w:gridCol w:w="2100"/>
        <w:gridCol w:w="116"/>
        <w:gridCol w:w="584"/>
        <w:gridCol w:w="767"/>
        <w:gridCol w:w="722"/>
        <w:gridCol w:w="128"/>
        <w:gridCol w:w="1066"/>
        <w:gridCol w:w="8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211"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77"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工程名称：安装工程</w:t>
            </w:r>
          </w:p>
        </w:tc>
        <w:tc>
          <w:tcPr>
            <w:tcW w:w="207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061"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3"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02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0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21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项目特征描述</w:t>
            </w:r>
          </w:p>
        </w:tc>
        <w:tc>
          <w:tcPr>
            <w:tcW w:w="70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计量单位</w:t>
            </w:r>
          </w:p>
        </w:tc>
        <w:tc>
          <w:tcPr>
            <w:tcW w:w="76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工程量</w:t>
            </w:r>
          </w:p>
        </w:tc>
        <w:tc>
          <w:tcPr>
            <w:tcW w:w="2783"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3"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2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1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50"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综合单价</w:t>
            </w:r>
          </w:p>
        </w:tc>
        <w:tc>
          <w:tcPr>
            <w:tcW w:w="1066"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综合合价</w:t>
            </w: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3"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2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21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0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50"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66"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整个项目</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030408001001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1.名称:电源电缆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2.规格:YJV-40*70+1*35</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030408001002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电力电缆</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1.名称:电源电缆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2.规格:4*16+1*6</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80</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030404004001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机修电柜</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1.名称:机修电柜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2.型号:1进8出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3.规格:1400*700*400</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030404017001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维修电箱</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1.名称:维修电箱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2.型号:1进6出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3.规格:600*500*250</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031101014001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车床电源箱</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1.名称:车床电源箱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2.规格:600*500*250</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架</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030701003001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空调器</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1.名称:柜式空调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2.型号:3匹冷暖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3.安装形式:落地式</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031006012001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热水器、开水炉</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1.能源种类:储水式热水器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2.型号、容积:60L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3.安装方式:立装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4.配卫浴花洒</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011505001001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洗漱台</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1.名称:洗漱台</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01B002</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洗衣机</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1.名称:滚筒洗衣机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2.规格、型号:8KG</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030412004001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装饰灯</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1.名称:车间照明射灯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2.型号:200W</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030412005001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荧光灯</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1.名称:成套型荧光灯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2.型号:吸顶式 单管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3.安装形式:成套型</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030404035001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插座</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1.名称:插座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2.材质:86型</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031001006001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塑料管</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1.安装部位:室内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2.材质、规格:DN25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3.连接形式:热熔连接</w:t>
            </w: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措施项目</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031302007001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高层施工增加</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031301017001</w:t>
            </w: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脚手架搭拆费</w:t>
            </w: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8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10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21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70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7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278"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本页小计</w:t>
            </w:r>
          </w:p>
        </w:tc>
        <w:tc>
          <w:tcPr>
            <w:tcW w:w="10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278"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06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86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211"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注：为计取规费等的使用，可在表中增设其中：“定额人工费”。</w:t>
            </w:r>
          </w:p>
        </w:tc>
      </w:tr>
    </w:tbl>
    <w:p>
      <w:pPr>
        <w:pStyle w:val="2"/>
        <w:rPr>
          <w:rFonts w:ascii="宋体" w:hAnsi="宋体" w:cs="宋体"/>
          <w:b/>
          <w:bCs/>
          <w:color w:val="auto"/>
          <w:szCs w:val="21"/>
          <w:highlight w:val="none"/>
        </w:rPr>
      </w:pPr>
    </w:p>
    <w:tbl>
      <w:tblPr>
        <w:tblStyle w:val="23"/>
        <w:tblW w:w="91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7"/>
        <w:gridCol w:w="906"/>
        <w:gridCol w:w="1717"/>
        <w:gridCol w:w="1467"/>
        <w:gridCol w:w="536"/>
        <w:gridCol w:w="964"/>
        <w:gridCol w:w="666"/>
        <w:gridCol w:w="817"/>
        <w:gridCol w:w="1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180" w:type="dxa"/>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253"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工程名称：安装工程</w:t>
            </w:r>
          </w:p>
        </w:tc>
        <w:tc>
          <w:tcPr>
            <w:tcW w:w="16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29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2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90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1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53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6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81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48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0"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LSSGCSF00001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绿色施工安全防护措施费</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1324.7845</w:t>
            </w: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031301010001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安装与生产同时进行增加费用</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031301011001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在有害身体健康环境中施工增加费</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w:t>
            </w: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TSSGBWZJF001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在地下（暗）室、设备及大口径管道内等特殊施工部位进行施工增加费</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粤031302008001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031302002001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夜间施工增加费</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JTGRSGZJF001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交通干扰工程施工增加费</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粤031302009001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文明工地增加费</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分部分项人工费+分部分项机具费</w:t>
            </w: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27"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90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DXGXJCJXF001</w:t>
            </w:r>
          </w:p>
        </w:tc>
        <w:tc>
          <w:tcPr>
            <w:tcW w:w="171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地下管线交叉降效费</w:t>
            </w:r>
          </w:p>
        </w:tc>
        <w:tc>
          <w:tcPr>
            <w:tcW w:w="146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253"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p>
        </w:tc>
        <w:tc>
          <w:tcPr>
            <w:tcW w:w="3927"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253" w:type="dxa"/>
            <w:gridSpan w:val="5"/>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1630"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auto"/>
                <w:sz w:val="18"/>
                <w:szCs w:val="18"/>
                <w:highlight w:val="none"/>
                <w:u w:val="none"/>
              </w:rPr>
            </w:pPr>
          </w:p>
        </w:tc>
        <w:tc>
          <w:tcPr>
            <w:tcW w:w="2297" w:type="dxa"/>
            <w:gridSpan w:val="2"/>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180" w:type="dxa"/>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5253"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工程名称：安装工程</w:t>
            </w:r>
          </w:p>
        </w:tc>
        <w:tc>
          <w:tcPr>
            <w:tcW w:w="163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29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2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90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项目编码</w:t>
            </w:r>
          </w:p>
        </w:tc>
        <w:tc>
          <w:tcPr>
            <w:tcW w:w="171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46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53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96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(元)</w:t>
            </w:r>
          </w:p>
        </w:tc>
        <w:tc>
          <w:tcPr>
            <w:tcW w:w="66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费率(%)</w:t>
            </w:r>
          </w:p>
        </w:tc>
        <w:tc>
          <w:tcPr>
            <w:tcW w:w="817"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调整后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金额(元)</w:t>
            </w:r>
          </w:p>
        </w:tc>
        <w:tc>
          <w:tcPr>
            <w:tcW w:w="148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9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QTFY00000001</w:t>
            </w:r>
          </w:p>
        </w:tc>
        <w:tc>
          <w:tcPr>
            <w:tcW w:w="17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46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highlight w:val="none"/>
                <w:u w:val="none"/>
              </w:rPr>
            </w:pPr>
          </w:p>
        </w:tc>
        <w:tc>
          <w:tcPr>
            <w:tcW w:w="5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96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253"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96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66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81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c>
          <w:tcPr>
            <w:tcW w:w="1480"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bl>
    <w:p>
      <w:pPr>
        <w:pStyle w:val="2"/>
        <w:rPr>
          <w:rFonts w:ascii="宋体" w:hAnsi="宋体" w:cs="宋体"/>
          <w:b/>
          <w:bCs/>
          <w:color w:val="auto"/>
          <w:szCs w:val="21"/>
          <w:highlight w:val="none"/>
        </w:rPr>
      </w:pPr>
    </w:p>
    <w:tbl>
      <w:tblPr>
        <w:tblStyle w:val="23"/>
        <w:tblW w:w="90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2"/>
        <w:gridCol w:w="1755"/>
        <w:gridCol w:w="1103"/>
        <w:gridCol w:w="720"/>
        <w:gridCol w:w="1015"/>
        <w:gridCol w:w="555"/>
        <w:gridCol w:w="26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017"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0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工程名称：安装工程</w:t>
            </w:r>
          </w:p>
        </w:tc>
        <w:tc>
          <w:tcPr>
            <w:tcW w:w="173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318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242"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75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82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c>
          <w:tcPr>
            <w:tcW w:w="157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结算金额（元）</w:t>
            </w:r>
          </w:p>
        </w:tc>
        <w:tc>
          <w:tcPr>
            <w:tcW w:w="262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暂列金额</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暂估价</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材料暂估价</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专业工程暂估价</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计日工</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总承包服务费</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预算包干费</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工程优质费</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概算幅度差</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现场签证费用</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索赔费用</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24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其他费用</w:t>
            </w:r>
          </w:p>
        </w:tc>
        <w:tc>
          <w:tcPr>
            <w:tcW w:w="182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highlight w:val="none"/>
                <w:u w:val="none"/>
              </w:rPr>
            </w:pPr>
          </w:p>
        </w:tc>
        <w:tc>
          <w:tcPr>
            <w:tcW w:w="262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242"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17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合  计</w:t>
            </w:r>
          </w:p>
        </w:tc>
        <w:tc>
          <w:tcPr>
            <w:tcW w:w="182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57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highlight w:val="none"/>
                <w:u w:val="none"/>
              </w:rPr>
            </w:pPr>
          </w:p>
        </w:tc>
        <w:tc>
          <w:tcPr>
            <w:tcW w:w="262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017"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注：材料（工程设备）暂估单价进入清单项目综合单价，此处不汇总。</w:t>
            </w:r>
          </w:p>
        </w:tc>
      </w:tr>
    </w:tbl>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p>
      <w:pPr>
        <w:pStyle w:val="2"/>
        <w:rPr>
          <w:rFonts w:ascii="宋体" w:hAnsi="宋体" w:cs="宋体"/>
          <w:b/>
          <w:bCs/>
          <w:color w:val="auto"/>
          <w:szCs w:val="21"/>
          <w:highlight w:val="none"/>
        </w:rPr>
      </w:pPr>
    </w:p>
    <w:tbl>
      <w:tblPr>
        <w:tblStyle w:val="23"/>
        <w:tblW w:w="901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6"/>
        <w:gridCol w:w="1678"/>
        <w:gridCol w:w="1513"/>
        <w:gridCol w:w="228"/>
        <w:gridCol w:w="1871"/>
        <w:gridCol w:w="18"/>
        <w:gridCol w:w="1172"/>
        <w:gridCol w:w="14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011"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宋体" w:hAnsi="宋体" w:eastAsia="宋体" w:cs="宋体"/>
                <w:b/>
                <w:bCs/>
                <w:i w:val="0"/>
                <w:iCs w:val="0"/>
                <w:color w:val="auto"/>
                <w:kern w:val="0"/>
                <w:sz w:val="40"/>
                <w:szCs w:val="40"/>
                <w:highlight w:val="none"/>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57"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工程名称：安装工程</w:t>
            </w:r>
          </w:p>
        </w:tc>
        <w:tc>
          <w:tcPr>
            <w:tcW w:w="2117" w:type="dxa"/>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标段：</w:t>
            </w:r>
          </w:p>
        </w:tc>
        <w:tc>
          <w:tcPr>
            <w:tcW w:w="263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6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67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项目名称</w:t>
            </w:r>
          </w:p>
        </w:tc>
        <w:tc>
          <w:tcPr>
            <w:tcW w:w="1741"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计算基础</w:t>
            </w:r>
          </w:p>
        </w:tc>
        <w:tc>
          <w:tcPr>
            <w:tcW w:w="187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计算基数</w:t>
            </w:r>
          </w:p>
        </w:tc>
        <w:tc>
          <w:tcPr>
            <w:tcW w:w="11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计算费率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w:t>
            </w:r>
          </w:p>
        </w:tc>
        <w:tc>
          <w:tcPr>
            <w:tcW w:w="14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6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6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增值税销项税额</w:t>
            </w:r>
          </w:p>
        </w:tc>
        <w:tc>
          <w:tcPr>
            <w:tcW w:w="174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分部分项合计+措施合计+其他项目</w:t>
            </w:r>
          </w:p>
        </w:tc>
        <w:tc>
          <w:tcPr>
            <w:tcW w:w="18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1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c>
          <w:tcPr>
            <w:tcW w:w="14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546" w:type="dxa"/>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合    计</w:t>
            </w:r>
          </w:p>
        </w:tc>
        <w:tc>
          <w:tcPr>
            <w:tcW w:w="14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highlight w:val="none"/>
                <w:u w:val="none"/>
              </w:rPr>
            </w:pPr>
          </w:p>
        </w:tc>
      </w:tr>
    </w:tbl>
    <w:p>
      <w:pPr>
        <w:pStyle w:val="2"/>
        <w:ind w:left="0" w:leftChars="0" w:firstLine="0" w:firstLineChars="0"/>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61" w:name="_Toc6058"/>
      <w:bookmarkStart w:id="162" w:name="_Toc87616402"/>
      <w:bookmarkStart w:id="163" w:name="_Toc16386"/>
      <w:bookmarkStart w:id="164" w:name="_Toc88209965"/>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61"/>
      <w:bookmarkEnd w:id="162"/>
      <w:bookmarkEnd w:id="163"/>
      <w:bookmarkEnd w:id="164"/>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qfISskBAACZ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ip8hKyQEAAJk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u4U8kBAACZ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HO7hTyQEAAJk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jW/G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Arn7rjFiV9+/rj8+nP5/Z0s&#10;sz59gBrT7gMmpuGdH3BrZj+gM9MeVLT5i4QIxlHd81VdOSQi8qP1ar2uMCQwNl8Qnz08DxHSe+kt&#10;yUZDI46vqMpPHyGNqXNKrub8nTamjNC4fxyImT0s9z72mK007IeJ0N63Z+TT4+Qb6nDRKTEfHAqb&#10;l2Q24mzsZ+MYoj50ZYtyPQi3x4RNlN5yhRF2KowjK+ym9co78fhesh5+q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Y1vxjIAQAAm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2B05F"/>
    <w:multiLevelType w:val="singleLevel"/>
    <w:tmpl w:val="B302B05F"/>
    <w:lvl w:ilvl="0" w:tentative="0">
      <w:start w:val="1"/>
      <w:numFmt w:val="decimal"/>
      <w:suff w:val="nothing"/>
      <w:lvlText w:val="（%1）"/>
      <w:lvlJc w:val="left"/>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F474C9A6"/>
    <w:multiLevelType w:val="singleLevel"/>
    <w:tmpl w:val="F474C9A6"/>
    <w:lvl w:ilvl="0" w:tentative="0">
      <w:start w:val="10"/>
      <w:numFmt w:val="chineseCounting"/>
      <w:suff w:val="space"/>
      <w:lvlText w:val="第%1条"/>
      <w:lvlJc w:val="left"/>
      <w:rPr>
        <w:rFonts w:hint="eastAsia"/>
      </w:rPr>
    </w:lvl>
  </w:abstractNum>
  <w:abstractNum w:abstractNumId="3">
    <w:nsid w:val="0FCB888D"/>
    <w:multiLevelType w:val="singleLevel"/>
    <w:tmpl w:val="0FCB888D"/>
    <w:lvl w:ilvl="0" w:tentative="0">
      <w:start w:val="1"/>
      <w:numFmt w:val="chineseCounting"/>
      <w:suff w:val="nothing"/>
      <w:lvlText w:val="%1、"/>
      <w:lvlJc w:val="left"/>
      <w:rPr>
        <w:rFonts w:hint="eastAsia"/>
      </w:rPr>
    </w:lvl>
  </w:abstractNum>
  <w:abstractNum w:abstractNumId="4">
    <w:nsid w:val="2252C60A"/>
    <w:multiLevelType w:val="singleLevel"/>
    <w:tmpl w:val="2252C60A"/>
    <w:lvl w:ilvl="0" w:tentative="0">
      <w:start w:val="5"/>
      <w:numFmt w:val="decimal"/>
      <w:lvlText w:val="%1."/>
      <w:lvlJc w:val="left"/>
      <w:pPr>
        <w:tabs>
          <w:tab w:val="left" w:pos="312"/>
        </w:tabs>
      </w:pPr>
    </w:lvl>
  </w:abstractNum>
  <w:abstractNum w:abstractNumId="5">
    <w:nsid w:val="4734DCE6"/>
    <w:multiLevelType w:val="singleLevel"/>
    <w:tmpl w:val="4734DCE6"/>
    <w:lvl w:ilvl="0" w:tentative="0">
      <w:start w:val="1"/>
      <w:numFmt w:val="decimal"/>
      <w:lvlText w:val="%1."/>
      <w:lvlJc w:val="left"/>
      <w:pPr>
        <w:tabs>
          <w:tab w:val="left" w:pos="312"/>
        </w:tabs>
      </w:p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6"/>
  </w:num>
  <w:num w:numId="3">
    <w:abstractNumId w:val="5"/>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040841"/>
    <w:rsid w:val="001C2C03"/>
    <w:rsid w:val="003D60BA"/>
    <w:rsid w:val="00411689"/>
    <w:rsid w:val="005D618A"/>
    <w:rsid w:val="00911ECD"/>
    <w:rsid w:val="00A042E0"/>
    <w:rsid w:val="00B26BB1"/>
    <w:rsid w:val="00B26E21"/>
    <w:rsid w:val="00F83B64"/>
    <w:rsid w:val="011328BA"/>
    <w:rsid w:val="02090C75"/>
    <w:rsid w:val="026776DB"/>
    <w:rsid w:val="02A23A3C"/>
    <w:rsid w:val="03AC246A"/>
    <w:rsid w:val="03B23056"/>
    <w:rsid w:val="03DC3EBA"/>
    <w:rsid w:val="03F9794D"/>
    <w:rsid w:val="042761CB"/>
    <w:rsid w:val="046A2461"/>
    <w:rsid w:val="05B615F5"/>
    <w:rsid w:val="06C64829"/>
    <w:rsid w:val="06D27D65"/>
    <w:rsid w:val="06E260CE"/>
    <w:rsid w:val="077D16D2"/>
    <w:rsid w:val="08675FC8"/>
    <w:rsid w:val="08C7707C"/>
    <w:rsid w:val="08E4307A"/>
    <w:rsid w:val="090651BA"/>
    <w:rsid w:val="09B713FD"/>
    <w:rsid w:val="09EF6ACC"/>
    <w:rsid w:val="0A315056"/>
    <w:rsid w:val="0AFB45AD"/>
    <w:rsid w:val="0B037946"/>
    <w:rsid w:val="0B351E9B"/>
    <w:rsid w:val="0B4C50D3"/>
    <w:rsid w:val="0B806B92"/>
    <w:rsid w:val="0B827E94"/>
    <w:rsid w:val="0BC93FFF"/>
    <w:rsid w:val="0BD070E1"/>
    <w:rsid w:val="0C247926"/>
    <w:rsid w:val="0C767963"/>
    <w:rsid w:val="0D794204"/>
    <w:rsid w:val="0E2125D1"/>
    <w:rsid w:val="0E214211"/>
    <w:rsid w:val="0E241567"/>
    <w:rsid w:val="0E5356C3"/>
    <w:rsid w:val="0E5F2769"/>
    <w:rsid w:val="0E9B640F"/>
    <w:rsid w:val="0F4D75A3"/>
    <w:rsid w:val="0F5B2DCA"/>
    <w:rsid w:val="0FED051E"/>
    <w:rsid w:val="0FEE4C29"/>
    <w:rsid w:val="0FF76FB3"/>
    <w:rsid w:val="10046082"/>
    <w:rsid w:val="10395A5B"/>
    <w:rsid w:val="10AA22DA"/>
    <w:rsid w:val="10D21A9C"/>
    <w:rsid w:val="112B101A"/>
    <w:rsid w:val="119B53FC"/>
    <w:rsid w:val="12424CDC"/>
    <w:rsid w:val="129A2738"/>
    <w:rsid w:val="12B56BF1"/>
    <w:rsid w:val="12CB1A89"/>
    <w:rsid w:val="131840FB"/>
    <w:rsid w:val="13467417"/>
    <w:rsid w:val="135E58EC"/>
    <w:rsid w:val="136E76CF"/>
    <w:rsid w:val="13F82B68"/>
    <w:rsid w:val="15BC6B3C"/>
    <w:rsid w:val="1694429A"/>
    <w:rsid w:val="172F162F"/>
    <w:rsid w:val="17635326"/>
    <w:rsid w:val="18236EFD"/>
    <w:rsid w:val="189D5B1F"/>
    <w:rsid w:val="18A34CD0"/>
    <w:rsid w:val="19B64DBC"/>
    <w:rsid w:val="1A373ACF"/>
    <w:rsid w:val="1A4F1D80"/>
    <w:rsid w:val="1A895341"/>
    <w:rsid w:val="1B0D071F"/>
    <w:rsid w:val="1B3E23CE"/>
    <w:rsid w:val="1B4568CE"/>
    <w:rsid w:val="1B9015B7"/>
    <w:rsid w:val="1C6A2634"/>
    <w:rsid w:val="1D5A79EE"/>
    <w:rsid w:val="1E0E2CD0"/>
    <w:rsid w:val="1E6A5DD0"/>
    <w:rsid w:val="1E831280"/>
    <w:rsid w:val="1E97238F"/>
    <w:rsid w:val="1EBC4704"/>
    <w:rsid w:val="1F172EB5"/>
    <w:rsid w:val="1F4D6D68"/>
    <w:rsid w:val="1F6B5745"/>
    <w:rsid w:val="1F94592D"/>
    <w:rsid w:val="1FB860DE"/>
    <w:rsid w:val="203C5A02"/>
    <w:rsid w:val="209D4C94"/>
    <w:rsid w:val="20E84705"/>
    <w:rsid w:val="2180073C"/>
    <w:rsid w:val="218400BA"/>
    <w:rsid w:val="21AB1E2F"/>
    <w:rsid w:val="21B225A8"/>
    <w:rsid w:val="21D40498"/>
    <w:rsid w:val="22767047"/>
    <w:rsid w:val="23A05588"/>
    <w:rsid w:val="25431AEB"/>
    <w:rsid w:val="25BF43FD"/>
    <w:rsid w:val="25E40962"/>
    <w:rsid w:val="25F86BCD"/>
    <w:rsid w:val="269E416A"/>
    <w:rsid w:val="272100D3"/>
    <w:rsid w:val="272C72FC"/>
    <w:rsid w:val="276C7D45"/>
    <w:rsid w:val="27EB149D"/>
    <w:rsid w:val="27FD3E52"/>
    <w:rsid w:val="28A8200F"/>
    <w:rsid w:val="28E11370"/>
    <w:rsid w:val="2913009E"/>
    <w:rsid w:val="294A756A"/>
    <w:rsid w:val="29D5322D"/>
    <w:rsid w:val="2A025DD9"/>
    <w:rsid w:val="2A7C2231"/>
    <w:rsid w:val="2A9E5FD1"/>
    <w:rsid w:val="2ABB753D"/>
    <w:rsid w:val="2B7A49FA"/>
    <w:rsid w:val="2C615D26"/>
    <w:rsid w:val="2CA94000"/>
    <w:rsid w:val="2CB679ED"/>
    <w:rsid w:val="2CEC17B4"/>
    <w:rsid w:val="2D173C07"/>
    <w:rsid w:val="2D424A86"/>
    <w:rsid w:val="2E7B52DB"/>
    <w:rsid w:val="2F324CFE"/>
    <w:rsid w:val="2FBA09F1"/>
    <w:rsid w:val="2FEF2ACF"/>
    <w:rsid w:val="30540211"/>
    <w:rsid w:val="30AB23B5"/>
    <w:rsid w:val="30B72D76"/>
    <w:rsid w:val="312D7741"/>
    <w:rsid w:val="316F137F"/>
    <w:rsid w:val="31DF525F"/>
    <w:rsid w:val="320037A4"/>
    <w:rsid w:val="32324C2E"/>
    <w:rsid w:val="32616845"/>
    <w:rsid w:val="327171DF"/>
    <w:rsid w:val="33F84578"/>
    <w:rsid w:val="341E3434"/>
    <w:rsid w:val="34E2763A"/>
    <w:rsid w:val="360B7EBA"/>
    <w:rsid w:val="369C32FD"/>
    <w:rsid w:val="37666E72"/>
    <w:rsid w:val="37795CD9"/>
    <w:rsid w:val="38167A04"/>
    <w:rsid w:val="38A605E3"/>
    <w:rsid w:val="38E82605"/>
    <w:rsid w:val="394B167A"/>
    <w:rsid w:val="39780681"/>
    <w:rsid w:val="39B35E37"/>
    <w:rsid w:val="39C927C6"/>
    <w:rsid w:val="39FB4057"/>
    <w:rsid w:val="3A4E4336"/>
    <w:rsid w:val="3A6007FE"/>
    <w:rsid w:val="3B7C2CE4"/>
    <w:rsid w:val="3C0B5355"/>
    <w:rsid w:val="3CC66AB0"/>
    <w:rsid w:val="3CD4176B"/>
    <w:rsid w:val="3D1F44D9"/>
    <w:rsid w:val="3D222B19"/>
    <w:rsid w:val="3D5C38CD"/>
    <w:rsid w:val="3E2A0432"/>
    <w:rsid w:val="3E5070F1"/>
    <w:rsid w:val="3F6C3589"/>
    <w:rsid w:val="3F850180"/>
    <w:rsid w:val="3F9004D6"/>
    <w:rsid w:val="400E4D5E"/>
    <w:rsid w:val="40E1138C"/>
    <w:rsid w:val="413814BA"/>
    <w:rsid w:val="41872511"/>
    <w:rsid w:val="41EF5350"/>
    <w:rsid w:val="421079EB"/>
    <w:rsid w:val="423C1056"/>
    <w:rsid w:val="42466655"/>
    <w:rsid w:val="42C82F57"/>
    <w:rsid w:val="433E37F4"/>
    <w:rsid w:val="43C76AF7"/>
    <w:rsid w:val="44492DB1"/>
    <w:rsid w:val="446828F0"/>
    <w:rsid w:val="45C13B4D"/>
    <w:rsid w:val="45CF01F5"/>
    <w:rsid w:val="46054BCA"/>
    <w:rsid w:val="464C6AFC"/>
    <w:rsid w:val="468B0091"/>
    <w:rsid w:val="46A107C3"/>
    <w:rsid w:val="46B15CE2"/>
    <w:rsid w:val="46BE113D"/>
    <w:rsid w:val="46E44B13"/>
    <w:rsid w:val="4703508A"/>
    <w:rsid w:val="475023F8"/>
    <w:rsid w:val="479D361E"/>
    <w:rsid w:val="47B74789"/>
    <w:rsid w:val="480F2B9D"/>
    <w:rsid w:val="48282920"/>
    <w:rsid w:val="485321E0"/>
    <w:rsid w:val="48546AD3"/>
    <w:rsid w:val="48CA357B"/>
    <w:rsid w:val="48CA4868"/>
    <w:rsid w:val="48F005D3"/>
    <w:rsid w:val="498F4AF1"/>
    <w:rsid w:val="49C05787"/>
    <w:rsid w:val="49CF518D"/>
    <w:rsid w:val="4A464412"/>
    <w:rsid w:val="4ADA1F63"/>
    <w:rsid w:val="4AE23D89"/>
    <w:rsid w:val="4B2038D0"/>
    <w:rsid w:val="4B296E7D"/>
    <w:rsid w:val="4B877F28"/>
    <w:rsid w:val="4BA730C2"/>
    <w:rsid w:val="4BB8718F"/>
    <w:rsid w:val="4C0645D7"/>
    <w:rsid w:val="4C636643"/>
    <w:rsid w:val="4D1741D1"/>
    <w:rsid w:val="4D916BA6"/>
    <w:rsid w:val="4DC44169"/>
    <w:rsid w:val="4E4C02AA"/>
    <w:rsid w:val="4EC90AD1"/>
    <w:rsid w:val="4EF0709E"/>
    <w:rsid w:val="4F5551E1"/>
    <w:rsid w:val="4F836186"/>
    <w:rsid w:val="513C6A7B"/>
    <w:rsid w:val="514969CA"/>
    <w:rsid w:val="528E6F3C"/>
    <w:rsid w:val="5333545B"/>
    <w:rsid w:val="537355B3"/>
    <w:rsid w:val="5450213C"/>
    <w:rsid w:val="54D24048"/>
    <w:rsid w:val="54D64CD5"/>
    <w:rsid w:val="55856324"/>
    <w:rsid w:val="55887D69"/>
    <w:rsid w:val="56136EF6"/>
    <w:rsid w:val="561A0928"/>
    <w:rsid w:val="56423872"/>
    <w:rsid w:val="56B279F0"/>
    <w:rsid w:val="56C97242"/>
    <w:rsid w:val="579D710E"/>
    <w:rsid w:val="581F22F6"/>
    <w:rsid w:val="586E1E17"/>
    <w:rsid w:val="58862C35"/>
    <w:rsid w:val="58C14957"/>
    <w:rsid w:val="5ADF4C60"/>
    <w:rsid w:val="5AE83A50"/>
    <w:rsid w:val="5B490F13"/>
    <w:rsid w:val="5B9B6B00"/>
    <w:rsid w:val="5BAB2917"/>
    <w:rsid w:val="5BFC33FA"/>
    <w:rsid w:val="5C3107A4"/>
    <w:rsid w:val="5C3B1B93"/>
    <w:rsid w:val="5C9220DF"/>
    <w:rsid w:val="5D4A15F3"/>
    <w:rsid w:val="5D69542A"/>
    <w:rsid w:val="5E0930EF"/>
    <w:rsid w:val="5E3D4D53"/>
    <w:rsid w:val="5E4717E6"/>
    <w:rsid w:val="5E55774C"/>
    <w:rsid w:val="60104DDC"/>
    <w:rsid w:val="605C0804"/>
    <w:rsid w:val="6189617B"/>
    <w:rsid w:val="61B52BB6"/>
    <w:rsid w:val="61B749C2"/>
    <w:rsid w:val="62280D20"/>
    <w:rsid w:val="62CA2457"/>
    <w:rsid w:val="638240A1"/>
    <w:rsid w:val="63A5257B"/>
    <w:rsid w:val="63BD3DCC"/>
    <w:rsid w:val="63C61741"/>
    <w:rsid w:val="64560967"/>
    <w:rsid w:val="650F1824"/>
    <w:rsid w:val="656B1D10"/>
    <w:rsid w:val="66022B28"/>
    <w:rsid w:val="66581E87"/>
    <w:rsid w:val="66FA11D5"/>
    <w:rsid w:val="674302C7"/>
    <w:rsid w:val="67BB73E3"/>
    <w:rsid w:val="680A5986"/>
    <w:rsid w:val="680D5F4B"/>
    <w:rsid w:val="68113F51"/>
    <w:rsid w:val="689E6731"/>
    <w:rsid w:val="68DB3CA9"/>
    <w:rsid w:val="68E94770"/>
    <w:rsid w:val="68F949C9"/>
    <w:rsid w:val="695A4290"/>
    <w:rsid w:val="6A334932"/>
    <w:rsid w:val="6A3353FF"/>
    <w:rsid w:val="6A350EF2"/>
    <w:rsid w:val="6A5D63E6"/>
    <w:rsid w:val="6A5F24D1"/>
    <w:rsid w:val="6AE347EB"/>
    <w:rsid w:val="6B434AF0"/>
    <w:rsid w:val="6B57675A"/>
    <w:rsid w:val="6BDD7B4D"/>
    <w:rsid w:val="6C787BC3"/>
    <w:rsid w:val="6DC71EF5"/>
    <w:rsid w:val="6E937E0D"/>
    <w:rsid w:val="6EBC0B3A"/>
    <w:rsid w:val="6EF51C7D"/>
    <w:rsid w:val="6F8363E5"/>
    <w:rsid w:val="6FC746F5"/>
    <w:rsid w:val="702F61BD"/>
    <w:rsid w:val="70317AC6"/>
    <w:rsid w:val="70863262"/>
    <w:rsid w:val="70906CE0"/>
    <w:rsid w:val="70A76ED3"/>
    <w:rsid w:val="71416783"/>
    <w:rsid w:val="71860B17"/>
    <w:rsid w:val="71E255ED"/>
    <w:rsid w:val="72040EBA"/>
    <w:rsid w:val="722818B6"/>
    <w:rsid w:val="723B27CC"/>
    <w:rsid w:val="72687227"/>
    <w:rsid w:val="72A03FD9"/>
    <w:rsid w:val="73406CFF"/>
    <w:rsid w:val="7383028C"/>
    <w:rsid w:val="73A25E44"/>
    <w:rsid w:val="741F68CF"/>
    <w:rsid w:val="747702E0"/>
    <w:rsid w:val="75252DF3"/>
    <w:rsid w:val="75621536"/>
    <w:rsid w:val="75763DA0"/>
    <w:rsid w:val="75BF3154"/>
    <w:rsid w:val="764A07CF"/>
    <w:rsid w:val="764F6B3D"/>
    <w:rsid w:val="76CD2B7B"/>
    <w:rsid w:val="76D80645"/>
    <w:rsid w:val="76E03371"/>
    <w:rsid w:val="77DB3382"/>
    <w:rsid w:val="780E5898"/>
    <w:rsid w:val="782642CC"/>
    <w:rsid w:val="7894095E"/>
    <w:rsid w:val="79000679"/>
    <w:rsid w:val="79A416F0"/>
    <w:rsid w:val="79B03EB6"/>
    <w:rsid w:val="7AF37579"/>
    <w:rsid w:val="7AF87F64"/>
    <w:rsid w:val="7B1C0C84"/>
    <w:rsid w:val="7B5A62DF"/>
    <w:rsid w:val="7B7A04A8"/>
    <w:rsid w:val="7C0C3F6D"/>
    <w:rsid w:val="7C22163C"/>
    <w:rsid w:val="7C595075"/>
    <w:rsid w:val="7C6326F9"/>
    <w:rsid w:val="7C6B07B2"/>
    <w:rsid w:val="7C80044E"/>
    <w:rsid w:val="7D133243"/>
    <w:rsid w:val="7E394207"/>
    <w:rsid w:val="7E4007A2"/>
    <w:rsid w:val="7E791CAD"/>
    <w:rsid w:val="7EA50DFB"/>
    <w:rsid w:val="7EC86878"/>
    <w:rsid w:val="7F16390D"/>
    <w:rsid w:val="7F752917"/>
    <w:rsid w:val="7FE37961"/>
    <w:rsid w:val="7FF27F42"/>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uiPriority w:val="99"/>
    <w:pPr>
      <w:jc w:val="left"/>
    </w:pPr>
  </w:style>
  <w:style w:type="paragraph" w:styleId="9">
    <w:name w:val="Body Text 3"/>
    <w:basedOn w:val="1"/>
    <w:link w:val="40"/>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35"/>
    <w:semiHidden/>
    <w:unhideWhenUsed/>
    <w:qFormat/>
    <w:uiPriority w:val="99"/>
    <w:rPr>
      <w:sz w:val="18"/>
      <w:szCs w:val="18"/>
    </w:rPr>
  </w:style>
  <w:style w:type="paragraph" w:styleId="18">
    <w:name w:val="footer"/>
    <w:basedOn w:val="1"/>
    <w:link w:val="29"/>
    <w:unhideWhenUsed/>
    <w:qFormat/>
    <w:uiPriority w:val="99"/>
    <w:pPr>
      <w:tabs>
        <w:tab w:val="center" w:pos="4153"/>
        <w:tab w:val="right" w:pos="8306"/>
      </w:tabs>
      <w:snapToGrid w:val="0"/>
      <w:jc w:val="left"/>
    </w:pPr>
    <w:rPr>
      <w:sz w:val="18"/>
      <w:szCs w:val="18"/>
    </w:rPr>
  </w:style>
  <w:style w:type="paragraph" w:styleId="19">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color w:val="000000"/>
      <w:kern w:val="0"/>
      <w:sz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rFonts w:eastAsia="宋体"/>
      <w:b/>
      <w:bCs/>
      <w:kern w:val="2"/>
      <w:sz w:val="24"/>
      <w:szCs w:val="24"/>
      <w:lang w:val="en-US" w:eastAsia="zh-CN" w:bidi="ar-SA"/>
    </w:rPr>
  </w:style>
  <w:style w:type="character" w:styleId="27">
    <w:name w:val="Hyperlink"/>
    <w:basedOn w:val="25"/>
    <w:unhideWhenUsed/>
    <w:qFormat/>
    <w:uiPriority w:val="99"/>
    <w:rPr>
      <w:color w:val="0000FF" w:themeColor="hyperlink"/>
      <w:u w:val="single"/>
      <w14:textFill>
        <w14:solidFill>
          <w14:schemeClr w14:val="hlink"/>
        </w14:solidFill>
      </w14:textFill>
    </w:rPr>
  </w:style>
  <w:style w:type="character" w:customStyle="1" w:styleId="28">
    <w:name w:val="页眉 Char"/>
    <w:basedOn w:val="25"/>
    <w:link w:val="19"/>
    <w:semiHidden/>
    <w:qFormat/>
    <w:uiPriority w:val="99"/>
    <w:rPr>
      <w:sz w:val="18"/>
      <w:szCs w:val="18"/>
    </w:rPr>
  </w:style>
  <w:style w:type="character" w:customStyle="1" w:styleId="29">
    <w:name w:val="页脚 Char"/>
    <w:basedOn w:val="25"/>
    <w:link w:val="18"/>
    <w:qFormat/>
    <w:uiPriority w:val="99"/>
    <w:rPr>
      <w:sz w:val="18"/>
      <w:szCs w:val="18"/>
    </w:rPr>
  </w:style>
  <w:style w:type="character" w:customStyle="1" w:styleId="30">
    <w:name w:val="标题 1 Char"/>
    <w:basedOn w:val="25"/>
    <w:link w:val="4"/>
    <w:qFormat/>
    <w:uiPriority w:val="9"/>
    <w:rPr>
      <w:rFonts w:eastAsia="方正小标宋简体"/>
      <w:bCs/>
      <w:kern w:val="44"/>
      <w:sz w:val="44"/>
      <w:szCs w:val="44"/>
    </w:rPr>
  </w:style>
  <w:style w:type="character" w:customStyle="1" w:styleId="31">
    <w:name w:val="标题 2 Char"/>
    <w:basedOn w:val="25"/>
    <w:link w:val="5"/>
    <w:qFormat/>
    <w:uiPriority w:val="9"/>
    <w:rPr>
      <w:rFonts w:eastAsia="方正小标宋简体" w:asciiTheme="majorHAnsi" w:hAnsiTheme="majorHAnsi" w:cstheme="majorBidi"/>
      <w:bCs/>
      <w:sz w:val="36"/>
      <w:szCs w:val="32"/>
    </w:rPr>
  </w:style>
  <w:style w:type="character" w:customStyle="1" w:styleId="32">
    <w:name w:val="标题 3 Char"/>
    <w:basedOn w:val="25"/>
    <w:link w:val="6"/>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5"/>
    <w:link w:val="17"/>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4"/>
    <w:next w:val="14"/>
    <w:qFormat/>
    <w:uiPriority w:val="0"/>
    <w:pPr>
      <w:spacing w:after="373"/>
    </w:pPr>
    <w:rPr>
      <w:color w:val="auto"/>
    </w:rPr>
  </w:style>
  <w:style w:type="paragraph" w:customStyle="1" w:styleId="38">
    <w:name w:val="CM91"/>
    <w:basedOn w:val="14"/>
    <w:next w:val="14"/>
    <w:qFormat/>
    <w:uiPriority w:val="0"/>
    <w:pPr>
      <w:spacing w:after="160"/>
    </w:pPr>
    <w:rPr>
      <w:color w:val="auto"/>
    </w:rPr>
  </w:style>
  <w:style w:type="character" w:customStyle="1" w:styleId="39">
    <w:name w:val="正文文本 3 Char"/>
    <w:link w:val="9"/>
    <w:qFormat/>
    <w:uiPriority w:val="99"/>
    <w:rPr>
      <w:sz w:val="16"/>
      <w:szCs w:val="16"/>
    </w:rPr>
  </w:style>
  <w:style w:type="character" w:customStyle="1" w:styleId="40">
    <w:name w:val="正文文本 3 Char1"/>
    <w:basedOn w:val="25"/>
    <w:link w:val="9"/>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3"/>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paragraph" w:customStyle="1" w:styleId="46">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7">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table" w:customStyle="1" w:styleId="48">
    <w:name w:val="网格型1"/>
    <w:basedOn w:val="23"/>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样式 正文文字 + 首行缩进:  2 字符2"/>
    <w:basedOn w:val="1"/>
    <w:qFormat/>
    <w:uiPriority w:val="0"/>
    <w:pPr>
      <w:spacing w:line="480" w:lineRule="atLeast"/>
      <w:ind w:firstLine="56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143</Pages>
  <Words>47413</Words>
  <Characters>53912</Characters>
  <Lines>300</Lines>
  <Paragraphs>84</Paragraphs>
  <TotalTime>10</TotalTime>
  <ScaleCrop>false</ScaleCrop>
  <LinksUpToDate>false</LinksUpToDate>
  <CharactersWithSpaces>56570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dcterms:modified xsi:type="dcterms:W3CDTF">2022-09-28T08:19:44Z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ACB14F1D035F436AA789FAEFA7C13AF8</vt:lpwstr>
  </property>
</Properties>
</file>