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color w:val="auto"/>
          <w:highlight w:val="none"/>
        </w:rPr>
      </w:pPr>
    </w:p>
    <w:p>
      <w:pPr>
        <w:jc w:val="center"/>
        <w:rPr>
          <w:rFonts w:hint="eastAsia" w:ascii="方正小标宋简体" w:eastAsia="方正小标宋简体"/>
          <w:color w:val="auto"/>
          <w:sz w:val="52"/>
          <w:szCs w:val="52"/>
          <w:highlight w:val="none"/>
          <w:lang w:eastAsia="zh-CN"/>
        </w:rPr>
      </w:pPr>
      <w:bookmarkStart w:id="209" w:name="_GoBack"/>
      <w:bookmarkEnd w:id="209"/>
      <w:r>
        <w:rPr>
          <w:rFonts w:hint="eastAsia" w:ascii="方正小标宋简体" w:eastAsia="方正小标宋简体"/>
          <w:color w:val="auto"/>
          <w:sz w:val="52"/>
          <w:szCs w:val="52"/>
          <w:highlight w:val="none"/>
          <w:lang w:val="en-US" w:eastAsia="zh-CN"/>
        </w:rPr>
        <w:t>广州市净水有限公司石井净水分公司生产区域道闸采购项目（第二次）</w:t>
      </w:r>
    </w:p>
    <w:p>
      <w:pPr>
        <w:jc w:val="center"/>
        <w:rPr>
          <w:rFonts w:hint="eastAsia" w:ascii="方正小标宋简体" w:eastAsia="方正小标宋简体"/>
          <w:color w:val="auto"/>
          <w:sz w:val="52"/>
          <w:szCs w:val="52"/>
          <w:highlight w:val="none"/>
          <w:lang w:eastAsia="zh-CN"/>
        </w:rPr>
      </w:pPr>
    </w:p>
    <w:p>
      <w:pPr>
        <w:jc w:val="center"/>
        <w:rPr>
          <w:rFonts w:ascii="方正小标宋简体" w:eastAsia="方正小标宋简体"/>
          <w:color w:val="auto"/>
          <w:sz w:val="52"/>
          <w:szCs w:val="52"/>
          <w:highlight w:val="none"/>
        </w:rPr>
      </w:pPr>
      <w:r>
        <w:rPr>
          <w:rFonts w:hint="eastAsia" w:ascii="方正小标宋简体" w:eastAsia="方正小标宋简体"/>
          <w:color w:val="auto"/>
          <w:sz w:val="52"/>
          <w:szCs w:val="52"/>
          <w:highlight w:val="none"/>
        </w:rPr>
        <w:t>采购文件</w:t>
      </w:r>
    </w:p>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pStyle w:val="2"/>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ascii="仿宋_GB2312" w:eastAsia="仿宋_GB2312"/>
          <w:color w:val="auto"/>
          <w:sz w:val="32"/>
          <w:szCs w:val="32"/>
          <w:highlight w:val="none"/>
        </w:rPr>
      </w:pPr>
    </w:p>
    <w:p>
      <w:pPr>
        <w:jc w:val="center"/>
        <w:rPr>
          <w:rFonts w:ascii="黑体" w:hAnsi="黑体" w:eastAsia="黑体"/>
          <w:color w:val="auto"/>
          <w:sz w:val="32"/>
          <w:szCs w:val="32"/>
          <w:highlight w:val="none"/>
        </w:rPr>
      </w:pPr>
      <w:r>
        <w:rPr>
          <w:rFonts w:hint="eastAsia" w:ascii="黑体" w:hAnsi="黑体" w:eastAsia="黑体" w:cs="仿宋_GB2312"/>
          <w:color w:val="auto"/>
          <w:sz w:val="32"/>
          <w:szCs w:val="32"/>
          <w:highlight w:val="none"/>
        </w:rPr>
        <w:t>广州市净水有限公司</w:t>
      </w:r>
    </w:p>
    <w:p>
      <w:pPr>
        <w:jc w:val="center"/>
        <w:rPr>
          <w:rFonts w:ascii="黑体" w:hAnsi="黑体" w:eastAsia="黑体" w:cs="仿宋_GB2312"/>
          <w:color w:val="auto"/>
          <w:sz w:val="32"/>
          <w:szCs w:val="32"/>
          <w:highlight w:val="none"/>
        </w:rPr>
      </w:pPr>
      <w:r>
        <w:rPr>
          <w:rFonts w:hint="eastAsia" w:ascii="黑体" w:hAnsi="黑体" w:eastAsia="黑体"/>
          <w:color w:val="auto"/>
          <w:sz w:val="32"/>
          <w:szCs w:val="32"/>
          <w:highlight w:val="none"/>
        </w:rPr>
        <w:t>二</w:t>
      </w:r>
      <w:r>
        <w:rPr>
          <w:rFonts w:hint="eastAsia" w:ascii="黑体" w:hAnsi="黑体" w:eastAsia="黑体" w:cs="宋体"/>
          <w:color w:val="auto"/>
          <w:sz w:val="32"/>
          <w:szCs w:val="32"/>
          <w:highlight w:val="none"/>
        </w:rPr>
        <w:t>〇</w:t>
      </w:r>
      <w:r>
        <w:rPr>
          <w:rFonts w:hint="eastAsia" w:ascii="黑体" w:hAnsi="黑体" w:eastAsia="黑体" w:cs="仿宋_GB2312"/>
          <w:color w:val="auto"/>
          <w:sz w:val="32"/>
          <w:szCs w:val="32"/>
          <w:highlight w:val="none"/>
        </w:rPr>
        <w:t>二二年</w:t>
      </w:r>
      <w:r>
        <w:rPr>
          <w:rFonts w:hint="eastAsia" w:ascii="黑体" w:hAnsi="黑体" w:eastAsia="黑体" w:cs="仿宋_GB2312"/>
          <w:color w:val="auto"/>
          <w:sz w:val="32"/>
          <w:szCs w:val="32"/>
          <w:highlight w:val="none"/>
          <w:lang w:val="en-US" w:eastAsia="zh-CN"/>
        </w:rPr>
        <w:t>十一</w:t>
      </w:r>
      <w:r>
        <w:rPr>
          <w:rFonts w:hint="eastAsia" w:ascii="黑体" w:hAnsi="黑体" w:eastAsia="黑体" w:cs="仿宋_GB2312"/>
          <w:color w:val="auto"/>
          <w:sz w:val="32"/>
          <w:szCs w:val="32"/>
          <w:highlight w:val="none"/>
        </w:rPr>
        <w:t>月</w:t>
      </w:r>
    </w:p>
    <w:p>
      <w:pPr>
        <w:jc w:val="center"/>
        <w:rPr>
          <w:rFonts w:ascii="黑体" w:hAnsi="黑体" w:eastAsia="黑体" w:cs="仿宋_GB2312"/>
          <w:color w:val="auto"/>
          <w:sz w:val="32"/>
          <w:szCs w:val="32"/>
          <w:highlight w:val="none"/>
        </w:rPr>
      </w:pPr>
      <w:r>
        <w:rPr>
          <w:rFonts w:ascii="黑体" w:hAnsi="黑体" w:eastAsia="黑体" w:cs="仿宋_GB2312"/>
          <w:color w:val="auto"/>
          <w:sz w:val="32"/>
          <w:szCs w:val="32"/>
          <w:highlight w:val="none"/>
        </w:rPr>
        <w:br w:type="page"/>
      </w:r>
    </w:p>
    <w:p>
      <w:pPr>
        <w:rPr>
          <w:color w:val="auto"/>
          <w:highlight w:val="none"/>
        </w:rPr>
      </w:pPr>
    </w:p>
    <w:p>
      <w:pPr>
        <w:pStyle w:val="32"/>
        <w:adjustRightInd w:val="0"/>
        <w:snapToGrid w:val="0"/>
        <w:spacing w:before="0" w:line="600" w:lineRule="exact"/>
        <w:jc w:val="center"/>
        <w:rPr>
          <w:rFonts w:ascii="方正小标宋简体" w:eastAsia="方正小标宋简体"/>
          <w:b/>
          <w:color w:val="auto"/>
          <w:sz w:val="44"/>
          <w:szCs w:val="44"/>
          <w:highlight w:val="none"/>
        </w:rPr>
      </w:pPr>
      <w:r>
        <w:rPr>
          <w:rFonts w:hint="eastAsia" w:ascii="方正小标宋简体" w:eastAsia="方正小标宋简体"/>
          <w:b/>
          <w:color w:val="auto"/>
          <w:sz w:val="44"/>
          <w:szCs w:val="44"/>
          <w:highlight w:val="none"/>
        </w:rPr>
        <w:t>目录</w:t>
      </w:r>
    </w:p>
    <w:p>
      <w:pPr>
        <w:rPr>
          <w:rFonts w:asciiTheme="minorEastAsia" w:hAnsiTheme="minorEastAsia"/>
          <w:color w:val="auto"/>
          <w:sz w:val="24"/>
          <w:szCs w:val="24"/>
          <w:highlight w:val="none"/>
        </w:rPr>
      </w:pPr>
    </w:p>
    <w:p>
      <w:pPr>
        <w:pStyle w:val="18"/>
        <w:numPr>
          <w:ilvl w:val="0"/>
          <w:numId w:val="1"/>
        </w:numPr>
        <w:tabs>
          <w:tab w:val="right" w:pos="8844"/>
        </w:tabs>
        <w:rPr>
          <w:color w:val="auto"/>
          <w:highlight w:val="none"/>
        </w:rPr>
      </w:pPr>
      <w:r>
        <w:rPr>
          <w:rFonts w:hint="eastAsia"/>
          <w:color w:val="auto"/>
          <w:highlight w:val="none"/>
        </w:rPr>
        <w:t>采购公告（采购邀请书）</w:t>
      </w:r>
    </w:p>
    <w:p>
      <w:pPr>
        <w:pStyle w:val="18"/>
        <w:numPr>
          <w:ilvl w:val="0"/>
          <w:numId w:val="1"/>
        </w:numPr>
        <w:tabs>
          <w:tab w:val="right" w:pos="8844"/>
        </w:tabs>
        <w:rPr>
          <w:color w:val="auto"/>
          <w:highlight w:val="none"/>
        </w:rPr>
      </w:pPr>
      <w:r>
        <w:rPr>
          <w:rFonts w:hint="eastAsia"/>
          <w:color w:val="auto"/>
          <w:highlight w:val="none"/>
        </w:rPr>
        <w:t>供应商须知</w:t>
      </w:r>
    </w:p>
    <w:p>
      <w:pPr>
        <w:pStyle w:val="18"/>
        <w:numPr>
          <w:ilvl w:val="0"/>
          <w:numId w:val="1"/>
        </w:numPr>
        <w:tabs>
          <w:tab w:val="right" w:pos="8844"/>
        </w:tabs>
        <w:rPr>
          <w:color w:val="auto"/>
          <w:highlight w:val="none"/>
        </w:rPr>
      </w:pPr>
      <w:r>
        <w:rPr>
          <w:rFonts w:hint="eastAsia"/>
          <w:color w:val="auto"/>
          <w:highlight w:val="none"/>
        </w:rPr>
        <w:t>采购方法</w:t>
      </w:r>
    </w:p>
    <w:p>
      <w:pPr>
        <w:pStyle w:val="18"/>
        <w:numPr>
          <w:ilvl w:val="0"/>
          <w:numId w:val="1"/>
        </w:numPr>
        <w:tabs>
          <w:tab w:val="right" w:pos="8844"/>
        </w:tabs>
        <w:rPr>
          <w:color w:val="auto"/>
          <w:highlight w:val="none"/>
        </w:rPr>
      </w:pPr>
      <w:r>
        <w:rPr>
          <w:rFonts w:hint="eastAsia"/>
          <w:color w:val="auto"/>
          <w:highlight w:val="none"/>
        </w:rPr>
        <w:t>评审方法</w:t>
      </w:r>
    </w:p>
    <w:p>
      <w:pPr>
        <w:pStyle w:val="18"/>
        <w:numPr>
          <w:ilvl w:val="0"/>
          <w:numId w:val="1"/>
        </w:numPr>
        <w:tabs>
          <w:tab w:val="right" w:pos="8844"/>
        </w:tabs>
        <w:rPr>
          <w:color w:val="auto"/>
          <w:highlight w:val="none"/>
        </w:rPr>
      </w:pPr>
      <w:r>
        <w:rPr>
          <w:rFonts w:hint="eastAsia"/>
          <w:color w:val="auto"/>
          <w:highlight w:val="none"/>
        </w:rPr>
        <w:t>采购需求</w:t>
      </w:r>
    </w:p>
    <w:p>
      <w:pPr>
        <w:pStyle w:val="18"/>
        <w:numPr>
          <w:ilvl w:val="0"/>
          <w:numId w:val="1"/>
        </w:numPr>
        <w:tabs>
          <w:tab w:val="right" w:pos="8844"/>
        </w:tabs>
        <w:rPr>
          <w:color w:val="auto"/>
          <w:highlight w:val="none"/>
        </w:rPr>
      </w:pPr>
      <w:r>
        <w:rPr>
          <w:rFonts w:hint="eastAsia"/>
          <w:color w:val="auto"/>
          <w:highlight w:val="none"/>
        </w:rPr>
        <w:t>合同草案</w:t>
      </w:r>
    </w:p>
    <w:p>
      <w:pPr>
        <w:pStyle w:val="18"/>
        <w:numPr>
          <w:ilvl w:val="0"/>
          <w:numId w:val="1"/>
        </w:numPr>
        <w:tabs>
          <w:tab w:val="right" w:pos="8844"/>
        </w:tabs>
        <w:rPr>
          <w:color w:val="auto"/>
          <w:highlight w:val="none"/>
        </w:rPr>
      </w:pPr>
      <w:r>
        <w:rPr>
          <w:rFonts w:hint="eastAsia"/>
          <w:color w:val="auto"/>
          <w:highlight w:val="none"/>
        </w:rPr>
        <w:t>响应文件格式要求</w:t>
      </w:r>
      <w:r>
        <w:rPr>
          <w:color w:val="auto"/>
          <w:highlight w:val="none"/>
        </w:rPr>
        <w:fldChar w:fldCharType="begin"/>
      </w:r>
      <w:r>
        <w:rPr>
          <w:color w:val="auto"/>
          <w:highlight w:val="none"/>
        </w:rPr>
        <w:instrText xml:space="preserve">TOC \o "1-1" \n  \h \u </w:instrText>
      </w:r>
      <w:r>
        <w:rPr>
          <w:color w:val="auto"/>
          <w:highlight w:val="none"/>
        </w:rPr>
        <w:fldChar w:fldCharType="separate"/>
      </w:r>
      <w:r>
        <w:rPr>
          <w:color w:val="auto"/>
          <w:highlight w:val="none"/>
        </w:rPr>
        <w:fldChar w:fldCharType="begin"/>
      </w:r>
      <w:r>
        <w:rPr>
          <w:color w:val="auto"/>
          <w:highlight w:val="none"/>
        </w:rPr>
        <w:instrText xml:space="preserve"> HYPERLINK \l "_Toc18800" </w:instrText>
      </w:r>
      <w:r>
        <w:rPr>
          <w:color w:val="auto"/>
          <w:highlight w:val="none"/>
        </w:rPr>
        <w:fldChar w:fldCharType="separate"/>
      </w:r>
      <w:r>
        <w:rPr>
          <w:color w:val="auto"/>
          <w:highlight w:val="none"/>
        </w:rPr>
        <w:fldChar w:fldCharType="end"/>
      </w:r>
    </w:p>
    <w:p>
      <w:pPr>
        <w:pStyle w:val="18"/>
        <w:tabs>
          <w:tab w:val="right" w:pos="8844"/>
        </w:tabs>
        <w:rPr>
          <w:color w:val="auto"/>
          <w:highlight w:val="none"/>
        </w:rPr>
      </w:pPr>
      <w:r>
        <w:rPr>
          <w:color w:val="auto"/>
          <w:highlight w:val="none"/>
        </w:rPr>
        <w:fldChar w:fldCharType="begin"/>
      </w:r>
      <w:r>
        <w:rPr>
          <w:color w:val="auto"/>
          <w:highlight w:val="none"/>
        </w:rPr>
        <w:instrText xml:space="preserve"> HYPERLINK \l "_Toc5817" </w:instrText>
      </w:r>
      <w:r>
        <w:rPr>
          <w:color w:val="auto"/>
          <w:highlight w:val="none"/>
        </w:rPr>
        <w:fldChar w:fldCharType="separate"/>
      </w:r>
      <w:r>
        <w:rPr>
          <w:color w:val="auto"/>
          <w:highlight w:val="none"/>
        </w:rPr>
        <w:fldChar w:fldCharType="end"/>
      </w:r>
    </w:p>
    <w:p>
      <w:pPr>
        <w:pStyle w:val="18"/>
        <w:tabs>
          <w:tab w:val="right" w:pos="8844"/>
        </w:tabs>
        <w:rPr>
          <w:color w:val="auto"/>
          <w:highlight w:val="none"/>
        </w:rPr>
      </w:pPr>
      <w:r>
        <w:rPr>
          <w:color w:val="auto"/>
          <w:highlight w:val="none"/>
        </w:rPr>
        <w:fldChar w:fldCharType="begin"/>
      </w:r>
      <w:r>
        <w:rPr>
          <w:color w:val="auto"/>
          <w:highlight w:val="none"/>
        </w:rPr>
        <w:instrText xml:space="preserve"> HYPERLINK \l "_Toc27928" </w:instrText>
      </w:r>
      <w:r>
        <w:rPr>
          <w:color w:val="auto"/>
          <w:highlight w:val="none"/>
        </w:rPr>
        <w:fldChar w:fldCharType="separate"/>
      </w:r>
      <w:r>
        <w:rPr>
          <w:color w:val="auto"/>
          <w:highlight w:val="none"/>
        </w:rPr>
        <w:fldChar w:fldCharType="end"/>
      </w:r>
    </w:p>
    <w:p>
      <w:pPr>
        <w:pStyle w:val="2"/>
        <w:rPr>
          <w:color w:val="auto"/>
          <w:highlight w:val="none"/>
        </w:rPr>
      </w:pPr>
      <w:r>
        <w:rPr>
          <w:color w:val="auto"/>
          <w:highlight w:val="none"/>
        </w:rPr>
        <w:fldChar w:fldCharType="end"/>
      </w:r>
    </w:p>
    <w:p>
      <w:pPr>
        <w:adjustRightInd w:val="0"/>
        <w:snapToGrid w:val="0"/>
        <w:spacing w:line="600" w:lineRule="exact"/>
        <w:ind w:firstLine="560" w:firstLineChars="200"/>
        <w:jc w:val="left"/>
        <w:rPr>
          <w:rFonts w:ascii="仿宋_GB2312" w:eastAsia="仿宋_GB2312"/>
          <w:color w:val="auto"/>
          <w:sz w:val="28"/>
          <w:szCs w:val="28"/>
          <w:highlight w:val="none"/>
        </w:rPr>
      </w:pPr>
    </w:p>
    <w:p>
      <w:pPr>
        <w:pStyle w:val="4"/>
        <w:rPr>
          <w:color w:val="auto"/>
          <w:highlight w:val="none"/>
        </w:rPr>
      </w:pPr>
      <w:bookmarkStart w:id="0" w:name="_Toc26148"/>
      <w:bookmarkStart w:id="1" w:name="_Toc18145"/>
    </w:p>
    <w:p>
      <w:pPr>
        <w:rPr>
          <w:color w:val="auto"/>
          <w:highlight w:val="none"/>
        </w:rPr>
      </w:pPr>
    </w:p>
    <w:p>
      <w:pPr>
        <w:pStyle w:val="4"/>
        <w:rPr>
          <w:color w:val="auto"/>
          <w:highlight w:val="none"/>
        </w:rPr>
      </w:pPr>
      <w:bookmarkStart w:id="2" w:name="_Toc1711"/>
      <w:bookmarkStart w:id="3" w:name="_Toc17696"/>
    </w:p>
    <w:p>
      <w:pPr>
        <w:rPr>
          <w:color w:val="auto"/>
          <w:highlight w:val="none"/>
        </w:rPr>
      </w:pPr>
    </w:p>
    <w:p>
      <w:pPr>
        <w:pStyle w:val="2"/>
        <w:rPr>
          <w:color w:val="auto"/>
          <w:highlight w:val="none"/>
        </w:rPr>
      </w:pPr>
    </w:p>
    <w:p>
      <w:pPr>
        <w:pStyle w:val="4"/>
        <w:jc w:val="both"/>
        <w:rPr>
          <w:rFonts w:hint="default"/>
          <w:color w:val="auto"/>
          <w:highlight w:val="none"/>
        </w:rPr>
      </w:pPr>
      <w:bookmarkStart w:id="4" w:name="_Toc1669"/>
      <w:bookmarkStart w:id="5" w:name="_Toc7519"/>
      <w:bookmarkStart w:id="6" w:name="_Toc4275"/>
      <w:bookmarkStart w:id="7" w:name="_Toc19609"/>
      <w:bookmarkStart w:id="8" w:name="_Toc17801"/>
      <w:bookmarkStart w:id="9" w:name="_Toc11322"/>
      <w:bookmarkStart w:id="10" w:name="_Toc31938"/>
    </w:p>
    <w:p>
      <w:pPr>
        <w:pStyle w:val="4"/>
        <w:rPr>
          <w:color w:val="auto"/>
          <w:highlight w:val="none"/>
        </w:rPr>
      </w:pPr>
      <w:r>
        <w:rPr>
          <w:color w:val="auto"/>
          <w:highlight w:val="none"/>
        </w:rPr>
        <mc:AlternateContent>
          <mc:Choice Requires="wps">
            <w:drawing>
              <wp:anchor distT="0" distB="0" distL="114300" distR="114300" simplePos="0" relativeHeight="251673600" behindDoc="0" locked="0" layoutInCell="1" allowOverlap="1">
                <wp:simplePos x="0" y="0"/>
                <wp:positionH relativeFrom="column">
                  <wp:posOffset>2340610</wp:posOffset>
                </wp:positionH>
                <wp:positionV relativeFrom="paragraph">
                  <wp:posOffset>547370</wp:posOffset>
                </wp:positionV>
                <wp:extent cx="958850" cy="0"/>
                <wp:effectExtent l="0" t="0" r="0" b="0"/>
                <wp:wrapNone/>
                <wp:docPr id="13" name="自选图形 17"/>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7" o:spid="_x0000_s1026" o:spt="32" type="#_x0000_t32" style="position:absolute;left:0pt;margin-left:184.3pt;margin-top:43.1pt;height:0pt;width:75.5pt;z-index:251673600;mso-width-relative:page;mso-height-relative:page;" filled="f" stroked="t" coordsize="21600,21600" o:gfxdata="UEsDBAoAAAAAAIdO4kAAAAAAAAAAAAAAAAAEAAAAZHJzL1BLAwQUAAAACACHTuJA+ixmmNYAAAAJ&#10;AQAADwAAAGRycy9kb3ducmV2LnhtbE2PwU7DMAyG70i8Q2QkLoglLVrVlaYTQuLAkW0S16wxbbfG&#10;qZp0HXt6jDiwo39/+v25XJ9dL044hs6ThmShQCDV3nbUaNht3x5zECEasqb3hBq+McC6ur0pTWH9&#10;TB942sRGcAmFwmhoYxwKKUPdojNh4Qck3n350ZnI49hIO5qZy10vU6Uy6UxHfKE1A762WB83k9OA&#10;YVom6mXlmt37ZX74TC+HedhqfX+XqGcQEc/xH4ZffVaHip32fiIbRK/hKcszRjXkWQqCgWWy4mD/&#10;F8iqlNcfVD9QSwMEFAAAAAgAh07iQH8JmlDzAQAA5AMAAA4AAABkcnMvZTJvRG9jLnhtbK1TvY4T&#10;MRDukXgHyz3ZJCgQVkmuSDgaBJGAB5jY3l1L/pPHl006OsQz0FHyDvA2J8FbMPbmcnA0KdjCO/bM&#10;fDPf5/Hi6mAN26uI2rsln4zGnCknvNSuXfIP76+fzDnDBE6C8U4t+VEhv1o9frToQ62mvvNGqsgI&#10;xGHdhyXvUgp1VaHolAUc+aAcORsfLSTaxraSEXpCt6aajsfPqt5HGaIXCpFON4OTnxDjJYC+abRQ&#10;Gy9urHJpQI3KQCJK2OmAfFW6bRol0tumQZWYWXJimspKRcje5bVaLaBuI4ROi1MLcEkLDzhZ0I6K&#10;nqE2kIDdRP0PlNUievRNGglvq4FIUYRYTMYPtHnXQVCFC0mN4Sw6/j9Y8Wa/jUxLmoSnnDmwdOM/&#10;P3379fHz7Zcft9+/ssnzrFEfsKbQtdvG0w7DNmbChyba/Ccq7FB0PZ51VYfEBB2+mM3nM1Jc3Lmq&#10;+7wQMb1S3rJsLDmmCLrt0to7R5fn46TICvvXmKgyJd4l5KLGsT7DT2cEDjSMDQ0BmTYQIXRtyUVv&#10;tLzWxuQMjO1ubSLbQx6I8mV+hPtXWC6yAeyGuOIaRqVTIF86ydIxkFKOXgjPLVglOTOKHlS2CBDq&#10;BNpcEkmljaMOssSDqNnaeXksWpdzuvzS42lQ83T9uS/Z949z9Rt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6LGaY1gAAAAkBAAAPAAAAAAAAAAEAIAAAACIAAABkcnMvZG93bnJldi54bWxQSwECFAAU&#10;AAAACACHTuJAfwmaUPMBAADkAwAADgAAAAAAAAABACAAAAAlAQAAZHJzL2Uyb0RvYy54bWxQSwUG&#10;AAAAAAYABgBZAQAAigU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72576" behindDoc="0" locked="0" layoutInCell="1" allowOverlap="1">
                <wp:simplePos x="0" y="0"/>
                <wp:positionH relativeFrom="column">
                  <wp:posOffset>2348230</wp:posOffset>
                </wp:positionH>
                <wp:positionV relativeFrom="paragraph">
                  <wp:posOffset>107950</wp:posOffset>
                </wp:positionV>
                <wp:extent cx="958850" cy="0"/>
                <wp:effectExtent l="0" t="0" r="0" b="0"/>
                <wp:wrapNone/>
                <wp:docPr id="12" name="自选图形 16"/>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6" o:spid="_x0000_s1026" o:spt="32" type="#_x0000_t32" style="position:absolute;left:0pt;margin-left:184.9pt;margin-top:8.5pt;height:0pt;width:75.5pt;z-index:251672576;mso-width-relative:page;mso-height-relative:page;" filled="f" stroked="t" coordsize="21600,21600" o:gfxdata="UEsDBAoAAAAAAIdO4kAAAAAAAAAAAAAAAAAEAAAAZHJzL1BLAwQUAAAACACHTuJAIK2LetYAAAAJ&#10;AQAADwAAAGRycy9kb3ducmV2LnhtbE2PwW7CMBBE75X4B2uReqmKnVRQSOMgVKmHHgtIvZp4SVLi&#10;dRQ7hPL13aoHetyZ0eybfH1xrThjHxpPGpKZAoFUettQpWG/e3tcggjRkDWtJ9TwjQHWxeQuN5n1&#10;I33geRsrwSUUMqOhjrHLpAxljc6Eme+Q2Dv63pnIZ19J25uRy10rU6UW0pmG+ENtOnytsTxtB6cB&#10;wzBP1Gblqv37dXz4TK9fY7fT+n6aqBcQES/xFoZffEaHgpkOfiAbRKvhabFi9MjGM2/iwDxVLBz+&#10;BFnk8v+C4gdQSwMEFAAAAAgAh07iQACM5NDzAQAA5AMAAA4AAABkcnMvZTJvRG9jLnhtbK1TvY4T&#10;MRDukXgHyz3ZJFJOIcrmioSjQRAJeICJ7d215D95fNmko0M8Ax0l7wBvcxL3Foy9uRwcTQq28I49&#10;M9/M93m8vD5Yw/Yqovau5pPRmDPlhJfatTX/+OHmxZwzTOAkGO9UzY8K+fXq+bNlHxZq6jtvpIqM&#10;QBwu+lDzLqWwqCoUnbKAIx+UI2fjo4VE29hWMkJP6NZU0/H4qup9lCF6oRDpdDM4+QkxXgLom0YL&#10;tfHi1iqXBtSoDCSihJ0OyFel26ZRIr1rGlSJmZoT01RWKkL2Lq/VagmLNkLotDi1AJe08ISTBe2o&#10;6BlqAwnYbdT/QFktokffpJHwthqIFEWIxWT8RJv3HQRVuJDUGM6i4/+DFW/328i0pEmYcubA0o3/&#10;+vz9/tOXu68/7358Y5OrrFEfcEGha7eNpx2GbcyED020+U9U2KHoejzrqg6JCTp8OZvPZ6S4eHBV&#10;j3khYnqtvGXZqDmmCLrt0to7R5fn46TICvs3mKgyJT4k5KLGsT7DT2cEDjSMDQ0BmTYQIXRtyUVv&#10;tLzRxuQMjO1ubSLbQx6I8mV+hPtXWC6yAeyGuOIaRqVTIF85ydIxkFKOXgjPLVglOTOKHlS2CBAW&#10;CbS5JJJKG0cdZIkHUbO18/JYtC7ndPmlx9Og5un6c1+yHx/n6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grYt61gAAAAkBAAAPAAAAAAAAAAEAIAAAACIAAABkcnMvZG93bnJldi54bWxQSwECFAAU&#10;AAAACACHTuJAAIzk0PMBAADkAwAADgAAAAAAAAABACAAAAAlAQAAZHJzL2Uyb0RvYy54bWxQSwUG&#10;AAAAAAYABgBZAQAAigUAAAAA&#10;">
                <v:fill on="f" focussize="0,0"/>
                <v:stroke color="#000000" joinstyle="round"/>
                <v:imagedata o:title=""/>
                <o:lock v:ext="edit" aspectratio="f"/>
              </v:shape>
            </w:pict>
          </mc:Fallback>
        </mc:AlternateContent>
      </w:r>
      <w:r>
        <w:rPr>
          <w:rFonts w:hint="eastAsia"/>
          <w:color w:val="auto"/>
          <w:highlight w:val="none"/>
        </w:rPr>
        <w:t>第一章</w:t>
      </w:r>
      <w:bookmarkEnd w:id="0"/>
      <w:bookmarkEnd w:id="1"/>
      <w:bookmarkEnd w:id="2"/>
      <w:bookmarkEnd w:id="3"/>
      <w:bookmarkEnd w:id="4"/>
      <w:bookmarkEnd w:id="5"/>
      <w:bookmarkEnd w:id="6"/>
      <w:bookmarkEnd w:id="7"/>
      <w:bookmarkEnd w:id="8"/>
      <w:bookmarkEnd w:id="9"/>
      <w:bookmarkEnd w:id="10"/>
    </w:p>
    <w:p>
      <w:pPr>
        <w:pStyle w:val="34"/>
        <w:rPr>
          <w:color w:val="auto"/>
          <w:highlight w:val="none"/>
        </w:rPr>
      </w:pPr>
    </w:p>
    <w:p>
      <w:pPr>
        <w:pStyle w:val="4"/>
        <w:rPr>
          <w:color w:val="auto"/>
          <w:highlight w:val="none"/>
        </w:rPr>
      </w:pPr>
      <w:r>
        <w:rPr>
          <w:rFonts w:hint="eastAsia"/>
          <w:color w:val="auto"/>
          <w:highlight w:val="none"/>
        </w:rPr>
        <w:t>采购公告（采购邀请书）</w:t>
      </w:r>
    </w:p>
    <w:p>
      <w:pPr>
        <w:adjustRightInd w:val="0"/>
        <w:snapToGrid w:val="0"/>
        <w:spacing w:before="156" w:beforeLines="50" w:after="156" w:afterLines="50" w:line="600" w:lineRule="exact"/>
        <w:jc w:val="center"/>
        <w:rPr>
          <w:rFonts w:ascii="方正小标宋简体" w:eastAsia="方正小标宋简体"/>
          <w:color w:val="auto"/>
          <w:sz w:val="44"/>
          <w:szCs w:val="44"/>
          <w:highlight w:val="none"/>
        </w:rPr>
      </w:pPr>
    </w:p>
    <w:p>
      <w:pPr>
        <w:adjustRightInd w:val="0"/>
        <w:snapToGrid w:val="0"/>
        <w:spacing w:before="156" w:beforeLines="50" w:after="156" w:afterLines="50" w:line="600" w:lineRule="exact"/>
        <w:jc w:val="center"/>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pStyle w:val="2"/>
        <w:rPr>
          <w:rFonts w:ascii="仿宋_GB2312" w:eastAsia="仿宋_GB2312"/>
          <w:color w:val="auto"/>
          <w:sz w:val="28"/>
          <w:szCs w:val="28"/>
          <w:highlight w:val="none"/>
        </w:rPr>
      </w:pPr>
    </w:p>
    <w:p>
      <w:pPr>
        <w:pStyle w:val="2"/>
        <w:rPr>
          <w:rFonts w:ascii="仿宋_GB2312" w:eastAsia="仿宋_GB2312"/>
          <w:color w:val="auto"/>
          <w:sz w:val="28"/>
          <w:szCs w:val="28"/>
          <w:highlight w:val="none"/>
        </w:rPr>
      </w:pPr>
    </w:p>
    <w:p>
      <w:pPr>
        <w:pStyle w:val="2"/>
        <w:rPr>
          <w:rFonts w:ascii="仿宋_GB2312" w:eastAsia="仿宋_GB2312"/>
          <w:color w:val="auto"/>
          <w:sz w:val="28"/>
          <w:szCs w:val="28"/>
          <w:highlight w:val="none"/>
        </w:rPr>
      </w:pPr>
    </w:p>
    <w:p>
      <w:pPr>
        <w:pStyle w:val="2"/>
        <w:rPr>
          <w:rFonts w:ascii="仿宋_GB2312" w:eastAsia="仿宋_GB2312"/>
          <w:color w:val="auto"/>
          <w:sz w:val="28"/>
          <w:szCs w:val="28"/>
          <w:highlight w:val="none"/>
        </w:rPr>
      </w:pPr>
    </w:p>
    <w:p>
      <w:pPr>
        <w:pStyle w:val="2"/>
        <w:rPr>
          <w:rFonts w:ascii="仿宋_GB2312" w:eastAsia="仿宋_GB2312"/>
          <w:color w:val="auto"/>
          <w:sz w:val="28"/>
          <w:szCs w:val="28"/>
          <w:highlight w:val="none"/>
        </w:rPr>
      </w:pPr>
    </w:p>
    <w:p>
      <w:pPr>
        <w:pStyle w:val="2"/>
        <w:rPr>
          <w:rFonts w:ascii="仿宋_GB2312" w:eastAsia="仿宋_GB2312"/>
          <w:color w:val="auto"/>
          <w:sz w:val="28"/>
          <w:szCs w:val="28"/>
          <w:highlight w:val="none"/>
        </w:rPr>
      </w:pPr>
    </w:p>
    <w:p>
      <w:pPr>
        <w:adjustRightInd w:val="0"/>
        <w:snapToGrid w:val="0"/>
        <w:spacing w:before="156" w:beforeLines="50" w:after="156" w:afterLines="50" w:line="600" w:lineRule="exact"/>
        <w:jc w:val="left"/>
        <w:rPr>
          <w:color w:val="auto"/>
          <w:highlight w:val="none"/>
        </w:rPr>
      </w:pPr>
      <w:r>
        <w:rPr>
          <w:rFonts w:hint="eastAsia" w:asciiTheme="minorEastAsia" w:hAnsiTheme="minorEastAsia"/>
          <w:color w:val="auto"/>
          <w:sz w:val="24"/>
          <w:szCs w:val="24"/>
          <w:highlight w:val="none"/>
        </w:rPr>
        <w:t>适用于纸质评审的公开采购方式</w:t>
      </w:r>
    </w:p>
    <w:p>
      <w:pPr>
        <w:pStyle w:val="4"/>
        <w:rPr>
          <w:color w:val="auto"/>
          <w:highlight w:val="none"/>
        </w:rPr>
      </w:pPr>
      <w:bookmarkStart w:id="11" w:name="_Toc9680"/>
      <w:bookmarkStart w:id="12" w:name="_Toc21373"/>
      <w:r>
        <w:rPr>
          <w:rFonts w:hint="eastAsia"/>
          <w:color w:val="auto"/>
          <w:highlight w:val="none"/>
        </w:rPr>
        <w:t>采购公告（采购邀请书）</w:t>
      </w:r>
    </w:p>
    <w:bookmarkEnd w:id="11"/>
    <w:bookmarkEnd w:id="12"/>
    <w:p>
      <w:pPr>
        <w:adjustRightInd w:val="0"/>
        <w:snapToGrid w:val="0"/>
        <w:spacing w:line="600" w:lineRule="exact"/>
        <w:ind w:firstLine="560" w:firstLineChars="200"/>
        <w:jc w:val="left"/>
        <w:rPr>
          <w:rFonts w:ascii="仿宋_GB2312" w:eastAsia="仿宋_GB2312"/>
          <w:color w:val="auto"/>
          <w:sz w:val="28"/>
          <w:szCs w:val="28"/>
          <w:highlight w:val="none"/>
          <w:u w:val="single"/>
        </w:rPr>
      </w:pPr>
      <w:r>
        <w:rPr>
          <w:rFonts w:hint="eastAsia" w:ascii="仿宋_GB2312" w:eastAsia="仿宋_GB2312"/>
          <w:color w:val="auto"/>
          <w:sz w:val="28"/>
          <w:szCs w:val="28"/>
          <w:highlight w:val="none"/>
          <w:u w:val="single"/>
          <w:lang w:val="en-US" w:eastAsia="zh-CN"/>
        </w:rPr>
        <w:t>广州市净水有限公司石井净水分公司生产区域道闸采购项目（第二次）</w:t>
      </w:r>
      <w:r>
        <w:rPr>
          <w:rFonts w:hint="eastAsia" w:ascii="仿宋_GB2312" w:eastAsia="仿宋_GB2312"/>
          <w:color w:val="auto"/>
          <w:sz w:val="28"/>
          <w:szCs w:val="28"/>
          <w:highlight w:val="none"/>
        </w:rPr>
        <w:t>已具备采购条件，现邀请合格单位参加本</w:t>
      </w:r>
      <w:r>
        <w:rPr>
          <w:rFonts w:hint="eastAsia" w:ascii="仿宋_GB2312" w:eastAsia="仿宋_GB2312"/>
          <w:color w:val="auto"/>
          <w:sz w:val="28"/>
          <w:szCs w:val="28"/>
          <w:highlight w:val="none"/>
          <w:u w:val="single"/>
        </w:rPr>
        <w:sym w:font="Wingdings 2" w:char="0052"/>
      </w:r>
      <w:r>
        <w:rPr>
          <w:rFonts w:hint="eastAsia" w:ascii="仿宋_GB2312" w:eastAsia="仿宋_GB2312"/>
          <w:color w:val="auto"/>
          <w:sz w:val="28"/>
          <w:szCs w:val="28"/>
          <w:highlight w:val="none"/>
        </w:rPr>
        <w:t>施工  □货物 □服务项目采购活动，采用</w:t>
      </w:r>
      <w:r>
        <w:rPr>
          <w:rFonts w:hint="eastAsia" w:ascii="仿宋_GB2312" w:eastAsia="仿宋_GB2312"/>
          <w:color w:val="auto"/>
          <w:sz w:val="28"/>
          <w:szCs w:val="28"/>
          <w:highlight w:val="none"/>
          <w:u w:val="single"/>
        </w:rPr>
        <w:sym w:font="Wingdings 2" w:char="00A3"/>
      </w:r>
      <w:r>
        <w:rPr>
          <w:rFonts w:hint="eastAsia" w:ascii="仿宋_GB2312" w:eastAsia="仿宋_GB2312"/>
          <w:color w:val="auto"/>
          <w:sz w:val="28"/>
          <w:szCs w:val="28"/>
          <w:highlight w:val="none"/>
          <w:u w:val="single"/>
        </w:rPr>
        <w:t xml:space="preserve">邀请询比 </w:t>
      </w:r>
      <w:r>
        <w:rPr>
          <w:rFonts w:hint="eastAsia" w:ascii="仿宋_GB2312" w:eastAsia="仿宋_GB2312"/>
          <w:color w:val="auto"/>
          <w:sz w:val="28"/>
          <w:szCs w:val="28"/>
          <w:highlight w:val="none"/>
          <w:u w:val="single"/>
        </w:rPr>
        <w:sym w:font="Wingdings 2" w:char="0052"/>
      </w:r>
      <w:r>
        <w:rPr>
          <w:rFonts w:hint="eastAsia" w:ascii="仿宋_GB2312" w:eastAsia="仿宋_GB2312"/>
          <w:color w:val="auto"/>
          <w:sz w:val="28"/>
          <w:szCs w:val="28"/>
          <w:highlight w:val="none"/>
          <w:u w:val="single"/>
        </w:rPr>
        <w:t>公开询比</w:t>
      </w:r>
      <w:r>
        <w:rPr>
          <w:rFonts w:hint="eastAsia" w:ascii="仿宋_GB2312" w:eastAsia="仿宋_GB2312"/>
          <w:color w:val="auto"/>
          <w:sz w:val="28"/>
          <w:szCs w:val="28"/>
          <w:highlight w:val="none"/>
        </w:rPr>
        <w:t>的方式邀请合格供应商参加本项目采购活动。</w:t>
      </w:r>
    </w:p>
    <w:p>
      <w:p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1.采购项目简介</w:t>
      </w:r>
    </w:p>
    <w:p>
      <w:pPr>
        <w:adjustRightInd w:val="0"/>
        <w:snapToGrid w:val="0"/>
        <w:spacing w:line="600" w:lineRule="exact"/>
        <w:jc w:val="left"/>
        <w:rPr>
          <w:rFonts w:ascii="仿宋_GB2312" w:eastAsia="仿宋_GB2312"/>
          <w:color w:val="auto"/>
          <w:sz w:val="28"/>
          <w:szCs w:val="28"/>
          <w:highlight w:val="none"/>
          <w:u w:val="single"/>
        </w:rPr>
      </w:pPr>
      <w:r>
        <w:rPr>
          <w:rFonts w:hint="eastAsia" w:ascii="仿宋_GB2312" w:eastAsia="仿宋_GB2312"/>
          <w:color w:val="auto"/>
          <w:sz w:val="28"/>
          <w:szCs w:val="28"/>
          <w:highlight w:val="none"/>
        </w:rPr>
        <w:t>1.1采购项目名称：</w:t>
      </w:r>
      <w:r>
        <w:rPr>
          <w:rFonts w:hint="eastAsia" w:ascii="仿宋_GB2312" w:eastAsia="仿宋_GB2312"/>
          <w:color w:val="auto"/>
          <w:sz w:val="28"/>
          <w:szCs w:val="28"/>
          <w:highlight w:val="none"/>
          <w:u w:val="single"/>
          <w:lang w:val="en-US" w:eastAsia="zh-CN"/>
        </w:rPr>
        <w:t>广州市净水有限公司石井净水分公司生产区域道闸采购项目（第二次）</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1.2项目编号：</w:t>
      </w:r>
      <w:r>
        <w:rPr>
          <w:rFonts w:hint="eastAsia" w:ascii="仿宋_GB2312" w:eastAsia="仿宋_GB2312"/>
          <w:color w:val="auto"/>
          <w:sz w:val="28"/>
          <w:szCs w:val="28"/>
          <w:highlight w:val="none"/>
          <w:u w:val="single"/>
          <w:lang w:val="en-US" w:eastAsia="zh-CN"/>
        </w:rPr>
        <w:t xml:space="preserve"> XJ-20221123-1 </w:t>
      </w:r>
    </w:p>
    <w:p>
      <w:pPr>
        <w:adjustRightInd w:val="0"/>
        <w:snapToGrid w:val="0"/>
        <w:spacing w:line="600" w:lineRule="exact"/>
        <w:jc w:val="left"/>
        <w:rPr>
          <w:rFonts w:ascii="仿宋_GB2312" w:eastAsia="仿宋_GB2312"/>
          <w:color w:val="auto"/>
          <w:sz w:val="28"/>
          <w:szCs w:val="28"/>
          <w:highlight w:val="none"/>
          <w:u w:val="single"/>
        </w:rPr>
      </w:pPr>
      <w:r>
        <w:rPr>
          <w:rFonts w:hint="eastAsia" w:ascii="仿宋_GB2312" w:eastAsia="仿宋_GB2312"/>
          <w:color w:val="auto"/>
          <w:sz w:val="28"/>
          <w:szCs w:val="28"/>
          <w:highlight w:val="none"/>
        </w:rPr>
        <w:t>1.3资金来源：</w:t>
      </w:r>
      <w:r>
        <w:rPr>
          <w:rFonts w:hint="eastAsia" w:ascii="仿宋_GB2312" w:eastAsia="仿宋_GB2312"/>
          <w:color w:val="auto"/>
          <w:sz w:val="28"/>
          <w:szCs w:val="28"/>
          <w:highlight w:val="none"/>
          <w:u w:val="single"/>
        </w:rPr>
        <w:t xml:space="preserve">自有资金  </w:t>
      </w:r>
    </w:p>
    <w:p>
      <w:pPr>
        <w:adjustRightInd w:val="0"/>
        <w:snapToGrid w:val="0"/>
        <w:spacing w:line="600" w:lineRule="exact"/>
        <w:jc w:val="left"/>
        <w:rPr>
          <w:rFonts w:hint="eastAsia" w:ascii="仿宋_GB2312" w:eastAsia="仿宋_GB2312"/>
          <w:color w:val="auto"/>
          <w:sz w:val="28"/>
          <w:szCs w:val="28"/>
          <w:highlight w:val="none"/>
          <w:u w:val="single"/>
        </w:rPr>
      </w:pPr>
      <w:r>
        <w:rPr>
          <w:rFonts w:hint="eastAsia" w:ascii="仿宋_GB2312" w:eastAsia="仿宋_GB2312"/>
          <w:color w:val="auto"/>
          <w:sz w:val="28"/>
          <w:szCs w:val="28"/>
          <w:highlight w:val="none"/>
        </w:rPr>
        <w:t>1.4最高限价（元）：</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418752.58元</w:t>
      </w:r>
      <w:r>
        <w:rPr>
          <w:rFonts w:hint="eastAsia" w:ascii="仿宋_GB2312" w:eastAsia="仿宋_GB2312"/>
          <w:color w:val="auto"/>
          <w:sz w:val="28"/>
          <w:szCs w:val="28"/>
          <w:highlight w:val="none"/>
          <w:u w:val="single"/>
          <w:lang w:val="zh-CN"/>
        </w:rPr>
        <w:t>（</w:t>
      </w:r>
      <w:r>
        <w:rPr>
          <w:rFonts w:hint="eastAsia" w:ascii="仿宋_GB2312" w:eastAsia="仿宋_GB2312"/>
          <w:color w:val="auto"/>
          <w:sz w:val="28"/>
          <w:szCs w:val="28"/>
          <w:highlight w:val="none"/>
          <w:u w:val="single"/>
        </w:rPr>
        <w:t>税前造价</w:t>
      </w:r>
      <w:r>
        <w:rPr>
          <w:rFonts w:hint="eastAsia" w:ascii="仿宋_GB2312" w:eastAsia="仿宋_GB2312"/>
          <w:color w:val="auto"/>
          <w:sz w:val="28"/>
          <w:szCs w:val="28"/>
          <w:highlight w:val="none"/>
          <w:u w:val="single"/>
          <w:lang w:val="en-US" w:eastAsia="zh-CN"/>
        </w:rPr>
        <w:t>限价</w:t>
      </w:r>
      <w:r>
        <w:rPr>
          <w:rFonts w:hint="eastAsia" w:ascii="仿宋_GB2312" w:eastAsia="仿宋_GB2312"/>
          <w:color w:val="auto"/>
          <w:sz w:val="28"/>
          <w:szCs w:val="28"/>
          <w:highlight w:val="none"/>
          <w:u w:val="single"/>
        </w:rPr>
        <w:t>为</w:t>
      </w:r>
      <w:r>
        <w:rPr>
          <w:rFonts w:hint="eastAsia" w:ascii="仿宋_GB2312" w:eastAsia="仿宋_GB2312"/>
          <w:color w:val="auto"/>
          <w:sz w:val="28"/>
          <w:szCs w:val="28"/>
          <w:highlight w:val="none"/>
          <w:u w:val="single"/>
          <w:lang w:val="en-US" w:eastAsia="zh-CN"/>
        </w:rPr>
        <w:t>384176.68</w:t>
      </w:r>
      <w:r>
        <w:rPr>
          <w:rFonts w:hint="eastAsia" w:ascii="仿宋_GB2312" w:eastAsia="仿宋_GB2312"/>
          <w:color w:val="auto"/>
          <w:sz w:val="28"/>
          <w:szCs w:val="28"/>
          <w:highlight w:val="none"/>
          <w:u w:val="single"/>
        </w:rPr>
        <w:t>元，税率</w:t>
      </w:r>
      <w:r>
        <w:rPr>
          <w:rFonts w:hint="eastAsia" w:ascii="仿宋_GB2312" w:eastAsia="仿宋_GB2312"/>
          <w:color w:val="auto"/>
          <w:sz w:val="28"/>
          <w:szCs w:val="28"/>
          <w:highlight w:val="none"/>
          <w:u w:val="single"/>
          <w:lang w:val="en-US" w:eastAsia="zh-CN"/>
        </w:rPr>
        <w:t xml:space="preserve"> 9 </w:t>
      </w:r>
      <w:r>
        <w:rPr>
          <w:rFonts w:hint="eastAsia" w:ascii="仿宋_GB2312" w:eastAsia="仿宋_GB2312"/>
          <w:color w:val="auto"/>
          <w:sz w:val="28"/>
          <w:szCs w:val="28"/>
          <w:highlight w:val="none"/>
          <w:u w:val="single"/>
        </w:rPr>
        <w:t>%，其中绿色施工安全防护措施费为</w:t>
      </w:r>
      <w:r>
        <w:rPr>
          <w:rFonts w:hint="eastAsia" w:ascii="仿宋_GB2312" w:eastAsia="仿宋_GB2312"/>
          <w:color w:val="auto"/>
          <w:sz w:val="28"/>
          <w:szCs w:val="28"/>
          <w:highlight w:val="none"/>
          <w:u w:val="single"/>
          <w:lang w:val="en-US" w:eastAsia="zh-CN"/>
        </w:rPr>
        <w:t xml:space="preserve">21360.19元 </w:t>
      </w:r>
      <w:r>
        <w:rPr>
          <w:rFonts w:hint="eastAsia" w:ascii="仿宋_GB2312" w:eastAsia="仿宋_GB2312"/>
          <w:color w:val="auto"/>
          <w:sz w:val="28"/>
          <w:szCs w:val="28"/>
          <w:highlight w:val="none"/>
          <w:u w:val="single"/>
        </w:rPr>
        <w:t>，</w:t>
      </w:r>
      <w:r>
        <w:rPr>
          <w:rFonts w:hint="eastAsia" w:ascii="仿宋_GB2312" w:eastAsia="仿宋_GB2312"/>
          <w:color w:val="auto"/>
          <w:sz w:val="28"/>
          <w:szCs w:val="28"/>
          <w:highlight w:val="none"/>
          <w:u w:val="single"/>
          <w:lang w:val="en-US" w:eastAsia="zh-CN"/>
        </w:rPr>
        <w:t>暂列金为32236.61元，</w:t>
      </w:r>
      <w:r>
        <w:rPr>
          <w:rFonts w:hint="eastAsia" w:ascii="仿宋_GB2312" w:eastAsia="仿宋_GB2312"/>
          <w:color w:val="auto"/>
          <w:sz w:val="28"/>
          <w:szCs w:val="28"/>
          <w:highlight w:val="none"/>
          <w:u w:val="single"/>
        </w:rPr>
        <w:t>绿色施工安全防护措施费</w:t>
      </w:r>
      <w:r>
        <w:rPr>
          <w:rFonts w:hint="eastAsia" w:ascii="仿宋_GB2312" w:eastAsia="仿宋_GB2312"/>
          <w:color w:val="auto"/>
          <w:sz w:val="28"/>
          <w:szCs w:val="28"/>
          <w:highlight w:val="none"/>
          <w:u w:val="single"/>
          <w:lang w:val="en-US" w:eastAsia="zh-CN"/>
        </w:rPr>
        <w:t>及暂列金</w:t>
      </w:r>
      <w:r>
        <w:rPr>
          <w:rFonts w:hint="eastAsia" w:ascii="仿宋_GB2312" w:eastAsia="仿宋_GB2312"/>
          <w:color w:val="auto"/>
          <w:sz w:val="28"/>
          <w:szCs w:val="28"/>
          <w:highlight w:val="none"/>
          <w:u w:val="single"/>
        </w:rPr>
        <w:t>为非竞争性费用，报价时须按</w:t>
      </w:r>
      <w:r>
        <w:rPr>
          <w:rFonts w:hint="eastAsia" w:ascii="仿宋_GB2312" w:eastAsia="仿宋_GB2312"/>
          <w:color w:val="auto"/>
          <w:sz w:val="28"/>
          <w:szCs w:val="28"/>
          <w:highlight w:val="none"/>
          <w:u w:val="single"/>
          <w:lang w:val="en-US" w:eastAsia="zh-CN"/>
        </w:rPr>
        <w:t>采购</w:t>
      </w:r>
      <w:r>
        <w:rPr>
          <w:rFonts w:hint="eastAsia" w:ascii="仿宋_GB2312" w:eastAsia="仿宋_GB2312"/>
          <w:color w:val="auto"/>
          <w:sz w:val="28"/>
          <w:szCs w:val="28"/>
          <w:highlight w:val="none"/>
          <w:u w:val="single"/>
        </w:rPr>
        <w:t>文件规定的金额填写，不得参与竞争，否则按无效报价处理。</w:t>
      </w:r>
      <w:r>
        <w:rPr>
          <w:rFonts w:hint="eastAsia" w:ascii="仿宋_GB2312" w:eastAsia="仿宋_GB2312"/>
          <w:color w:val="auto"/>
          <w:sz w:val="28"/>
          <w:szCs w:val="28"/>
          <w:highlight w:val="none"/>
          <w:u w:val="single"/>
          <w:lang w:val="zh-CN"/>
        </w:rPr>
        <w:t>）</w:t>
      </w:r>
      <w:r>
        <w:rPr>
          <w:rFonts w:hint="eastAsia" w:ascii="仿宋_GB2312" w:eastAsia="仿宋_GB2312"/>
          <w:color w:val="auto"/>
          <w:sz w:val="28"/>
          <w:szCs w:val="28"/>
          <w:highlight w:val="none"/>
          <w:u w:val="single"/>
        </w:rPr>
        <w:t xml:space="preserve">  </w:t>
      </w:r>
    </w:p>
    <w:p>
      <w:pPr>
        <w:adjustRightInd w:val="0"/>
        <w:snapToGrid w:val="0"/>
        <w:spacing w:line="600" w:lineRule="exact"/>
        <w:jc w:val="left"/>
        <w:rPr>
          <w:rFonts w:ascii="仿宋_GB2312" w:eastAsia="仿宋_GB2312"/>
          <w:color w:val="auto"/>
          <w:sz w:val="28"/>
          <w:szCs w:val="28"/>
          <w:highlight w:val="none"/>
          <w:u w:val="single"/>
        </w:rPr>
      </w:pPr>
      <w:r>
        <w:rPr>
          <w:rFonts w:hint="eastAsia" w:ascii="仿宋_GB2312" w:eastAsia="仿宋_GB2312"/>
          <w:color w:val="auto"/>
          <w:sz w:val="28"/>
          <w:szCs w:val="28"/>
          <w:highlight w:val="none"/>
        </w:rPr>
        <w:t>1.5标段划分：</w:t>
      </w:r>
      <w:r>
        <w:rPr>
          <w:rFonts w:hint="eastAsia" w:ascii="仿宋_GB2312" w:eastAsia="仿宋_GB2312"/>
          <w:color w:val="auto"/>
          <w:sz w:val="28"/>
          <w:szCs w:val="28"/>
          <w:highlight w:val="none"/>
          <w:u w:val="single"/>
        </w:rPr>
        <w:t xml:space="preserve">  /  </w:t>
      </w:r>
    </w:p>
    <w:p>
      <w:p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2.采购内容和范围</w:t>
      </w:r>
    </w:p>
    <w:p>
      <w:pPr>
        <w:adjustRightInd w:val="0"/>
        <w:snapToGrid w:val="0"/>
        <w:spacing w:line="600" w:lineRule="exact"/>
        <w:jc w:val="left"/>
        <w:rPr>
          <w:rFonts w:ascii="仿宋_GB2312" w:eastAsia="仿宋_GB2312"/>
          <w:color w:val="auto"/>
          <w:sz w:val="28"/>
          <w:szCs w:val="28"/>
          <w:highlight w:val="none"/>
          <w:u w:val="single"/>
        </w:rPr>
      </w:pPr>
      <w:r>
        <w:rPr>
          <w:rFonts w:hint="eastAsia" w:ascii="仿宋_GB2312" w:eastAsia="仿宋_GB2312"/>
          <w:color w:val="auto"/>
          <w:sz w:val="28"/>
          <w:szCs w:val="28"/>
          <w:highlight w:val="none"/>
        </w:rPr>
        <w:t>2.1采购内容和范围：</w:t>
      </w:r>
      <w:r>
        <w:rPr>
          <w:rFonts w:hint="eastAsia" w:ascii="仿宋_GB2312" w:eastAsia="仿宋_GB2312"/>
          <w:color w:val="auto"/>
          <w:sz w:val="28"/>
          <w:szCs w:val="28"/>
          <w:highlight w:val="none"/>
          <w:u w:val="single"/>
          <w:lang w:val="en-US" w:eastAsia="zh-CN"/>
        </w:rPr>
        <w:t>地下生产区域作为厂区重点区域，需对每个员工进行可行动区域的划分与授权。不同职能的员工分配进入不同区域，道闸起到内外部员工出入管理的作用，对生产区域出入口可实现无人值守的管理效果。本项目共计安装46套人脸识别一体主机，门禁道闸13套，需要与已建设的智慧园区系统兼容，接入系统中统一管理。其中需对二期地面9台人脸识别主机一齐接入智慧园区系统，对整个地下生产区域部署人脸门禁，提高园区安全性。</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2.2项目工期：</w:t>
      </w:r>
      <w:r>
        <w:rPr>
          <w:rFonts w:hint="eastAsia" w:ascii="仿宋_GB2312" w:eastAsia="仿宋_GB2312"/>
          <w:color w:val="auto"/>
          <w:sz w:val="28"/>
          <w:szCs w:val="28"/>
          <w:highlight w:val="none"/>
        </w:rPr>
        <w:sym w:font="Wingdings 2" w:char="0052"/>
      </w:r>
      <w:r>
        <w:rPr>
          <w:rFonts w:hint="eastAsia" w:ascii="仿宋_GB2312" w:eastAsia="仿宋_GB2312"/>
          <w:color w:val="auto"/>
          <w:sz w:val="28"/>
          <w:szCs w:val="28"/>
          <w:highlight w:val="none"/>
        </w:rPr>
        <w:t>计划工期   □交货期  □服务期为</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90</w:t>
      </w:r>
      <w:r>
        <w:rPr>
          <w:rFonts w:hint="eastAsia" w:ascii="仿宋_GB2312" w:eastAsia="仿宋_GB2312"/>
          <w:color w:val="auto"/>
          <w:sz w:val="28"/>
          <w:szCs w:val="28"/>
          <w:highlight w:val="none"/>
          <w:u w:val="single"/>
        </w:rPr>
        <w:t xml:space="preserve">日    </w:t>
      </w:r>
      <w:r>
        <w:rPr>
          <w:rFonts w:hint="eastAsia" w:ascii="仿宋_GB2312" w:eastAsia="仿宋_GB2312"/>
          <w:color w:val="auto"/>
          <w:sz w:val="28"/>
          <w:szCs w:val="28"/>
          <w:highlight w:val="none"/>
        </w:rPr>
        <w:t xml:space="preserve"> </w:t>
      </w:r>
    </w:p>
    <w:p>
      <w:pPr>
        <w:adjustRightInd w:val="0"/>
        <w:snapToGrid w:val="0"/>
        <w:spacing w:line="600" w:lineRule="exact"/>
        <w:jc w:val="left"/>
        <w:rPr>
          <w:rFonts w:ascii="仿宋_GB2312" w:eastAsia="仿宋_GB2312"/>
          <w:color w:val="auto"/>
          <w:sz w:val="28"/>
          <w:szCs w:val="28"/>
          <w:highlight w:val="none"/>
          <w:u w:val="single"/>
        </w:rPr>
      </w:pPr>
      <w:r>
        <w:rPr>
          <w:rFonts w:hint="eastAsia" w:ascii="仿宋_GB2312" w:eastAsia="仿宋_GB2312"/>
          <w:color w:val="auto"/>
          <w:sz w:val="28"/>
          <w:szCs w:val="28"/>
          <w:highlight w:val="none"/>
        </w:rPr>
        <w:t>2.3地点：</w:t>
      </w:r>
      <w:r>
        <w:rPr>
          <w:rFonts w:hint="eastAsia" w:ascii="仿宋_GB2312" w:eastAsia="仿宋_GB2312"/>
          <w:color w:val="auto"/>
          <w:sz w:val="28"/>
          <w:szCs w:val="28"/>
          <w:highlight w:val="none"/>
        </w:rPr>
        <w:sym w:font="Wingdings 2" w:char="0052"/>
      </w:r>
      <w:r>
        <w:rPr>
          <w:rFonts w:hint="eastAsia" w:ascii="仿宋_GB2312" w:eastAsia="仿宋_GB2312"/>
          <w:color w:val="auto"/>
          <w:sz w:val="28"/>
          <w:szCs w:val="28"/>
          <w:highlight w:val="none"/>
        </w:rPr>
        <w:t xml:space="preserve">建设地点  □交货地点 </w:t>
      </w:r>
      <w:r>
        <w:rPr>
          <w:rFonts w:hint="eastAsia" w:ascii="仿宋_GB2312" w:eastAsia="仿宋_GB2312"/>
          <w:color w:val="auto"/>
          <w:sz w:val="28"/>
          <w:szCs w:val="28"/>
          <w:highlight w:val="none"/>
        </w:rPr>
        <w:sym w:font="Wingdings 2" w:char="00A3"/>
      </w:r>
      <w:r>
        <w:rPr>
          <w:rFonts w:hint="eastAsia" w:ascii="仿宋_GB2312" w:eastAsia="仿宋_GB2312"/>
          <w:color w:val="auto"/>
          <w:sz w:val="28"/>
          <w:szCs w:val="28"/>
          <w:highlight w:val="none"/>
        </w:rPr>
        <w:t>服务地点位于</w:t>
      </w:r>
      <w:r>
        <w:rPr>
          <w:rFonts w:hint="eastAsia" w:ascii="仿宋_GB2312" w:eastAsia="仿宋_GB2312"/>
          <w:color w:val="auto"/>
          <w:sz w:val="28"/>
          <w:szCs w:val="28"/>
          <w:highlight w:val="none"/>
          <w:u w:val="single"/>
        </w:rPr>
        <w:t xml:space="preserve"> 广州市区             </w:t>
      </w:r>
    </w:p>
    <w:p>
      <w:pPr>
        <w:adjustRightInd w:val="0"/>
        <w:snapToGrid w:val="0"/>
        <w:spacing w:line="600" w:lineRule="exact"/>
        <w:ind w:left="420" w:right="-370" w:rightChars="-176" w:hanging="420" w:hangingChars="150"/>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2.4质量要求：</w:t>
      </w:r>
      <w:r>
        <w:rPr>
          <w:rFonts w:hint="eastAsia" w:ascii="仿宋_GB2312" w:eastAsia="仿宋_GB2312"/>
          <w:color w:val="auto"/>
          <w:sz w:val="28"/>
          <w:szCs w:val="28"/>
          <w:highlight w:val="none"/>
        </w:rPr>
        <w:sym w:font="Wingdings 2" w:char="0052"/>
      </w:r>
      <w:r>
        <w:rPr>
          <w:rFonts w:hint="eastAsia" w:ascii="仿宋_GB2312" w:eastAsia="仿宋_GB2312"/>
          <w:color w:val="auto"/>
          <w:sz w:val="28"/>
          <w:szCs w:val="28"/>
          <w:highlight w:val="none"/>
        </w:rPr>
        <w:t xml:space="preserve">施工质量要求   □货物质量标准或主要技术性能指标   </w:t>
      </w:r>
      <w:r>
        <w:rPr>
          <w:rFonts w:hint="eastAsia" w:ascii="仿宋_GB2312" w:eastAsia="仿宋_GB2312"/>
          <w:color w:val="auto"/>
          <w:sz w:val="28"/>
          <w:szCs w:val="28"/>
          <w:highlight w:val="none"/>
        </w:rPr>
        <w:sym w:font="Wingdings 2" w:char="00A3"/>
      </w:r>
      <w:r>
        <w:rPr>
          <w:rFonts w:hint="eastAsia" w:ascii="仿宋_GB2312" w:eastAsia="仿宋_GB2312"/>
          <w:color w:val="auto"/>
          <w:sz w:val="28"/>
          <w:szCs w:val="28"/>
          <w:highlight w:val="none"/>
        </w:rPr>
        <w:t>服务质量要求或服务标准如下：</w:t>
      </w:r>
      <w:r>
        <w:rPr>
          <w:rFonts w:hint="eastAsia" w:ascii="仿宋_GB2312" w:eastAsia="仿宋_GB2312"/>
          <w:color w:val="auto"/>
          <w:sz w:val="28"/>
          <w:szCs w:val="28"/>
          <w:highlight w:val="none"/>
          <w:u w:val="single"/>
        </w:rPr>
        <w:t>详见第五章采购要求。</w:t>
      </w:r>
      <w:r>
        <w:rPr>
          <w:rFonts w:hint="eastAsia" w:ascii="仿宋_GB2312" w:eastAsia="仿宋_GB2312"/>
          <w:color w:val="auto"/>
          <w:sz w:val="28"/>
          <w:szCs w:val="28"/>
          <w:highlight w:val="none"/>
        </w:rPr>
        <w:t xml:space="preserve"> </w:t>
      </w:r>
    </w:p>
    <w:p>
      <w:pPr>
        <w:adjustRightInd w:val="0"/>
        <w:snapToGrid w:val="0"/>
        <w:spacing w:line="600" w:lineRule="exact"/>
        <w:ind w:left="420" w:right="-370" w:rightChars="-176" w:hanging="420" w:hangingChars="150"/>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2.5其他：</w:t>
      </w:r>
      <w:r>
        <w:rPr>
          <w:rFonts w:hint="eastAsia" w:ascii="仿宋_GB2312" w:eastAsia="仿宋_GB2312"/>
          <w:color w:val="auto"/>
          <w:sz w:val="28"/>
          <w:szCs w:val="28"/>
          <w:highlight w:val="none"/>
        </w:rPr>
        <w:sym w:font="Wingdings 2" w:char="0052"/>
      </w:r>
      <w:r>
        <w:rPr>
          <w:rFonts w:hint="eastAsia" w:ascii="仿宋_GB2312" w:eastAsia="仿宋_GB2312"/>
          <w:color w:val="auto"/>
          <w:sz w:val="28"/>
          <w:szCs w:val="28"/>
          <w:highlight w:val="none"/>
        </w:rPr>
        <w:t>安全目标如下：</w:t>
      </w:r>
      <w:r>
        <w:rPr>
          <w:rFonts w:hint="eastAsia" w:ascii="仿宋_GB2312" w:eastAsia="仿宋_GB2312"/>
          <w:color w:val="auto"/>
          <w:sz w:val="28"/>
          <w:szCs w:val="28"/>
          <w:highlight w:val="none"/>
          <w:u w:val="single"/>
        </w:rPr>
        <w:t xml:space="preserve"> 严格遵守净水公司的安全管理规定和要求。                                       </w:t>
      </w:r>
      <w:r>
        <w:rPr>
          <w:rFonts w:hint="eastAsia" w:ascii="仿宋_GB2312" w:eastAsia="仿宋_GB2312"/>
          <w:color w:val="auto"/>
          <w:sz w:val="28"/>
          <w:szCs w:val="28"/>
          <w:highlight w:val="none"/>
        </w:rPr>
        <w:t xml:space="preserve"> </w:t>
      </w:r>
    </w:p>
    <w:p>
      <w:p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3.供应商资格要求（须提供复印件并加盖单位公章）</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3.1参与本项目采购活动的供应商应当依法设立且满足如下要求：</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sym w:font="Wingdings 2" w:char="0052"/>
      </w:r>
      <w:r>
        <w:rPr>
          <w:rFonts w:hint="eastAsia" w:ascii="仿宋_GB2312" w:eastAsia="仿宋_GB2312"/>
          <w:color w:val="auto"/>
          <w:sz w:val="28"/>
          <w:szCs w:val="28"/>
          <w:highlight w:val="none"/>
        </w:rPr>
        <w:t>（1）报价单位须是在中华人民共和国境内注册的法人或其他组织，具有独立法人资格，持有事业单位登记管理部门核发的事业单位法人证书或工商行政管理部门核发的企业法人营业执照，且在有效期内。</w:t>
      </w:r>
    </w:p>
    <w:p>
      <w:pPr>
        <w:adjustRightInd w:val="0"/>
        <w:snapToGrid w:val="0"/>
        <w:spacing w:line="600" w:lineRule="exact"/>
        <w:jc w:val="left"/>
        <w:rPr>
          <w:rFonts w:hint="eastAsia" w:ascii="仿宋_GB2312" w:eastAsia="仿宋_GB2312"/>
          <w:color w:val="auto"/>
          <w:sz w:val="28"/>
          <w:szCs w:val="28"/>
          <w:highlight w:val="none"/>
        </w:rPr>
      </w:pPr>
      <w:r>
        <w:rPr>
          <w:rFonts w:hint="eastAsia" w:ascii="仿宋_GB2312" w:eastAsia="仿宋_GB2312"/>
          <w:color w:val="auto"/>
          <w:sz w:val="28"/>
          <w:szCs w:val="28"/>
          <w:highlight w:val="none"/>
        </w:rPr>
        <w:sym w:font="Wingdings 2" w:char="0052"/>
      </w:r>
      <w:r>
        <w:rPr>
          <w:rFonts w:hint="eastAsia" w:ascii="仿宋_GB2312" w:eastAsia="仿宋_GB2312"/>
          <w:color w:val="auto"/>
          <w:sz w:val="28"/>
          <w:szCs w:val="28"/>
          <w:highlight w:val="none"/>
        </w:rPr>
        <w:t>（2）供应商应当具备电子与智能化工程专业承包二级（或以上）资质</w:t>
      </w:r>
      <w:r>
        <w:rPr>
          <w:rFonts w:hint="eastAsia" w:ascii="仿宋_GB2312" w:eastAsia="仿宋_GB2312"/>
          <w:color w:val="auto"/>
          <w:sz w:val="28"/>
          <w:szCs w:val="28"/>
          <w:highlight w:val="none"/>
          <w:lang w:eastAsia="zh-CN"/>
        </w:rPr>
        <w:t>，</w:t>
      </w:r>
      <w:r>
        <w:rPr>
          <w:rFonts w:hint="eastAsia" w:ascii="仿宋_GB2312" w:eastAsia="仿宋_GB2312"/>
          <w:color w:val="auto"/>
          <w:sz w:val="28"/>
          <w:szCs w:val="28"/>
          <w:highlight w:val="none"/>
          <w:lang w:val="en-US" w:eastAsia="zh-CN"/>
        </w:rPr>
        <w:t>同时具有</w:t>
      </w:r>
      <w:r>
        <w:rPr>
          <w:rFonts w:hint="eastAsia" w:ascii="仿宋_GB2312" w:eastAsia="仿宋_GB2312"/>
          <w:color w:val="auto"/>
          <w:sz w:val="28"/>
          <w:szCs w:val="28"/>
          <w:highlight w:val="none"/>
        </w:rPr>
        <w:t>建设主管部门颁发且在有效期内的《安全生产许可证》。</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sym w:font="Wingdings 2" w:char="0052"/>
      </w:r>
      <w:r>
        <w:rPr>
          <w:rFonts w:hint="eastAsia" w:ascii="仿宋_GB2312" w:eastAsia="仿宋_GB2312"/>
          <w:color w:val="auto"/>
          <w:sz w:val="28"/>
          <w:szCs w:val="28"/>
          <w:highlight w:val="none"/>
          <w:u w:val="none"/>
        </w:rPr>
        <w:t xml:space="preserve">（3） </w:t>
      </w:r>
      <w:r>
        <w:rPr>
          <w:rFonts w:ascii="仿宋_GB2312" w:eastAsia="仿宋_GB2312"/>
          <w:color w:val="auto"/>
          <w:sz w:val="28"/>
          <w:szCs w:val="28"/>
          <w:highlight w:val="none"/>
          <w:u w:val="none"/>
        </w:rPr>
        <w:t>2019</w:t>
      </w:r>
      <w:r>
        <w:rPr>
          <w:rFonts w:hint="eastAsia" w:ascii="仿宋_GB2312" w:eastAsia="仿宋_GB2312"/>
          <w:color w:val="auto"/>
          <w:sz w:val="28"/>
          <w:szCs w:val="28"/>
          <w:highlight w:val="none"/>
          <w:u w:val="none"/>
        </w:rPr>
        <w:t xml:space="preserve"> 年1月1日至今，供应商最少具有一项</w:t>
      </w:r>
      <w:r>
        <w:rPr>
          <w:rFonts w:hint="eastAsia" w:ascii="仿宋_GB2312" w:eastAsia="仿宋_GB2312"/>
          <w:color w:val="auto"/>
          <w:sz w:val="28"/>
          <w:szCs w:val="28"/>
          <w:highlight w:val="none"/>
          <w:u w:val="none"/>
          <w:lang w:val="en-US" w:eastAsia="zh-CN"/>
        </w:rPr>
        <w:t>类似门禁监控类项目实施</w:t>
      </w:r>
      <w:r>
        <w:rPr>
          <w:rFonts w:hint="eastAsia" w:ascii="仿宋_GB2312" w:eastAsia="仿宋_GB2312"/>
          <w:color w:val="auto"/>
          <w:sz w:val="28"/>
          <w:szCs w:val="28"/>
          <w:highlight w:val="none"/>
          <w:u w:val="none"/>
        </w:rPr>
        <w:t>的业绩。</w:t>
      </w:r>
      <w:r>
        <w:rPr>
          <w:rFonts w:hint="eastAsia" w:ascii="仿宋_GB2312" w:eastAsia="仿宋_GB2312"/>
          <w:color w:val="auto"/>
          <w:sz w:val="28"/>
          <w:szCs w:val="28"/>
          <w:highlight w:val="none"/>
        </w:rPr>
        <w:t>（提供合同复印件，包括但不限于项目名称、金额及实施内容、合同盖章、签订日期，加盖单位公章。）</w:t>
      </w:r>
    </w:p>
    <w:p>
      <w:pPr>
        <w:adjustRightInd w:val="0"/>
        <w:snapToGrid w:val="0"/>
        <w:spacing w:line="600" w:lineRule="exact"/>
        <w:jc w:val="left"/>
        <w:rPr>
          <w:rFonts w:hint="eastAsia" w:ascii="仿宋_GB2312" w:eastAsia="仿宋_GB2312"/>
          <w:color w:val="auto"/>
          <w:sz w:val="28"/>
          <w:szCs w:val="28"/>
          <w:highlight w:val="none"/>
          <w:lang w:val="en-US" w:eastAsia="zh-CN"/>
        </w:rPr>
      </w:pPr>
      <w:r>
        <w:rPr>
          <w:rFonts w:hint="eastAsia" w:ascii="仿宋_GB2312" w:eastAsia="仿宋_GB2312"/>
          <w:color w:val="auto"/>
          <w:sz w:val="28"/>
          <w:szCs w:val="28"/>
          <w:highlight w:val="none"/>
        </w:rPr>
        <w:sym w:font="Wingdings 2" w:char="0052"/>
      </w:r>
      <w:r>
        <w:rPr>
          <w:rFonts w:hint="eastAsia" w:ascii="仿宋_GB2312" w:eastAsia="仿宋_GB2312"/>
          <w:color w:val="auto"/>
          <w:sz w:val="28"/>
          <w:szCs w:val="28"/>
          <w:highlight w:val="none"/>
        </w:rPr>
        <w:t>（4）报价单位拟担任本工程项目负责人和安全员的人员资质须满足下列要求，且项目负责人不得同时兼任本项目专职安全人员</w:t>
      </w:r>
      <w:r>
        <w:rPr>
          <w:rFonts w:hint="eastAsia" w:ascii="仿宋_GB2312" w:eastAsia="仿宋_GB2312"/>
          <w:color w:val="auto"/>
          <w:sz w:val="28"/>
          <w:szCs w:val="28"/>
          <w:highlight w:val="none"/>
          <w:lang w:val="en-US" w:eastAsia="zh-CN"/>
        </w:rPr>
        <w:t>：</w:t>
      </w:r>
    </w:p>
    <w:p>
      <w:pPr>
        <w:pStyle w:val="20"/>
        <w:widowControl/>
        <w:numPr>
          <w:ilvl w:val="0"/>
          <w:numId w:val="2"/>
        </w:numPr>
        <w:pBdr>
          <w:top w:val="none" w:color="auto" w:sz="0" w:space="0"/>
          <w:left w:val="none" w:color="auto" w:sz="0" w:space="0"/>
          <w:bottom w:val="none" w:color="auto" w:sz="0" w:space="0"/>
          <w:right w:val="none" w:color="auto" w:sz="0" w:space="0"/>
        </w:pBdr>
        <w:shd w:val="clear" w:color="auto" w:fill="FFFFFF"/>
        <w:adjustRightInd w:val="0"/>
        <w:snapToGrid w:val="0"/>
        <w:spacing w:before="0" w:beforeAutospacing="0" w:after="0" w:afterAutospacing="0" w:line="600" w:lineRule="exact"/>
        <w:ind w:left="425" w:hanging="425" w:firstLineChars="0"/>
        <w:jc w:val="both"/>
        <w:rPr>
          <w:rFonts w:hint="eastAsia" w:ascii="仿宋_GB2312" w:eastAsia="仿宋_GB2312" w:hAnsiTheme="minorHAnsi" w:cstheme="minorBidi"/>
          <w:color w:val="auto"/>
          <w:kern w:val="2"/>
          <w:sz w:val="28"/>
          <w:szCs w:val="28"/>
          <w:highlight w:val="none"/>
          <w:u w:val="none"/>
          <w:lang w:val="en-US" w:eastAsia="zh-CN" w:bidi="ar-SA"/>
        </w:rPr>
      </w:pPr>
      <w:r>
        <w:rPr>
          <w:rFonts w:hint="eastAsia" w:ascii="仿宋_GB2312" w:eastAsia="仿宋_GB2312" w:hAnsiTheme="minorHAnsi" w:cstheme="minorBidi"/>
          <w:color w:val="auto"/>
          <w:kern w:val="2"/>
          <w:sz w:val="28"/>
          <w:szCs w:val="28"/>
          <w:highlight w:val="none"/>
          <w:lang w:val="en-US" w:eastAsia="zh-CN" w:bidi="ar-SA"/>
        </w:rPr>
        <w:t>项目负责人要求：</w:t>
      </w:r>
      <w:r>
        <w:rPr>
          <w:rFonts w:hint="eastAsia" w:ascii="仿宋_GB2312" w:hAnsi="仿宋" w:eastAsia="仿宋_GB2312" w:cs="仿宋_GB2312"/>
          <w:color w:val="auto"/>
          <w:sz w:val="28"/>
          <w:szCs w:val="28"/>
          <w:highlight w:val="none"/>
          <w:u w:val="none"/>
        </w:rPr>
        <w:t>机电专业</w:t>
      </w:r>
      <w:r>
        <w:rPr>
          <w:rFonts w:ascii="仿宋_GB2312" w:hAnsi="仿宋" w:eastAsia="仿宋_GB2312" w:cs="仿宋_GB2312"/>
          <w:color w:val="auto"/>
          <w:sz w:val="28"/>
          <w:szCs w:val="28"/>
          <w:highlight w:val="none"/>
          <w:u w:val="none"/>
        </w:rPr>
        <w:t>二级</w:t>
      </w:r>
      <w:r>
        <w:rPr>
          <w:rFonts w:hint="eastAsia" w:ascii="仿宋_GB2312" w:hAnsi="仿宋" w:eastAsia="仿宋_GB2312" w:cs="仿宋_GB2312"/>
          <w:color w:val="auto"/>
          <w:sz w:val="28"/>
          <w:szCs w:val="28"/>
          <w:highlight w:val="none"/>
          <w:u w:val="none"/>
        </w:rPr>
        <w:t>（</w:t>
      </w:r>
      <w:r>
        <w:rPr>
          <w:rFonts w:ascii="仿宋_GB2312" w:hAnsi="仿宋" w:eastAsia="仿宋_GB2312" w:cs="仿宋_GB2312"/>
          <w:color w:val="auto"/>
          <w:sz w:val="28"/>
          <w:szCs w:val="28"/>
          <w:highlight w:val="none"/>
          <w:u w:val="none"/>
        </w:rPr>
        <w:t>或以上级别</w:t>
      </w:r>
      <w:r>
        <w:rPr>
          <w:rFonts w:hint="eastAsia" w:ascii="仿宋_GB2312" w:hAnsi="仿宋" w:eastAsia="仿宋_GB2312" w:cs="仿宋_GB2312"/>
          <w:color w:val="auto"/>
          <w:sz w:val="28"/>
          <w:szCs w:val="28"/>
          <w:highlight w:val="none"/>
          <w:u w:val="none"/>
        </w:rPr>
        <w:t>）</w:t>
      </w:r>
      <w:r>
        <w:rPr>
          <w:rFonts w:ascii="仿宋_GB2312" w:hAnsi="仿宋" w:eastAsia="仿宋_GB2312" w:cs="仿宋_GB2312"/>
          <w:color w:val="auto"/>
          <w:sz w:val="28"/>
          <w:szCs w:val="28"/>
          <w:highlight w:val="none"/>
          <w:u w:val="none"/>
        </w:rPr>
        <w:t>的注册建造师（或具</w:t>
      </w:r>
    </w:p>
    <w:p>
      <w:pPr>
        <w:pStyle w:val="20"/>
        <w:widowControl/>
        <w:numPr>
          <w:ilvl w:val="-1"/>
          <w:numId w:val="0"/>
        </w:numPr>
        <w:pBdr>
          <w:top w:val="none" w:color="auto" w:sz="0" w:space="0"/>
          <w:left w:val="none" w:color="auto" w:sz="0" w:space="0"/>
          <w:bottom w:val="none" w:color="auto" w:sz="0" w:space="0"/>
          <w:right w:val="none" w:color="auto" w:sz="0" w:space="0"/>
        </w:pBdr>
        <w:shd w:val="clear" w:color="auto" w:fill="FFFFFF"/>
        <w:adjustRightInd w:val="0"/>
        <w:snapToGrid w:val="0"/>
        <w:spacing w:before="0" w:beforeAutospacing="0" w:after="0" w:afterAutospacing="0" w:line="600" w:lineRule="exact"/>
        <w:ind w:left="0" w:firstLine="0" w:firstLineChars="0"/>
        <w:jc w:val="both"/>
        <w:rPr>
          <w:rFonts w:hint="eastAsia" w:ascii="仿宋_GB2312" w:eastAsia="仿宋_GB2312" w:hAnsiTheme="minorHAnsi" w:cstheme="minorBidi"/>
          <w:color w:val="auto"/>
          <w:kern w:val="2"/>
          <w:sz w:val="28"/>
          <w:szCs w:val="28"/>
          <w:highlight w:val="none"/>
          <w:u w:val="none"/>
          <w:lang w:val="en-US" w:eastAsia="zh-CN" w:bidi="ar-SA"/>
        </w:rPr>
      </w:pPr>
      <w:r>
        <w:rPr>
          <w:rFonts w:ascii="仿宋_GB2312" w:hAnsi="仿宋" w:eastAsia="仿宋_GB2312" w:cs="仿宋_GB2312"/>
          <w:color w:val="auto"/>
          <w:sz w:val="28"/>
          <w:szCs w:val="28"/>
          <w:highlight w:val="none"/>
          <w:u w:val="none"/>
        </w:rPr>
        <w:t>备符合粤建市〔2010〕26号文规定的小型项目负责人资格），</w:t>
      </w:r>
      <w:r>
        <w:rPr>
          <w:rFonts w:hint="eastAsia" w:ascii="仿宋_GB2312" w:hAnsi="仿宋" w:eastAsia="仿宋_GB2312" w:cs="仿宋_GB2312"/>
          <w:color w:val="auto"/>
          <w:sz w:val="28"/>
          <w:szCs w:val="28"/>
          <w:highlight w:val="none"/>
          <w:u w:val="none"/>
        </w:rPr>
        <w:t>同时</w:t>
      </w:r>
      <w:r>
        <w:rPr>
          <w:rFonts w:ascii="仿宋_GB2312" w:hAnsi="仿宋" w:eastAsia="仿宋_GB2312" w:cs="仿宋_GB2312"/>
          <w:color w:val="auto"/>
          <w:sz w:val="28"/>
          <w:szCs w:val="28"/>
          <w:highlight w:val="none"/>
          <w:u w:val="none"/>
        </w:rPr>
        <w:t>持有项目负责人安全生产考核合格证（B）类；</w:t>
      </w:r>
      <w:r>
        <w:rPr>
          <w:rFonts w:hint="eastAsia" w:ascii="仿宋_GB2312" w:eastAsia="仿宋_GB2312" w:hAnsiTheme="minorHAnsi" w:cstheme="minorBidi"/>
          <w:color w:val="auto"/>
          <w:kern w:val="2"/>
          <w:sz w:val="28"/>
          <w:szCs w:val="28"/>
          <w:highlight w:val="none"/>
          <w:u w:val="none"/>
          <w:lang w:val="en-US" w:eastAsia="zh-CN" w:bidi="ar-SA"/>
        </w:rPr>
        <w:t>（注：根据广东省建设信息中心关于启用新版“广东省建设执业资格注册管理信息系统”的通知，注册建造师电子证书须由本人在个人签名处手写签名，未手写签名或与签名图像笔迹不一致的，电子证书无效。广东省外注册的二级建造师人员暂不能在我省执业）</w:t>
      </w:r>
    </w:p>
    <w:p>
      <w:pPr>
        <w:pStyle w:val="44"/>
        <w:autoSpaceDE w:val="0"/>
        <w:autoSpaceDN w:val="0"/>
        <w:ind w:firstLine="560"/>
        <w:jc w:val="left"/>
        <w:rPr>
          <w:rFonts w:ascii="仿宋_GB2312" w:eastAsia="仿宋_GB2312"/>
          <w:color w:val="auto"/>
          <w:sz w:val="28"/>
          <w:szCs w:val="28"/>
          <w:highlight w:val="none"/>
        </w:rPr>
      </w:pPr>
      <w:r>
        <w:rPr>
          <w:rFonts w:hint="eastAsia" w:ascii="仿宋_GB2312" w:eastAsia="仿宋_GB2312" w:hAnsiTheme="minorHAnsi" w:cstheme="minorBidi"/>
          <w:color w:val="auto"/>
          <w:kern w:val="2"/>
          <w:sz w:val="28"/>
          <w:szCs w:val="28"/>
          <w:highlight w:val="none"/>
          <w:u w:val="none"/>
          <w:lang w:val="en-US" w:eastAsia="zh-CN" w:bidi="ar-SA"/>
        </w:rPr>
        <w:t>专职安全人员要求：须具有安全生产考核合格证（C类）（或能够提供广东省建筑施工企业管理人员安全生产考核信息系统安全生产管理人员证书信息的网页截图）。</w:t>
      </w:r>
    </w:p>
    <w:p>
      <w:pPr>
        <w:pStyle w:val="44"/>
        <w:autoSpaceDE w:val="0"/>
        <w:autoSpaceDN w:val="0"/>
        <w:spacing w:line="600" w:lineRule="exact"/>
        <w:ind w:firstLine="560" w:firstLineChars="0"/>
        <w:jc w:val="left"/>
        <w:rPr>
          <w:rFonts w:ascii="仿宋_GB2312" w:eastAsia="仿宋_GB2312" w:cs="仿宋_GB2312"/>
          <w:color w:val="auto"/>
          <w:sz w:val="28"/>
          <w:szCs w:val="28"/>
          <w:highlight w:val="none"/>
          <w:u w:val="single"/>
          <w:lang w:val="zh-CN"/>
        </w:rPr>
      </w:pPr>
      <w:r>
        <w:rPr>
          <w:rFonts w:hint="eastAsia" w:ascii="仿宋_GB2312" w:eastAsia="仿宋_GB2312"/>
          <w:color w:val="auto"/>
          <w:sz w:val="28"/>
          <w:szCs w:val="28"/>
          <w:highlight w:val="none"/>
        </w:rPr>
        <w:sym w:font="Wingdings 2" w:char="0052"/>
      </w:r>
      <w:r>
        <w:rPr>
          <w:rFonts w:hint="eastAsia" w:ascii="仿宋_GB2312" w:eastAsia="仿宋_GB2312"/>
          <w:color w:val="auto"/>
          <w:sz w:val="28"/>
          <w:szCs w:val="28"/>
          <w:highlight w:val="none"/>
        </w:rPr>
        <w:t>（5）其他要求：</w:t>
      </w:r>
      <w:r>
        <w:rPr>
          <w:rFonts w:hint="eastAsia" w:ascii="仿宋_GB2312" w:hAnsi="Calibri" w:eastAsia="仿宋_GB2312"/>
          <w:color w:val="auto"/>
          <w:kern w:val="2"/>
          <w:sz w:val="28"/>
          <w:szCs w:val="28"/>
          <w:highlight w:val="none"/>
          <w:u w:val="none"/>
        </w:rPr>
        <w:t>参与本项目采购活动的供应商应当于中</w:t>
      </w:r>
      <w:r>
        <w:rPr>
          <w:rFonts w:hint="eastAsia" w:ascii="仿宋_GB2312" w:eastAsia="仿宋_GB2312"/>
          <w:color w:val="auto"/>
          <w:kern w:val="2"/>
          <w:sz w:val="28"/>
          <w:szCs w:val="28"/>
          <w:highlight w:val="none"/>
          <w:u w:val="none"/>
          <w:lang w:val="en-US" w:eastAsia="zh-CN"/>
        </w:rPr>
        <w:t>选后</w:t>
      </w:r>
      <w:r>
        <w:rPr>
          <w:rFonts w:hint="eastAsia" w:ascii="仿宋_GB2312" w:hAnsi="Calibri" w:eastAsia="仿宋_GB2312"/>
          <w:color w:val="auto"/>
          <w:kern w:val="2"/>
          <w:sz w:val="28"/>
          <w:szCs w:val="28"/>
          <w:highlight w:val="none"/>
          <w:u w:val="none"/>
        </w:rPr>
        <w:t>五日内提供能够对接兼容石井净水分公司目前在用的智慧园区系统的承诺函（加盖单位公章）。</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3.2供应商在响应文件提交截止日期止不得存在下列情形之一（须出具承诺函）：</w:t>
      </w:r>
    </w:p>
    <w:p>
      <w:pPr>
        <w:adjustRightInd w:val="0"/>
        <w:snapToGrid w:val="0"/>
        <w:spacing w:line="600" w:lineRule="exact"/>
        <w:ind w:firstLine="420" w:firstLineChars="150"/>
        <w:rPr>
          <w:rFonts w:ascii="仿宋_GB2312" w:eastAsia="仿宋_GB2312"/>
          <w:color w:val="auto"/>
          <w:sz w:val="28"/>
          <w:szCs w:val="28"/>
          <w:highlight w:val="none"/>
        </w:rPr>
      </w:pPr>
      <w:r>
        <w:rPr>
          <w:rFonts w:hint="eastAsia" w:ascii="仿宋_GB2312" w:eastAsia="仿宋_GB2312"/>
          <w:color w:val="auto"/>
          <w:sz w:val="28"/>
          <w:szCs w:val="28"/>
          <w:highlight w:val="none"/>
        </w:rPr>
        <w:t>（1）与本项目其他供应商的单位负责人为同一人。</w:t>
      </w:r>
    </w:p>
    <w:p>
      <w:pPr>
        <w:adjustRightInd w:val="0"/>
        <w:snapToGrid w:val="0"/>
        <w:spacing w:line="600" w:lineRule="exact"/>
        <w:ind w:firstLine="420" w:firstLineChars="150"/>
        <w:rPr>
          <w:rFonts w:ascii="仿宋_GB2312" w:eastAsia="仿宋_GB2312"/>
          <w:color w:val="auto"/>
          <w:sz w:val="28"/>
          <w:szCs w:val="28"/>
          <w:highlight w:val="none"/>
        </w:rPr>
      </w:pPr>
      <w:r>
        <w:rPr>
          <w:rFonts w:hint="eastAsia" w:ascii="仿宋_GB2312" w:eastAsia="仿宋_GB2312"/>
          <w:color w:val="auto"/>
          <w:sz w:val="28"/>
          <w:szCs w:val="28"/>
          <w:highlight w:val="none"/>
        </w:rPr>
        <w:t>（2）与本项目其他供应商存在控股或管理关系。</w:t>
      </w:r>
    </w:p>
    <w:p>
      <w:pPr>
        <w:adjustRightInd w:val="0"/>
        <w:snapToGrid w:val="0"/>
        <w:spacing w:line="600" w:lineRule="exact"/>
        <w:ind w:firstLine="420" w:firstLineChars="150"/>
        <w:rPr>
          <w:rFonts w:ascii="仿宋_GB2312" w:eastAsia="仿宋_GB2312"/>
          <w:color w:val="auto"/>
          <w:sz w:val="28"/>
          <w:szCs w:val="28"/>
          <w:highlight w:val="none"/>
        </w:rPr>
      </w:pPr>
      <w:r>
        <w:rPr>
          <w:rFonts w:hint="eastAsia" w:ascii="仿宋_GB2312" w:eastAsia="仿宋_GB2312"/>
          <w:color w:val="auto"/>
          <w:sz w:val="28"/>
          <w:szCs w:val="28"/>
          <w:highlight w:val="none"/>
        </w:rPr>
        <w:t>（3）被本项目所在地省级以上行业主管部门依法暂停、取消投标或禁止参加采购活动且处于有效期内的。</w:t>
      </w:r>
    </w:p>
    <w:p>
      <w:pPr>
        <w:adjustRightInd w:val="0"/>
        <w:snapToGrid w:val="0"/>
        <w:spacing w:line="600" w:lineRule="exact"/>
        <w:ind w:firstLine="420" w:firstLineChars="150"/>
        <w:rPr>
          <w:rFonts w:ascii="仿宋_GB2312" w:eastAsia="仿宋_GB2312"/>
          <w:color w:val="auto"/>
          <w:sz w:val="28"/>
          <w:szCs w:val="28"/>
          <w:highlight w:val="none"/>
        </w:rPr>
      </w:pPr>
      <w:r>
        <w:rPr>
          <w:rFonts w:hint="eastAsia" w:ascii="仿宋_GB2312" w:eastAsia="仿宋_GB2312"/>
          <w:color w:val="auto"/>
          <w:sz w:val="28"/>
          <w:szCs w:val="28"/>
          <w:highlight w:val="none"/>
        </w:rPr>
        <w:t>（4）处于被责令停产停业、暂扣或者吊销执照、暂扣或者吊销许可证、吊销资质证书状态。</w:t>
      </w:r>
    </w:p>
    <w:p>
      <w:pPr>
        <w:adjustRightInd w:val="0"/>
        <w:snapToGrid w:val="0"/>
        <w:spacing w:line="600" w:lineRule="exact"/>
        <w:ind w:firstLine="420" w:firstLineChars="150"/>
        <w:rPr>
          <w:rFonts w:ascii="仿宋_GB2312" w:eastAsia="仿宋_GB2312"/>
          <w:color w:val="auto"/>
          <w:sz w:val="28"/>
          <w:szCs w:val="28"/>
          <w:highlight w:val="none"/>
        </w:rPr>
      </w:pPr>
      <w:r>
        <w:rPr>
          <w:rFonts w:hint="eastAsia" w:ascii="仿宋_GB2312" w:eastAsia="仿宋_GB2312"/>
          <w:color w:val="auto"/>
          <w:sz w:val="28"/>
          <w:szCs w:val="28"/>
          <w:highlight w:val="none"/>
        </w:rPr>
        <w:t>（5）进入清算程序，或被宣告破产，或其他丧失履约能力情形的。</w:t>
      </w:r>
    </w:p>
    <w:p>
      <w:pPr>
        <w:adjustRightInd w:val="0"/>
        <w:snapToGrid w:val="0"/>
        <w:spacing w:line="600" w:lineRule="exact"/>
        <w:ind w:firstLine="420" w:firstLineChars="150"/>
        <w:rPr>
          <w:rFonts w:ascii="仿宋_GB2312" w:eastAsia="仿宋_GB2312"/>
          <w:color w:val="auto"/>
          <w:sz w:val="28"/>
          <w:szCs w:val="28"/>
          <w:highlight w:val="none"/>
        </w:rPr>
      </w:pPr>
      <w:r>
        <w:rPr>
          <w:rFonts w:hint="eastAsia" w:ascii="仿宋_GB2312" w:eastAsia="仿宋_GB2312"/>
          <w:color w:val="auto"/>
          <w:sz w:val="28"/>
          <w:szCs w:val="28"/>
          <w:highlight w:val="none"/>
        </w:rPr>
        <w:t>（6）近三年内因发生质量或安全生产事故等受到行政处罚且在处罚期内的。</w:t>
      </w:r>
    </w:p>
    <w:p>
      <w:pPr>
        <w:adjustRightInd w:val="0"/>
        <w:snapToGrid w:val="0"/>
        <w:spacing w:line="600" w:lineRule="exact"/>
        <w:ind w:firstLine="420" w:firstLineChars="150"/>
        <w:rPr>
          <w:rFonts w:ascii="仿宋_GB2312" w:eastAsia="仿宋_GB2312"/>
          <w:color w:val="auto"/>
          <w:sz w:val="28"/>
          <w:szCs w:val="28"/>
          <w:highlight w:val="none"/>
        </w:rPr>
      </w:pPr>
      <w:r>
        <w:rPr>
          <w:rFonts w:hint="eastAsia" w:ascii="仿宋_GB2312" w:eastAsia="仿宋_GB2312"/>
          <w:color w:val="auto"/>
          <w:sz w:val="28"/>
          <w:szCs w:val="28"/>
          <w:highlight w:val="none"/>
        </w:rPr>
        <w:t>（7）被最高人民法院在“信用中国”网站（www.creditchina.gov.cn）或各级信用信息共享平台中列入失信被执行人名单。</w:t>
      </w:r>
    </w:p>
    <w:p>
      <w:pPr>
        <w:adjustRightInd w:val="0"/>
        <w:snapToGrid w:val="0"/>
        <w:spacing w:line="600" w:lineRule="exact"/>
        <w:ind w:firstLine="420" w:firstLineChars="150"/>
        <w:rPr>
          <w:rFonts w:ascii="仿宋_GB2312" w:eastAsia="仿宋_GB2312"/>
          <w:color w:val="auto"/>
          <w:sz w:val="28"/>
          <w:szCs w:val="28"/>
          <w:highlight w:val="none"/>
        </w:rPr>
      </w:pPr>
      <w:r>
        <w:rPr>
          <w:rFonts w:hint="eastAsia" w:ascii="仿宋_GB2312" w:eastAsia="仿宋_GB2312"/>
          <w:color w:val="auto"/>
          <w:sz w:val="28"/>
          <w:szCs w:val="28"/>
          <w:highlight w:val="none"/>
        </w:rPr>
        <w:t>（8）被“全国企业信用信息公示系统”（网址：http://www.gsxt.gov.cn/）</w:t>
      </w:r>
    </w:p>
    <w:p>
      <w:pPr>
        <w:adjustRightInd w:val="0"/>
        <w:snapToGrid w:val="0"/>
        <w:spacing w:line="600" w:lineRule="exact"/>
        <w:ind w:firstLine="420" w:firstLineChars="150"/>
        <w:rPr>
          <w:rFonts w:ascii="仿宋_GB2312" w:eastAsia="仿宋_GB2312"/>
          <w:color w:val="auto"/>
          <w:sz w:val="28"/>
          <w:szCs w:val="28"/>
          <w:highlight w:val="none"/>
        </w:rPr>
      </w:pPr>
      <w:r>
        <w:rPr>
          <w:rFonts w:hint="eastAsia" w:ascii="仿宋_GB2312" w:eastAsia="仿宋_GB2312"/>
          <w:color w:val="auto"/>
          <w:sz w:val="28"/>
          <w:szCs w:val="28"/>
          <w:highlight w:val="none"/>
        </w:rPr>
        <w:t>列入经营异常名录和严重违法企业名单。</w:t>
      </w:r>
    </w:p>
    <w:p>
      <w:pPr>
        <w:adjustRightInd w:val="0"/>
        <w:snapToGrid w:val="0"/>
        <w:spacing w:line="600" w:lineRule="exact"/>
        <w:ind w:firstLine="420" w:firstLineChars="150"/>
        <w:rPr>
          <w:rFonts w:ascii="仿宋_GB2312" w:eastAsia="仿宋_GB2312"/>
          <w:color w:val="auto"/>
          <w:sz w:val="28"/>
          <w:szCs w:val="28"/>
          <w:highlight w:val="none"/>
        </w:rPr>
      </w:pPr>
      <w:r>
        <w:rPr>
          <w:rFonts w:hint="eastAsia" w:ascii="仿宋_GB2312" w:eastAsia="仿宋_GB2312"/>
          <w:color w:val="auto"/>
          <w:sz w:val="28"/>
          <w:szCs w:val="28"/>
          <w:highlight w:val="none"/>
        </w:rPr>
        <w:t>（9）被“信用广州”网站纳入失信被执行人名单（失信黑名单）。</w:t>
      </w:r>
    </w:p>
    <w:p>
      <w:pPr>
        <w:adjustRightInd w:val="0"/>
        <w:snapToGrid w:val="0"/>
        <w:spacing w:line="600" w:lineRule="exact"/>
        <w:ind w:firstLine="420" w:firstLineChars="150"/>
        <w:rPr>
          <w:rFonts w:ascii="仿宋_GB2312" w:eastAsia="仿宋_GB2312"/>
          <w:color w:val="auto"/>
          <w:sz w:val="28"/>
          <w:szCs w:val="28"/>
          <w:highlight w:val="none"/>
        </w:rPr>
      </w:pPr>
      <w:r>
        <w:rPr>
          <w:rFonts w:hint="eastAsia" w:ascii="仿宋_GB2312" w:eastAsia="仿宋_GB2312"/>
          <w:color w:val="auto"/>
          <w:sz w:val="28"/>
          <w:szCs w:val="28"/>
          <w:highlight w:val="none"/>
        </w:rPr>
        <w:t>（10）被纳入本项目采购人（包括市水投集团及相关所属企业）书面限制参与采购活动且处于有效期内的。</w:t>
      </w:r>
    </w:p>
    <w:p>
      <w:pPr>
        <w:adjustRightInd w:val="0"/>
        <w:snapToGrid w:val="0"/>
        <w:spacing w:line="600" w:lineRule="exact"/>
        <w:ind w:firstLine="420" w:firstLineChars="150"/>
        <w:rPr>
          <w:rFonts w:ascii="仿宋_GB2312" w:eastAsia="仿宋_GB2312"/>
          <w:color w:val="auto"/>
          <w:sz w:val="28"/>
          <w:szCs w:val="28"/>
          <w:highlight w:val="none"/>
        </w:rPr>
      </w:pPr>
      <w:r>
        <w:rPr>
          <w:rFonts w:hint="eastAsia" w:ascii="仿宋_GB2312" w:eastAsia="仿宋_GB2312"/>
          <w:color w:val="auto"/>
          <w:sz w:val="28"/>
          <w:szCs w:val="28"/>
          <w:highlight w:val="none"/>
        </w:rPr>
        <w:t>（11）其他违法违纪行为，经审查认为不宜被邀请参加采购活动的。</w:t>
      </w:r>
    </w:p>
    <w:p>
      <w:pPr>
        <w:adjustRightInd w:val="0"/>
        <w:snapToGrid w:val="0"/>
        <w:spacing w:line="600" w:lineRule="exact"/>
        <w:ind w:firstLine="420" w:firstLineChars="150"/>
        <w:jc w:val="left"/>
        <w:rPr>
          <w:rFonts w:ascii="仿宋_GB2312" w:eastAsia="仿宋_GB2312"/>
          <w:color w:val="auto"/>
          <w:sz w:val="28"/>
          <w:szCs w:val="28"/>
          <w:highlight w:val="none"/>
          <w:u w:val="single"/>
        </w:rPr>
      </w:pPr>
      <w:r>
        <w:rPr>
          <w:rFonts w:hint="eastAsia" w:ascii="仿宋_GB2312" w:eastAsia="仿宋_GB2312"/>
          <w:color w:val="auto"/>
          <w:sz w:val="28"/>
          <w:szCs w:val="28"/>
          <w:highlight w:val="none"/>
        </w:rPr>
        <w:t>（12）其他禁止情形：</w:t>
      </w:r>
      <w:r>
        <w:rPr>
          <w:rFonts w:hint="eastAsia" w:ascii="仿宋_GB2312" w:eastAsia="仿宋_GB2312"/>
          <w:color w:val="auto"/>
          <w:sz w:val="28"/>
          <w:szCs w:val="28"/>
          <w:highlight w:val="none"/>
          <w:u w:val="single"/>
        </w:rPr>
        <w:t xml:space="preserve">                                               </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3.3本次项目</w:t>
      </w:r>
      <w:r>
        <w:rPr>
          <w:rFonts w:hint="eastAsia" w:ascii="仿宋_GB2312" w:eastAsia="仿宋_GB2312"/>
          <w:color w:val="auto"/>
          <w:sz w:val="28"/>
          <w:szCs w:val="28"/>
          <w:highlight w:val="none"/>
          <w:u w:val="none"/>
        </w:rPr>
        <w:t>不接受</w:t>
      </w:r>
      <w:r>
        <w:rPr>
          <w:rFonts w:hint="eastAsia" w:ascii="仿宋_GB2312" w:eastAsia="仿宋_GB2312"/>
          <w:color w:val="auto"/>
          <w:sz w:val="28"/>
          <w:szCs w:val="28"/>
          <w:highlight w:val="none"/>
        </w:rPr>
        <w:t>联合体参加采购活动</w:t>
      </w:r>
    </w:p>
    <w:p>
      <w:p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4.采购文件的获取</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4.1获取时间</w:t>
      </w:r>
    </w:p>
    <w:p>
      <w:pPr>
        <w:adjustRightInd w:val="0"/>
        <w:snapToGrid w:val="0"/>
        <w:spacing w:line="60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从</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2022</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11</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 xml:space="preserve">24 </w:t>
      </w:r>
      <w:r>
        <w:rPr>
          <w:rFonts w:hint="eastAsia" w:ascii="仿宋_GB2312" w:eastAsia="仿宋_GB2312"/>
          <w:color w:val="auto"/>
          <w:sz w:val="28"/>
          <w:szCs w:val="28"/>
          <w:highlight w:val="none"/>
        </w:rPr>
        <w:t>日至</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2022</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 xml:space="preserve">11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u w:val="single"/>
          <w:lang w:val="en-US" w:eastAsia="zh-CN"/>
        </w:rPr>
        <w:t xml:space="preserve"> 28 </w:t>
      </w:r>
      <w:r>
        <w:rPr>
          <w:rFonts w:hint="eastAsia" w:ascii="仿宋_GB2312" w:eastAsia="仿宋_GB2312"/>
          <w:color w:val="auto"/>
          <w:sz w:val="28"/>
          <w:szCs w:val="28"/>
          <w:highlight w:val="none"/>
        </w:rPr>
        <w:t>日（北京时间）</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4.2获取方式</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在</w:t>
      </w:r>
      <w:r>
        <w:rPr>
          <w:rFonts w:hint="eastAsia" w:ascii="仿宋_GB2312" w:eastAsia="仿宋_GB2312"/>
          <w:color w:val="auto"/>
          <w:sz w:val="28"/>
          <w:szCs w:val="28"/>
          <w:highlight w:val="none"/>
          <w:u w:val="single"/>
        </w:rPr>
        <w:t>广州市净水有限公司门户网站</w:t>
      </w:r>
      <w:r>
        <w:rPr>
          <w:rFonts w:hint="eastAsia" w:ascii="仿宋_GB2312" w:eastAsia="仿宋_GB2312"/>
          <w:color w:val="auto"/>
          <w:sz w:val="28"/>
          <w:szCs w:val="28"/>
          <w:highlight w:val="none"/>
        </w:rPr>
        <w:t xml:space="preserve">下载采购文件。 </w:t>
      </w:r>
    </w:p>
    <w:p>
      <w:pPr>
        <w:numPr>
          <w:ilvl w:val="0"/>
          <w:numId w:val="3"/>
        </w:num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踏勘现场</w:t>
      </w:r>
    </w:p>
    <w:p>
      <w:pPr>
        <w:adjustRightInd w:val="0"/>
        <w:snapToGrid w:val="0"/>
        <w:spacing w:line="600" w:lineRule="exact"/>
        <w:rPr>
          <w:rFonts w:ascii="仿宋_GB2312" w:eastAsia="仿宋_GB2312"/>
          <w:color w:val="auto"/>
          <w:sz w:val="28"/>
          <w:szCs w:val="28"/>
          <w:highlight w:val="none"/>
        </w:rPr>
      </w:pPr>
      <w:r>
        <w:rPr>
          <w:rFonts w:hint="eastAsia" w:ascii="仿宋_GB2312" w:eastAsia="仿宋_GB2312"/>
          <w:color w:val="auto"/>
          <w:sz w:val="28"/>
          <w:szCs w:val="28"/>
          <w:highlight w:val="none"/>
        </w:rPr>
        <w:sym w:font="Wingdings 2" w:char="0052"/>
      </w:r>
      <w:r>
        <w:rPr>
          <w:rFonts w:hint="eastAsia" w:ascii="仿宋_GB2312" w:eastAsia="仿宋_GB2312"/>
          <w:color w:val="auto"/>
          <w:sz w:val="28"/>
          <w:szCs w:val="28"/>
          <w:highlight w:val="none"/>
        </w:rPr>
        <w:t>不组织</w:t>
      </w:r>
    </w:p>
    <w:p>
      <w:pPr>
        <w:adjustRightInd w:val="0"/>
        <w:snapToGrid w:val="0"/>
        <w:spacing w:line="360" w:lineRule="auto"/>
        <w:rPr>
          <w:rFonts w:ascii="仿宋_GB2312" w:hAnsi="仿宋" w:eastAsia="仿宋_GB2312" w:cs="仿宋_GB2312"/>
          <w:color w:val="auto"/>
          <w:sz w:val="28"/>
          <w:szCs w:val="28"/>
          <w:highlight w:val="none"/>
          <w:lang w:val="zh-CN"/>
        </w:rPr>
      </w:pPr>
      <w:r>
        <w:rPr>
          <w:rFonts w:hint="eastAsia" w:ascii="仿宋_GB2312" w:eastAsia="仿宋_GB2312"/>
          <w:color w:val="auto"/>
          <w:sz w:val="28"/>
          <w:szCs w:val="28"/>
          <w:highlight w:val="none"/>
        </w:rPr>
        <w:sym w:font="Wingdings 2" w:char="00A3"/>
      </w:r>
      <w:r>
        <w:rPr>
          <w:rFonts w:hint="eastAsia" w:ascii="仿宋_GB2312" w:eastAsia="仿宋_GB2312"/>
          <w:color w:val="auto"/>
          <w:sz w:val="28"/>
          <w:szCs w:val="28"/>
          <w:highlight w:val="none"/>
        </w:rPr>
        <w:t>组织：</w:t>
      </w:r>
      <w:r>
        <w:rPr>
          <w:rFonts w:hint="eastAsia" w:ascii="仿宋_GB2312" w:hAnsi="仿宋" w:eastAsia="仿宋_GB2312" w:cs="仿宋_GB2312"/>
          <w:color w:val="auto"/>
          <w:sz w:val="28"/>
          <w:szCs w:val="28"/>
          <w:highlight w:val="none"/>
        </w:rPr>
        <w:t>供应商可</w:t>
      </w:r>
      <w:r>
        <w:rPr>
          <w:rFonts w:hint="eastAsia" w:ascii="仿宋_GB2312" w:hAnsi="仿宋" w:eastAsia="仿宋_GB2312" w:cs="仿宋_GB2312"/>
          <w:color w:val="auto"/>
          <w:sz w:val="28"/>
          <w:szCs w:val="28"/>
          <w:highlight w:val="none"/>
          <w:lang w:val="zh-CN"/>
        </w:rPr>
        <w:t>自行</w:t>
      </w:r>
      <w:r>
        <w:rPr>
          <w:rFonts w:hint="eastAsia" w:ascii="仿宋_GB2312" w:hAnsi="仿宋" w:eastAsia="仿宋_GB2312" w:cs="仿宋_GB2312"/>
          <w:color w:val="auto"/>
          <w:sz w:val="28"/>
          <w:szCs w:val="28"/>
          <w:highlight w:val="none"/>
        </w:rPr>
        <w:t>选择是否前往现场踏勘</w:t>
      </w:r>
      <w:r>
        <w:rPr>
          <w:rFonts w:hint="eastAsia" w:ascii="仿宋_GB2312" w:hAnsi="仿宋" w:eastAsia="仿宋_GB2312" w:cs="仿宋_GB2312"/>
          <w:color w:val="auto"/>
          <w:sz w:val="28"/>
          <w:szCs w:val="28"/>
          <w:highlight w:val="none"/>
          <w:lang w:val="zh-CN"/>
        </w:rPr>
        <w:t>，</w:t>
      </w:r>
      <w:r>
        <w:rPr>
          <w:rFonts w:hint="eastAsia" w:ascii="仿宋_GB2312" w:hAnsi="仿宋" w:eastAsia="仿宋_GB2312" w:cs="仿宋_GB2312"/>
          <w:color w:val="auto"/>
          <w:sz w:val="28"/>
          <w:szCs w:val="28"/>
          <w:highlight w:val="none"/>
        </w:rPr>
        <w:t>若前往现场踏勘须在规定时间内到达集中地点，逾期不再接待</w:t>
      </w:r>
      <w:r>
        <w:rPr>
          <w:rFonts w:hint="eastAsia" w:ascii="仿宋_GB2312" w:hAnsi="仿宋" w:eastAsia="仿宋_GB2312" w:cs="仿宋_GB2312"/>
          <w:color w:val="auto"/>
          <w:sz w:val="28"/>
          <w:szCs w:val="28"/>
          <w:highlight w:val="none"/>
          <w:lang w:val="zh-CN"/>
        </w:rPr>
        <w:t>。</w:t>
      </w:r>
    </w:p>
    <w:p>
      <w:pPr>
        <w:numPr>
          <w:ilvl w:val="0"/>
          <w:numId w:val="3"/>
        </w:num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响应文件的递交</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6.1递交响应文件截止时间：</w:t>
      </w:r>
      <w:r>
        <w:rPr>
          <w:rFonts w:hint="eastAsia" w:ascii="仿宋_GB2312" w:eastAsia="仿宋_GB2312"/>
          <w:color w:val="auto"/>
          <w:sz w:val="28"/>
          <w:szCs w:val="28"/>
          <w:highlight w:val="none"/>
          <w:u w:val="single"/>
          <w:lang w:val="en-US" w:eastAsia="zh-CN"/>
        </w:rPr>
        <w:t>2022</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u w:val="single"/>
          <w:lang w:val="en-US" w:eastAsia="zh-CN"/>
        </w:rPr>
        <w:t xml:space="preserve"> 11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 xml:space="preserve">29 </w:t>
      </w:r>
      <w:r>
        <w:rPr>
          <w:rFonts w:hint="eastAsia" w:ascii="仿宋_GB2312" w:eastAsia="仿宋_GB2312"/>
          <w:color w:val="auto"/>
          <w:sz w:val="28"/>
          <w:szCs w:val="28"/>
          <w:highlight w:val="none"/>
        </w:rPr>
        <w:t>日</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 xml:space="preserve">10 </w:t>
      </w:r>
      <w:r>
        <w:rPr>
          <w:rFonts w:hint="eastAsia" w:ascii="仿宋_GB2312" w:eastAsia="仿宋_GB2312"/>
          <w:color w:val="auto"/>
          <w:sz w:val="28"/>
          <w:szCs w:val="28"/>
          <w:highlight w:val="none"/>
        </w:rPr>
        <w:t>时</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 xml:space="preserve">00 </w:t>
      </w:r>
      <w:r>
        <w:rPr>
          <w:rFonts w:hint="eastAsia" w:ascii="仿宋_GB2312" w:eastAsia="仿宋_GB2312"/>
          <w:color w:val="auto"/>
          <w:sz w:val="28"/>
          <w:szCs w:val="28"/>
          <w:highlight w:val="none"/>
        </w:rPr>
        <w:t>分前（北京时间）。</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6.2递交及快递地址：</w:t>
      </w:r>
      <w:r>
        <w:rPr>
          <w:rFonts w:hint="eastAsia" w:ascii="仿宋_GB2312" w:eastAsia="仿宋_GB2312"/>
          <w:color w:val="auto"/>
          <w:sz w:val="28"/>
          <w:szCs w:val="28"/>
          <w:highlight w:val="none"/>
          <w:u w:val="single"/>
        </w:rPr>
        <w:t>广州市天河区临江大道501号广州市净水有限公司6楼招标部</w:t>
      </w:r>
      <w:r>
        <w:rPr>
          <w:rFonts w:hint="eastAsia" w:ascii="仿宋_GB2312" w:eastAsia="仿宋_GB2312"/>
          <w:color w:val="auto"/>
          <w:sz w:val="28"/>
          <w:szCs w:val="28"/>
          <w:highlight w:val="none"/>
        </w:rPr>
        <w:t>。</w:t>
      </w:r>
    </w:p>
    <w:p>
      <w:pPr>
        <w:pStyle w:val="2"/>
        <w:ind w:firstLine="560" w:firstLineChars="200"/>
        <w:rPr>
          <w:rFonts w:ascii="仿宋_GB2312" w:eastAsia="仿宋_GB2312"/>
          <w:color w:val="auto"/>
          <w:sz w:val="28"/>
          <w:szCs w:val="28"/>
          <w:highlight w:val="none"/>
        </w:rPr>
      </w:pPr>
      <w:r>
        <w:rPr>
          <w:rFonts w:hint="eastAsia" w:ascii="仿宋_GB2312" w:eastAsia="仿宋_GB2312"/>
          <w:color w:val="auto"/>
          <w:sz w:val="28"/>
          <w:szCs w:val="28"/>
          <w:highlight w:val="none"/>
        </w:rPr>
        <w:t>防疫要求：基于目前疫情防控形势，我公司仅接受快递或自行送达形式递交响应文件，响应文件须于递交截止时间前送达，并放置于公司正门保安处。</w:t>
      </w:r>
    </w:p>
    <w:p>
      <w:p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7.其他</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7.1发布公告的其他媒介</w:t>
      </w:r>
    </w:p>
    <w:p>
      <w:pPr>
        <w:adjustRightInd w:val="0"/>
        <w:snapToGrid w:val="0"/>
        <w:spacing w:line="600" w:lineRule="exact"/>
        <w:ind w:firstLine="555"/>
        <w:rPr>
          <w:rFonts w:ascii="仿宋_GB2312" w:hAnsi="Calibri" w:eastAsia="仿宋_GB2312" w:cs="Times New Roman"/>
          <w:color w:val="auto"/>
          <w:sz w:val="28"/>
          <w:szCs w:val="28"/>
          <w:highlight w:val="none"/>
        </w:rPr>
      </w:pPr>
      <w:r>
        <w:rPr>
          <w:rFonts w:hint="eastAsia" w:ascii="仿宋_GB2312" w:eastAsia="仿宋_GB2312"/>
          <w:color w:val="auto"/>
          <w:sz w:val="28"/>
          <w:szCs w:val="28"/>
          <w:highlight w:val="none"/>
        </w:rPr>
        <w:t>本项目采购公告（采购邀请书）、公告补充及修改同步在广州净水公司门户网站及阳光平台上发布。</w:t>
      </w:r>
      <w:r>
        <w:rPr>
          <w:rFonts w:hint="eastAsia" w:ascii="仿宋_GB2312" w:hAnsi="Calibri" w:eastAsia="仿宋_GB2312" w:cs="Times New Roman"/>
          <w:color w:val="auto"/>
          <w:sz w:val="28"/>
          <w:szCs w:val="28"/>
          <w:highlight w:val="none"/>
        </w:rPr>
        <w:t>本公告在各媒体发布的文本如有不同之处，以广州净水公司门户网站为准。</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7.2响应文件递交注意事项</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 xml:space="preserve">   （1）逾期送达的、未送达指定地点的响应文件，采购人将予以拒收。</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 xml:space="preserve">   （2）不按照采购文件要求密封的响应文件，采购人将予以拒收。</w:t>
      </w:r>
    </w:p>
    <w:p>
      <w:pPr>
        <w:widowControl/>
        <w:shd w:val="clear" w:color="auto" w:fill="FFFFFF"/>
        <w:adjustRightInd w:val="0"/>
        <w:snapToGrid w:val="0"/>
        <w:spacing w:line="600" w:lineRule="exac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8</w:t>
      </w:r>
      <w:r>
        <w:rPr>
          <w:rFonts w:asciiTheme="minorEastAsia" w:hAnsiTheme="minorEastAsia"/>
          <w:b/>
          <w:color w:val="auto"/>
          <w:sz w:val="32"/>
          <w:szCs w:val="32"/>
          <w:highlight w:val="none"/>
        </w:rPr>
        <w:t>.</w:t>
      </w:r>
      <w:r>
        <w:rPr>
          <w:rFonts w:hint="eastAsia" w:asciiTheme="minorEastAsia" w:hAnsiTheme="minorEastAsia"/>
          <w:b/>
          <w:color w:val="auto"/>
          <w:sz w:val="32"/>
          <w:szCs w:val="32"/>
          <w:highlight w:val="none"/>
        </w:rPr>
        <w:t>异议及投诉的受理</w:t>
      </w:r>
    </w:p>
    <w:p>
      <w:pPr>
        <w:widowControl/>
        <w:shd w:val="clear" w:color="auto" w:fill="FFFFFF"/>
        <w:adjustRightInd w:val="0"/>
        <w:snapToGrid w:val="0"/>
        <w:spacing w:line="600" w:lineRule="exact"/>
        <w:ind w:left="1" w:firstLine="618" w:firstLineChars="221"/>
        <w:rPr>
          <w:rFonts w:ascii="仿宋_GB2312" w:hAnsi="仿宋" w:eastAsia="仿宋_GB2312"/>
          <w:color w:val="auto"/>
          <w:sz w:val="28"/>
          <w:szCs w:val="28"/>
          <w:highlight w:val="none"/>
        </w:rPr>
      </w:pPr>
      <w:r>
        <w:rPr>
          <w:rFonts w:ascii="仿宋_GB2312" w:hAnsi="仿宋" w:eastAsia="仿宋_GB2312"/>
          <w:color w:val="auto"/>
          <w:sz w:val="28"/>
          <w:szCs w:val="28"/>
          <w:highlight w:val="none"/>
        </w:rPr>
        <w:t>潜在供应商或利害关系人对本</w:t>
      </w:r>
      <w:r>
        <w:rPr>
          <w:rFonts w:hint="eastAsia" w:ascii="仿宋_GB2312" w:hAnsi="仿宋" w:eastAsia="仿宋_GB2312"/>
          <w:color w:val="auto"/>
          <w:sz w:val="28"/>
          <w:szCs w:val="28"/>
          <w:highlight w:val="none"/>
        </w:rPr>
        <w:t>采购</w:t>
      </w:r>
      <w:r>
        <w:rPr>
          <w:rFonts w:ascii="仿宋_GB2312" w:hAnsi="仿宋" w:eastAsia="仿宋_GB2312"/>
          <w:color w:val="auto"/>
          <w:sz w:val="28"/>
          <w:szCs w:val="28"/>
          <w:highlight w:val="none"/>
        </w:rPr>
        <w:t>公告及采购文件中任何违法及不公平内容有异议的，可以在提交</w:t>
      </w:r>
      <w:r>
        <w:rPr>
          <w:rFonts w:hint="eastAsia" w:ascii="仿宋_GB2312" w:hAnsi="仿宋" w:eastAsia="仿宋_GB2312"/>
          <w:color w:val="auto"/>
          <w:sz w:val="28"/>
          <w:szCs w:val="28"/>
          <w:highlight w:val="none"/>
        </w:rPr>
        <w:t>响应文件截止之日</w:t>
      </w:r>
      <w:r>
        <w:rPr>
          <w:rFonts w:hint="eastAsia" w:ascii="仿宋_GB2312" w:hAnsi="仿宋" w:eastAsia="仿宋_GB2312"/>
          <w:color w:val="auto"/>
          <w:sz w:val="28"/>
          <w:szCs w:val="28"/>
          <w:highlight w:val="none"/>
          <w:u w:val="single"/>
        </w:rPr>
        <w:t>2</w:t>
      </w:r>
      <w:r>
        <w:rPr>
          <w:rFonts w:hint="eastAsia" w:ascii="仿宋_GB2312" w:hAnsi="仿宋" w:eastAsia="仿宋_GB2312"/>
          <w:color w:val="auto"/>
          <w:sz w:val="28"/>
          <w:szCs w:val="28"/>
          <w:highlight w:val="none"/>
        </w:rPr>
        <w:t>个工作日前</w:t>
      </w:r>
      <w:r>
        <w:rPr>
          <w:rFonts w:ascii="仿宋_GB2312" w:hAnsi="仿宋" w:eastAsia="仿宋_GB2312"/>
          <w:color w:val="auto"/>
          <w:sz w:val="28"/>
          <w:szCs w:val="28"/>
          <w:highlight w:val="none"/>
        </w:rPr>
        <w:t>书面提出异议。如潜在响应人或其他利害关系人对采购人答复仍持有异议的，可按相关规定进行投诉。</w:t>
      </w:r>
    </w:p>
    <w:p>
      <w:pPr>
        <w:widowControl/>
        <w:shd w:val="clear" w:color="auto" w:fill="FFFFFF"/>
        <w:adjustRightInd w:val="0"/>
        <w:snapToGrid w:val="0"/>
        <w:spacing w:line="600" w:lineRule="exact"/>
        <w:ind w:left="1" w:firstLine="480"/>
        <w:rPr>
          <w:rFonts w:ascii="仿宋_GB2312" w:hAnsi="仿宋" w:eastAsia="仿宋_GB2312"/>
          <w:color w:val="auto"/>
          <w:sz w:val="28"/>
          <w:szCs w:val="28"/>
          <w:highlight w:val="none"/>
        </w:rPr>
      </w:pPr>
      <w:r>
        <w:rPr>
          <w:rFonts w:ascii="仿宋_GB2312" w:hAnsi="仿宋" w:eastAsia="仿宋_GB2312"/>
          <w:color w:val="auto"/>
          <w:sz w:val="28"/>
          <w:szCs w:val="28"/>
          <w:highlight w:val="none"/>
        </w:rPr>
        <w:t>异议受理部门：</w:t>
      </w:r>
      <w:r>
        <w:rPr>
          <w:rFonts w:hint="eastAsia" w:ascii="仿宋_GB2312" w:hAnsi="仿宋" w:eastAsia="仿宋_GB2312"/>
          <w:color w:val="auto"/>
          <w:sz w:val="28"/>
          <w:szCs w:val="28"/>
          <w:highlight w:val="none"/>
          <w:u w:val="single"/>
        </w:rPr>
        <w:t>广州市净水有限公司</w:t>
      </w:r>
      <w:r>
        <w:rPr>
          <w:rFonts w:ascii="仿宋_GB2312" w:hAnsi="仿宋" w:eastAsia="仿宋_GB2312"/>
          <w:color w:val="auto"/>
          <w:sz w:val="28"/>
          <w:szCs w:val="28"/>
          <w:highlight w:val="none"/>
        </w:rPr>
        <w:t>，电话：</w:t>
      </w:r>
      <w:r>
        <w:rPr>
          <w:rFonts w:hint="eastAsia" w:ascii="仿宋_GB2312" w:hAnsi="仿宋" w:eastAsia="仿宋_GB2312"/>
          <w:color w:val="auto"/>
          <w:sz w:val="28"/>
          <w:szCs w:val="28"/>
          <w:highlight w:val="none"/>
          <w:u w:val="single"/>
          <w:lang w:val="en-US" w:eastAsia="zh-CN"/>
        </w:rPr>
        <w:t>020-</w:t>
      </w:r>
      <w:r>
        <w:rPr>
          <w:rFonts w:hint="eastAsia" w:ascii="仿宋_GB2312" w:hAnsi="仿宋" w:eastAsia="仿宋_GB2312"/>
          <w:color w:val="auto"/>
          <w:sz w:val="28"/>
          <w:szCs w:val="28"/>
          <w:highlight w:val="none"/>
          <w:u w:val="single"/>
        </w:rPr>
        <w:t>38890841</w:t>
      </w:r>
      <w:r>
        <w:rPr>
          <w:rFonts w:ascii="仿宋_GB2312" w:hAnsi="仿宋" w:eastAsia="仿宋_GB2312"/>
          <w:color w:val="auto"/>
          <w:sz w:val="28"/>
          <w:szCs w:val="28"/>
          <w:highlight w:val="none"/>
        </w:rPr>
        <w:t>。</w:t>
      </w:r>
    </w:p>
    <w:p>
      <w:pPr>
        <w:widowControl/>
        <w:shd w:val="clear" w:color="auto" w:fill="FFFFFF"/>
        <w:adjustRightInd w:val="0"/>
        <w:snapToGrid w:val="0"/>
        <w:spacing w:line="600" w:lineRule="exact"/>
        <w:ind w:left="1" w:firstLine="480"/>
        <w:rPr>
          <w:rFonts w:ascii="仿宋_GB2312" w:hAnsi="仿宋" w:eastAsia="仿宋_GB2312"/>
          <w:color w:val="auto"/>
          <w:sz w:val="28"/>
          <w:szCs w:val="28"/>
          <w:highlight w:val="none"/>
        </w:rPr>
      </w:pPr>
      <w:r>
        <w:rPr>
          <w:rFonts w:ascii="仿宋_GB2312" w:hAnsi="仿宋" w:eastAsia="仿宋_GB2312"/>
          <w:color w:val="auto"/>
          <w:sz w:val="28"/>
          <w:szCs w:val="28"/>
          <w:highlight w:val="none"/>
        </w:rPr>
        <w:t>地址：</w:t>
      </w:r>
      <w:r>
        <w:rPr>
          <w:rFonts w:hint="eastAsia" w:ascii="仿宋_GB2312" w:hAnsi="仿宋" w:eastAsia="仿宋_GB2312"/>
          <w:color w:val="auto"/>
          <w:sz w:val="28"/>
          <w:szCs w:val="28"/>
          <w:highlight w:val="none"/>
          <w:u w:val="single"/>
        </w:rPr>
        <w:t>广州市天河区临江大道501号广州市净水有限公司</w:t>
      </w:r>
      <w:r>
        <w:rPr>
          <w:rFonts w:hint="eastAsia" w:ascii="仿宋_GB2312" w:hAnsi="仿宋" w:eastAsia="仿宋_GB2312"/>
          <w:color w:val="auto"/>
          <w:sz w:val="28"/>
          <w:szCs w:val="28"/>
          <w:highlight w:val="none"/>
        </w:rPr>
        <w:t xml:space="preserve"> </w:t>
      </w:r>
      <w:r>
        <w:rPr>
          <w:rFonts w:ascii="仿宋_GB2312" w:hAnsi="仿宋" w:eastAsia="仿宋_GB2312"/>
          <w:color w:val="auto"/>
          <w:sz w:val="28"/>
          <w:szCs w:val="28"/>
          <w:highlight w:val="none"/>
        </w:rPr>
        <w:t>。</w:t>
      </w:r>
    </w:p>
    <w:p>
      <w:pPr>
        <w:adjustRightInd w:val="0"/>
        <w:snapToGrid w:val="0"/>
        <w:spacing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9. 被书面限制参与采购活动的企业名单</w:t>
      </w:r>
    </w:p>
    <w:p>
      <w:pPr>
        <w:adjustRightInd w:val="0"/>
        <w:snapToGrid w:val="0"/>
        <w:spacing w:line="600" w:lineRule="exact"/>
        <w:ind w:firstLine="560" w:firstLineChars="200"/>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本项目采购人（包括市水投集团及其属下子公司）书面限制参与采购活动的企业名单：</w:t>
      </w:r>
    </w:p>
    <w:tbl>
      <w:tblPr>
        <w:tblStyle w:val="22"/>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01"/>
        <w:gridCol w:w="3402"/>
        <w:gridCol w:w="455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tcPr>
          <w:p>
            <w:pPr>
              <w:adjustRightInd w:val="0"/>
              <w:snapToGrid w:val="0"/>
              <w:spacing w:line="60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序号</w:t>
            </w:r>
          </w:p>
        </w:tc>
        <w:tc>
          <w:tcPr>
            <w:tcW w:w="3402" w:type="dxa"/>
          </w:tcPr>
          <w:p>
            <w:pPr>
              <w:adjustRightInd w:val="0"/>
              <w:snapToGrid w:val="0"/>
              <w:spacing w:line="60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单位名称</w:t>
            </w:r>
          </w:p>
        </w:tc>
        <w:tc>
          <w:tcPr>
            <w:tcW w:w="4557" w:type="dxa"/>
          </w:tcPr>
          <w:p>
            <w:pPr>
              <w:adjustRightInd w:val="0"/>
              <w:snapToGrid w:val="0"/>
              <w:spacing w:line="60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被书面限制参与采购活动的期限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1</w:t>
            </w:r>
          </w:p>
        </w:tc>
        <w:tc>
          <w:tcPr>
            <w:tcW w:w="3402" w:type="dxa"/>
            <w:vAlign w:val="center"/>
          </w:tcPr>
          <w:p>
            <w:pPr>
              <w:jc w:val="center"/>
              <w:rPr>
                <w:rFonts w:ascii="宋体" w:hAnsi="宋体" w:cs="宋体"/>
                <w:color w:val="auto"/>
                <w:sz w:val="24"/>
                <w:highlight w:val="none"/>
              </w:rPr>
            </w:pPr>
            <w:r>
              <w:rPr>
                <w:rFonts w:hint="eastAsia" w:ascii="宋体" w:hAnsi="宋体" w:eastAsia="宋体" w:cs="宋体"/>
                <w:color w:val="auto"/>
                <w:sz w:val="24"/>
                <w:highlight w:val="none"/>
              </w:rPr>
              <w:t>广州市水电建设工程有限公司</w:t>
            </w:r>
          </w:p>
        </w:tc>
        <w:tc>
          <w:tcPr>
            <w:tcW w:w="4557" w:type="dxa"/>
            <w:vAlign w:val="center"/>
          </w:tcPr>
          <w:p>
            <w:pPr>
              <w:jc w:val="center"/>
              <w:rPr>
                <w:rFonts w:ascii="宋体" w:hAnsi="宋体" w:cs="宋体"/>
                <w:color w:val="auto"/>
                <w:sz w:val="24"/>
                <w:highlight w:val="none"/>
              </w:rPr>
            </w:pPr>
            <w:r>
              <w:rPr>
                <w:rFonts w:hint="eastAsia" w:ascii="宋体" w:hAnsi="宋体" w:eastAsia="宋体" w:cs="宋体"/>
                <w:color w:val="auto"/>
                <w:sz w:val="24"/>
                <w:highlight w:val="none"/>
              </w:rPr>
              <w:t>2021年11月18至2023年</w:t>
            </w:r>
            <w:r>
              <w:rPr>
                <w:rFonts w:hint="eastAsia" w:ascii="宋体" w:hAnsi="宋体" w:cs="宋体"/>
                <w:color w:val="auto"/>
                <w:sz w:val="24"/>
                <w:highlight w:val="none"/>
              </w:rPr>
              <w:t>5</w:t>
            </w:r>
            <w:r>
              <w:rPr>
                <w:rFonts w:hint="eastAsia" w:ascii="宋体" w:hAnsi="宋体" w:eastAsia="宋体" w:cs="宋体"/>
                <w:color w:val="auto"/>
                <w:sz w:val="24"/>
                <w:highlight w:val="none"/>
              </w:rPr>
              <w:t>月17日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cs="宋体"/>
                <w:color w:val="auto"/>
                <w:sz w:val="24"/>
                <w:highlight w:val="none"/>
              </w:rPr>
            </w:pPr>
            <w:r>
              <w:rPr>
                <w:rFonts w:hint="eastAsia" w:ascii="宋体" w:hAnsi="宋体" w:cs="宋体"/>
                <w:color w:val="auto"/>
                <w:sz w:val="24"/>
                <w:highlight w:val="none"/>
              </w:rPr>
              <w:t>2</w:t>
            </w:r>
          </w:p>
        </w:tc>
        <w:tc>
          <w:tcPr>
            <w:tcW w:w="3402" w:type="dxa"/>
            <w:vAlign w:val="center"/>
          </w:tcPr>
          <w:p>
            <w:pPr>
              <w:jc w:val="center"/>
              <w:rPr>
                <w:rFonts w:ascii="宋体" w:hAnsi="宋体" w:cs="宋体"/>
                <w:color w:val="auto"/>
                <w:sz w:val="24"/>
                <w:highlight w:val="none"/>
              </w:rPr>
            </w:pPr>
            <w:r>
              <w:rPr>
                <w:rFonts w:hint="eastAsia" w:ascii="宋体" w:hAnsi="宋体" w:eastAsia="宋体" w:cs="宋体"/>
                <w:color w:val="auto"/>
                <w:sz w:val="24"/>
                <w:highlight w:val="none"/>
              </w:rPr>
              <w:t>广州市南粤工程建设监理有限公司</w:t>
            </w:r>
          </w:p>
        </w:tc>
        <w:tc>
          <w:tcPr>
            <w:tcW w:w="4557" w:type="dxa"/>
            <w:vAlign w:val="center"/>
          </w:tcPr>
          <w:p>
            <w:pPr>
              <w:jc w:val="center"/>
              <w:rPr>
                <w:rFonts w:ascii="宋体" w:hAnsi="宋体" w:cs="宋体"/>
                <w:color w:val="auto"/>
                <w:sz w:val="24"/>
                <w:highlight w:val="none"/>
              </w:rPr>
            </w:pPr>
            <w:r>
              <w:rPr>
                <w:rFonts w:hint="eastAsia" w:ascii="宋体" w:hAnsi="宋体" w:eastAsia="宋体" w:cs="宋体"/>
                <w:color w:val="auto"/>
                <w:sz w:val="24"/>
                <w:highlight w:val="none"/>
              </w:rPr>
              <w:t>2021年11月18至20</w:t>
            </w:r>
            <w:r>
              <w:rPr>
                <w:rFonts w:hint="eastAsia" w:ascii="宋体" w:hAnsi="宋体" w:cs="宋体"/>
                <w:color w:val="auto"/>
                <w:sz w:val="24"/>
                <w:highlight w:val="none"/>
              </w:rPr>
              <w:t>23</w:t>
            </w:r>
            <w:r>
              <w:rPr>
                <w:rFonts w:hint="eastAsia" w:ascii="宋体" w:hAnsi="宋体" w:eastAsia="宋体" w:cs="宋体"/>
                <w:color w:val="auto"/>
                <w:sz w:val="24"/>
                <w:highlight w:val="none"/>
              </w:rPr>
              <w:t>年</w:t>
            </w:r>
            <w:r>
              <w:rPr>
                <w:rFonts w:hint="eastAsia" w:ascii="宋体" w:hAnsi="宋体" w:cs="宋体"/>
                <w:color w:val="auto"/>
                <w:sz w:val="24"/>
                <w:highlight w:val="none"/>
              </w:rPr>
              <w:t>5</w:t>
            </w:r>
            <w:r>
              <w:rPr>
                <w:rFonts w:hint="eastAsia" w:ascii="宋体" w:hAnsi="宋体" w:eastAsia="宋体" w:cs="宋体"/>
                <w:color w:val="auto"/>
                <w:sz w:val="24"/>
                <w:highlight w:val="none"/>
              </w:rPr>
              <w:t>月17日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01" w:type="dxa"/>
            <w:vAlign w:val="center"/>
          </w:tcPr>
          <w:p>
            <w:pPr>
              <w:jc w:val="center"/>
              <w:rPr>
                <w:rFonts w:ascii="宋体" w:hAnsi="宋体" w:eastAsia="宋体" w:cs="宋体"/>
                <w:color w:val="auto"/>
                <w:sz w:val="24"/>
                <w:highlight w:val="none"/>
              </w:rPr>
            </w:pPr>
            <w:r>
              <w:rPr>
                <w:rFonts w:hint="eastAsia" w:ascii="宋体" w:hAnsi="宋体" w:cs="宋体"/>
                <w:color w:val="auto"/>
                <w:sz w:val="24"/>
                <w:highlight w:val="none"/>
              </w:rPr>
              <w:t>3</w:t>
            </w:r>
          </w:p>
        </w:tc>
        <w:tc>
          <w:tcPr>
            <w:tcW w:w="3402" w:type="dxa"/>
            <w:vAlign w:val="center"/>
          </w:tcPr>
          <w:p>
            <w:pPr>
              <w:jc w:val="center"/>
              <w:rPr>
                <w:rFonts w:ascii="宋体" w:hAnsi="宋体" w:eastAsia="宋体" w:cs="宋体"/>
                <w:color w:val="auto"/>
                <w:sz w:val="24"/>
                <w:highlight w:val="none"/>
              </w:rPr>
            </w:pPr>
            <w:r>
              <w:rPr>
                <w:rFonts w:ascii="宋体" w:hAnsi="宋体" w:eastAsia="宋体" w:cs="宋体"/>
                <w:color w:val="auto"/>
                <w:sz w:val="24"/>
                <w:szCs w:val="24"/>
                <w:highlight w:val="none"/>
              </w:rPr>
              <w:t>广州市自来水工程有限公司</w:t>
            </w:r>
          </w:p>
        </w:tc>
        <w:tc>
          <w:tcPr>
            <w:tcW w:w="4557" w:type="dxa"/>
            <w:vAlign w:val="center"/>
          </w:tcPr>
          <w:p>
            <w:pPr>
              <w:jc w:val="center"/>
              <w:rPr>
                <w:rFonts w:ascii="宋体" w:hAnsi="宋体" w:eastAsia="宋体" w:cs="宋体"/>
                <w:color w:val="auto"/>
                <w:sz w:val="24"/>
                <w:highlight w:val="none"/>
              </w:rPr>
            </w:pPr>
            <w:r>
              <w:rPr>
                <w:rFonts w:hint="eastAsia" w:ascii="宋体" w:hAnsi="宋体" w:eastAsia="宋体" w:cs="宋体"/>
                <w:color w:val="auto"/>
                <w:sz w:val="24"/>
                <w:highlight w:val="none"/>
              </w:rPr>
              <w:t>202</w:t>
            </w:r>
            <w:r>
              <w:rPr>
                <w:rFonts w:hint="eastAsia" w:ascii="宋体" w:hAnsi="宋体" w:cs="宋体"/>
                <w:color w:val="auto"/>
                <w:sz w:val="24"/>
                <w:highlight w:val="none"/>
              </w:rPr>
              <w:t>2</w:t>
            </w:r>
            <w:r>
              <w:rPr>
                <w:rFonts w:hint="eastAsia" w:ascii="宋体" w:hAnsi="宋体" w:eastAsia="宋体" w:cs="宋体"/>
                <w:color w:val="auto"/>
                <w:sz w:val="24"/>
                <w:highlight w:val="none"/>
              </w:rPr>
              <w:t>年1月</w:t>
            </w:r>
            <w:r>
              <w:rPr>
                <w:rFonts w:hint="eastAsia" w:ascii="宋体" w:hAnsi="宋体" w:cs="宋体"/>
                <w:color w:val="auto"/>
                <w:sz w:val="24"/>
                <w:highlight w:val="none"/>
              </w:rPr>
              <w:t>1</w:t>
            </w:r>
            <w:r>
              <w:rPr>
                <w:rFonts w:hint="eastAsia" w:ascii="宋体" w:hAnsi="宋体" w:eastAsia="宋体" w:cs="宋体"/>
                <w:color w:val="auto"/>
                <w:sz w:val="24"/>
                <w:highlight w:val="none"/>
              </w:rPr>
              <w:t>至2022年</w:t>
            </w:r>
            <w:r>
              <w:rPr>
                <w:rFonts w:hint="eastAsia" w:ascii="宋体" w:hAnsi="宋体" w:cs="宋体"/>
                <w:color w:val="auto"/>
                <w:sz w:val="24"/>
                <w:highlight w:val="none"/>
              </w:rPr>
              <w:t>12</w:t>
            </w:r>
            <w:r>
              <w:rPr>
                <w:rFonts w:hint="eastAsia" w:ascii="宋体" w:hAnsi="宋体" w:eastAsia="宋体" w:cs="宋体"/>
                <w:color w:val="auto"/>
                <w:sz w:val="24"/>
                <w:highlight w:val="none"/>
              </w:rPr>
              <w:t>月</w:t>
            </w:r>
            <w:r>
              <w:rPr>
                <w:rFonts w:hint="eastAsia" w:ascii="宋体" w:hAnsi="宋体" w:cs="宋体"/>
                <w:color w:val="auto"/>
                <w:sz w:val="24"/>
                <w:highlight w:val="none"/>
              </w:rPr>
              <w:t>31</w:t>
            </w:r>
            <w:r>
              <w:rPr>
                <w:rFonts w:hint="eastAsia" w:ascii="宋体" w:hAnsi="宋体" w:eastAsia="宋体" w:cs="宋体"/>
                <w:color w:val="auto"/>
                <w:sz w:val="24"/>
                <w:highlight w:val="none"/>
              </w:rPr>
              <w:t>日</w:t>
            </w:r>
          </w:p>
        </w:tc>
      </w:tr>
    </w:tbl>
    <w:p>
      <w:pPr>
        <w:adjustRightInd w:val="0"/>
        <w:snapToGrid w:val="0"/>
        <w:spacing w:before="156" w:beforeLines="50" w:after="156" w:afterLines="50" w:line="60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10.联系方式</w:t>
      </w:r>
    </w:p>
    <w:tbl>
      <w:tblPr>
        <w:tblStyle w:val="22"/>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51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21" w:type="dxa"/>
          </w:tcPr>
          <w:p>
            <w:pPr>
              <w:adjustRightInd w:val="0"/>
              <w:snapToGrid w:val="0"/>
              <w:spacing w:line="600" w:lineRule="exact"/>
              <w:jc w:val="left"/>
              <w:rPr>
                <w:rFonts w:ascii="仿宋_GB2312" w:eastAsia="仿宋_GB2312"/>
                <w:color w:val="auto"/>
                <w:sz w:val="28"/>
                <w:szCs w:val="28"/>
                <w:highlight w:val="none"/>
              </w:rPr>
            </w:pPr>
            <w:r>
              <w:rPr>
                <w:rFonts w:ascii="仿宋_GB2312" w:eastAsia="仿宋_GB2312"/>
                <w:color w:val="auto"/>
                <w:sz w:val="28"/>
                <w:szCs w:val="28"/>
                <w:highlight w:val="none"/>
              </w:rPr>
              <w:t>采购人</w:t>
            </w:r>
            <w:r>
              <w:rPr>
                <w:rFonts w:hint="eastAsia" w:ascii="仿宋_GB2312" w:eastAsia="仿宋_GB2312"/>
                <w:color w:val="auto"/>
                <w:sz w:val="28"/>
                <w:szCs w:val="28"/>
                <w:highlight w:val="none"/>
              </w:rPr>
              <w:t>：广州市净水有限公司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121" w:type="dxa"/>
          </w:tcPr>
          <w:p>
            <w:pPr>
              <w:adjustRightInd w:val="0"/>
              <w:snapToGrid w:val="0"/>
              <w:spacing w:line="600" w:lineRule="exact"/>
              <w:jc w:val="left"/>
              <w:rPr>
                <w:rFonts w:ascii="仿宋_GB2312" w:eastAsia="仿宋_GB2312"/>
                <w:color w:val="auto"/>
                <w:sz w:val="28"/>
                <w:szCs w:val="28"/>
                <w:highlight w:val="none"/>
              </w:rPr>
            </w:pPr>
            <w:r>
              <w:rPr>
                <w:rFonts w:ascii="仿宋_GB2312" w:eastAsia="仿宋_GB2312"/>
                <w:color w:val="auto"/>
                <w:sz w:val="28"/>
                <w:szCs w:val="28"/>
                <w:highlight w:val="none"/>
              </w:rPr>
              <w:t>地</w:t>
            </w:r>
            <w:r>
              <w:rPr>
                <w:rFonts w:hint="eastAsia" w:ascii="仿宋_GB2312" w:eastAsia="仿宋_GB2312"/>
                <w:color w:val="auto"/>
                <w:sz w:val="28"/>
                <w:szCs w:val="28"/>
                <w:highlight w:val="none"/>
              </w:rPr>
              <w:t xml:space="preserve">  </w:t>
            </w:r>
            <w:r>
              <w:rPr>
                <w:rFonts w:ascii="仿宋_GB2312" w:eastAsia="仿宋_GB2312"/>
                <w:color w:val="auto"/>
                <w:sz w:val="28"/>
                <w:szCs w:val="28"/>
                <w:highlight w:val="none"/>
              </w:rPr>
              <w:t>址</w:t>
            </w:r>
            <w:r>
              <w:rPr>
                <w:rFonts w:hint="eastAsia" w:ascii="仿宋_GB2312" w:eastAsia="仿宋_GB2312"/>
                <w:color w:val="auto"/>
                <w:sz w:val="28"/>
                <w:szCs w:val="28"/>
                <w:highlight w:val="none"/>
              </w:rPr>
              <w:t>：广州市天河区临江大道501号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21" w:type="dxa"/>
          </w:tcPr>
          <w:p>
            <w:pPr>
              <w:adjustRightInd w:val="0"/>
              <w:snapToGrid w:val="0"/>
              <w:spacing w:line="600" w:lineRule="exact"/>
              <w:jc w:val="left"/>
              <w:rPr>
                <w:rFonts w:hint="default" w:ascii="仿宋_GB2312" w:eastAsia="仿宋_GB2312"/>
                <w:color w:val="auto"/>
                <w:sz w:val="28"/>
                <w:szCs w:val="28"/>
                <w:highlight w:val="none"/>
              </w:rPr>
            </w:pPr>
            <w:r>
              <w:rPr>
                <w:rFonts w:ascii="仿宋_GB2312" w:eastAsia="仿宋_GB2312"/>
                <w:color w:val="auto"/>
                <w:sz w:val="28"/>
                <w:szCs w:val="28"/>
                <w:highlight w:val="none"/>
              </w:rPr>
              <w:t>联系人</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林工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121" w:type="dxa"/>
          </w:tcPr>
          <w:p>
            <w:pPr>
              <w:adjustRightInd w:val="0"/>
              <w:snapToGrid w:val="0"/>
              <w:spacing w:line="600" w:lineRule="exact"/>
              <w:jc w:val="left"/>
              <w:rPr>
                <w:rFonts w:hint="default" w:ascii="仿宋_GB2312" w:eastAsia="仿宋_GB2312"/>
                <w:color w:val="auto"/>
                <w:sz w:val="28"/>
                <w:szCs w:val="28"/>
                <w:highlight w:val="none"/>
              </w:rPr>
            </w:pPr>
            <w:r>
              <w:rPr>
                <w:rFonts w:ascii="仿宋_GB2312" w:eastAsia="仿宋_GB2312"/>
                <w:color w:val="auto"/>
                <w:sz w:val="28"/>
                <w:szCs w:val="28"/>
                <w:highlight w:val="none"/>
              </w:rPr>
              <w:t>电</w:t>
            </w:r>
            <w:r>
              <w:rPr>
                <w:rFonts w:hint="eastAsia" w:ascii="仿宋_GB2312" w:eastAsia="仿宋_GB2312"/>
                <w:color w:val="auto"/>
                <w:sz w:val="28"/>
                <w:szCs w:val="28"/>
                <w:highlight w:val="none"/>
              </w:rPr>
              <w:t xml:space="preserve">  </w:t>
            </w:r>
            <w:r>
              <w:rPr>
                <w:rFonts w:ascii="仿宋_GB2312" w:eastAsia="仿宋_GB2312"/>
                <w:color w:val="auto"/>
                <w:sz w:val="28"/>
                <w:szCs w:val="28"/>
                <w:highlight w:val="none"/>
              </w:rPr>
              <w:t>话</w:t>
            </w:r>
            <w:r>
              <w:rPr>
                <w:rFonts w:hint="eastAsia" w:ascii="仿宋_GB2312" w:eastAsia="仿宋_GB2312"/>
                <w:color w:val="auto"/>
                <w:sz w:val="28"/>
                <w:szCs w:val="28"/>
                <w:highlight w:val="none"/>
              </w:rPr>
              <w:t>：</w:t>
            </w:r>
            <w:r>
              <w:rPr>
                <w:rFonts w:hint="eastAsia" w:ascii="仿宋_GB2312" w:eastAsia="仿宋_GB2312"/>
                <w:color w:val="auto"/>
                <w:sz w:val="28"/>
                <w:szCs w:val="28"/>
                <w:highlight w:val="none"/>
                <w:lang w:val="en-US" w:eastAsia="zh-CN"/>
              </w:rPr>
              <w:t>020-38890841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5121" w:type="dxa"/>
          </w:tcPr>
          <w:p>
            <w:pPr>
              <w:adjustRightInd w:val="0"/>
              <w:snapToGrid w:val="0"/>
              <w:spacing w:line="600" w:lineRule="exact"/>
              <w:ind w:firstLine="1680" w:firstLineChars="600"/>
              <w:jc w:val="left"/>
              <w:rPr>
                <w:rFonts w:ascii="仿宋_GB2312" w:eastAsia="仿宋_GB2312"/>
                <w:color w:val="auto"/>
                <w:sz w:val="28"/>
                <w:szCs w:val="28"/>
                <w:highlight w:val="none"/>
              </w:rPr>
            </w:pPr>
            <w:r>
              <w:rPr>
                <w:rFonts w:hint="eastAsia" w:ascii="仿宋_GB2312" w:eastAsia="仿宋_GB2312"/>
                <w:color w:val="auto"/>
                <w:sz w:val="28"/>
                <w:szCs w:val="28"/>
                <w:highlight w:val="none"/>
                <w:lang w:val="en-US" w:eastAsia="zh-CN"/>
              </w:rPr>
              <w:t xml:space="preserve">  </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2022</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rPr>
              <w:t>年</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 xml:space="preserve">11 </w:t>
            </w:r>
            <w:r>
              <w:rPr>
                <w:rFonts w:hint="eastAsia" w:ascii="仿宋_GB2312" w:eastAsia="仿宋_GB2312"/>
                <w:color w:val="auto"/>
                <w:sz w:val="28"/>
                <w:szCs w:val="28"/>
                <w:highlight w:val="none"/>
              </w:rPr>
              <w:t>月</w:t>
            </w:r>
            <w:r>
              <w:rPr>
                <w:rFonts w:hint="eastAsia" w:ascii="仿宋_GB2312" w:eastAsia="仿宋_GB2312"/>
                <w:color w:val="auto"/>
                <w:sz w:val="28"/>
                <w:szCs w:val="28"/>
                <w:highlight w:val="none"/>
                <w:u w:val="single"/>
              </w:rPr>
              <w:t xml:space="preserve"> </w:t>
            </w:r>
            <w:r>
              <w:rPr>
                <w:rFonts w:hint="eastAsia" w:ascii="仿宋_GB2312" w:eastAsia="仿宋_GB2312"/>
                <w:color w:val="auto"/>
                <w:sz w:val="28"/>
                <w:szCs w:val="28"/>
                <w:highlight w:val="none"/>
                <w:u w:val="single"/>
                <w:lang w:val="en-US" w:eastAsia="zh-CN"/>
              </w:rPr>
              <w:t xml:space="preserve">23 </w:t>
            </w:r>
            <w:r>
              <w:rPr>
                <w:rFonts w:hint="eastAsia" w:ascii="仿宋_GB2312" w:eastAsia="仿宋_GB2312"/>
                <w:color w:val="auto"/>
                <w:sz w:val="28"/>
                <w:szCs w:val="28"/>
                <w:highlight w:val="none"/>
              </w:rPr>
              <w:t>日</w:t>
            </w:r>
          </w:p>
        </w:tc>
      </w:tr>
    </w:tbl>
    <w:p>
      <w:pPr>
        <w:adjustRightInd w:val="0"/>
        <w:snapToGrid w:val="0"/>
        <w:spacing w:before="156" w:beforeLines="50" w:after="156" w:afterLines="50" w:line="600" w:lineRule="exact"/>
        <w:jc w:val="left"/>
        <w:rPr>
          <w:rFonts w:hint="eastAsia" w:asciiTheme="minorEastAsia" w:hAnsiTheme="minorEastAsia"/>
          <w:color w:val="auto"/>
          <w:sz w:val="24"/>
          <w:szCs w:val="24"/>
          <w:highlight w:val="none"/>
        </w:rPr>
      </w:pPr>
    </w:p>
    <w:p>
      <w:pPr>
        <w:adjustRightInd w:val="0"/>
        <w:snapToGrid w:val="0"/>
        <w:spacing w:before="156" w:beforeLines="50" w:after="156" w:afterLines="50" w:line="600" w:lineRule="exact"/>
        <w:jc w:val="left"/>
        <w:rPr>
          <w:rFonts w:hint="eastAsia" w:asciiTheme="minorEastAsia" w:hAnsiTheme="minorEastAsia"/>
          <w:color w:val="auto"/>
          <w:sz w:val="24"/>
          <w:szCs w:val="24"/>
          <w:highlight w:val="none"/>
        </w:rPr>
      </w:pPr>
    </w:p>
    <w:p>
      <w:pPr>
        <w:adjustRightInd w:val="0"/>
        <w:snapToGrid w:val="0"/>
        <w:spacing w:before="156" w:beforeLines="50" w:after="156" w:afterLines="50" w:line="600" w:lineRule="exact"/>
        <w:jc w:val="left"/>
        <w:rPr>
          <w:rFonts w:asciiTheme="minorEastAsia" w:hAnsiTheme="minorEastAsia"/>
          <w:color w:val="auto"/>
          <w:sz w:val="24"/>
          <w:szCs w:val="24"/>
          <w:highlight w:val="none"/>
        </w:rPr>
      </w:pPr>
      <w:r>
        <w:rPr>
          <w:rFonts w:hint="eastAsia" w:asciiTheme="minorEastAsia" w:hAnsiTheme="minorEastAsia"/>
          <w:color w:val="auto"/>
          <w:sz w:val="24"/>
          <w:szCs w:val="24"/>
          <w:highlight w:val="none"/>
        </w:rPr>
        <w:t>适用于纸质评审的采购项目</w:t>
      </w:r>
    </w:p>
    <w:p>
      <w:pPr>
        <w:pStyle w:val="4"/>
        <w:rPr>
          <w:color w:val="auto"/>
          <w:highlight w:val="none"/>
        </w:rPr>
      </w:pPr>
      <w:bookmarkStart w:id="13" w:name="_Toc10891"/>
    </w:p>
    <w:p>
      <w:pPr>
        <w:pStyle w:val="4"/>
        <w:rPr>
          <w:color w:val="auto"/>
          <w:highlight w:val="none"/>
        </w:rPr>
      </w:pPr>
      <w:bookmarkStart w:id="14" w:name="_Toc32588"/>
      <w:bookmarkStart w:id="15" w:name="_Toc2324"/>
      <w:bookmarkStart w:id="16" w:name="_Toc23749"/>
      <w:bookmarkStart w:id="17" w:name="_Toc9448"/>
      <w:bookmarkStart w:id="18" w:name="_Toc16557"/>
      <w:bookmarkStart w:id="19" w:name="_Toc2331"/>
      <w:bookmarkStart w:id="20" w:name="_Toc19295"/>
      <w:bookmarkStart w:id="21" w:name="_Toc7340"/>
      <w:bookmarkStart w:id="22" w:name="_Toc16705"/>
      <w:bookmarkStart w:id="23" w:name="_Toc25603"/>
    </w:p>
    <w:p>
      <w:pPr>
        <w:pStyle w:val="4"/>
        <w:rPr>
          <w:color w:val="auto"/>
          <w:highlight w:val="none"/>
        </w:rPr>
      </w:pPr>
      <w:r>
        <w:rPr>
          <w:color w:val="auto"/>
          <w:highlight w:val="none"/>
        </w:rPr>
        <mc:AlternateContent>
          <mc:Choice Requires="wps">
            <w:drawing>
              <wp:anchor distT="0" distB="0" distL="114300" distR="114300" simplePos="0" relativeHeight="251675648" behindDoc="0" locked="0" layoutInCell="1" allowOverlap="1">
                <wp:simplePos x="0" y="0"/>
                <wp:positionH relativeFrom="column">
                  <wp:posOffset>2348865</wp:posOffset>
                </wp:positionH>
                <wp:positionV relativeFrom="paragraph">
                  <wp:posOffset>539115</wp:posOffset>
                </wp:positionV>
                <wp:extent cx="958850" cy="0"/>
                <wp:effectExtent l="0" t="0" r="0" b="0"/>
                <wp:wrapNone/>
                <wp:docPr id="15" name="自选图形 18"/>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8" o:spid="_x0000_s1026" o:spt="32" type="#_x0000_t32" style="position:absolute;left:0pt;margin-left:184.95pt;margin-top:42.45pt;height:0pt;width:75.5pt;z-index:251675648;mso-width-relative:page;mso-height-relative:page;" filled="f" stroked="t" coordsize="21600,21600" o:gfxdata="UEsDBAoAAAAAAIdO4kAAAAAAAAAAAAAAAAAEAAAAZHJzL1BLAwQUAAAACACHTuJAU4m1cNcAAAAJ&#10;AQAADwAAAGRycy9kb3ducmV2LnhtbE2PzU7DMBCE70h9B2srcUHUTqBVE+JUVSUOHGkrcXXjJQnE&#10;6yh2mtKnZxEHOO3faObbYnNxnTjjEFpPGpKFAoFUedtSreF4eL5fgwjRkDWdJ9TwhQE25eymMLn1&#10;E73ieR9rwSYUcqOhibHPpQxVg86Ehe+R+PbuB2cij0Mt7WAmNnedTJVaSWda4oTG9LhrsPrcj04D&#10;hnGZqG3m6uPLdbp7S68fU3/Q+naeqCcQES/xTww/+IwOJTOd/Eg2iE7DwyrLWKph/ciVBctUcXP6&#10;XciykP8/KL8BUEsDBBQAAAAIAIdO4kCSR4vt8wEAAOQDAAAOAAAAZHJzL2Uyb0RvYy54bWytU72O&#10;EzEQ7pF4B8s92SRSUFhlc0XC0SA4CXiAie3dteQ/eXzZpKNDPAMdJe8Ab3MSvAVjby4HR5OCLbxj&#10;z8w3830er64O1rC9iqi9a/hsMuVMOeGldl3DP7y/frbkDBM4CcY71fCjQn61fvpkNYRazX3vjVSR&#10;EYjDeggN71MKdVWh6JUFnPigHDlbHy0k2saukhEGQremmk+nz6vBRxmiFwqRTrejk58Q4yWAvm21&#10;UFsvbq1yaUSNykAiStjrgHxdum1bJdLbtkWVmGk4MU1lpSJk7/JarVdQdxFCr8WpBbikhUecLGhH&#10;Rc9QW0jAbqP+B8pqET36Nk2Et9VIpChCLGbTR9q86yGowoWkxnAWHf8frHizv4lMS5qEBWcOLN34&#10;z0/ffn38fPflx933r2y2zBoNAWsK3bibeNphuImZ8KGNNv+JCjsUXY9nXdUhMUGHLxbL5YIUF/eu&#10;6iEvREyvlLcsGw3HFEF3fdp45+jyfJwVWWH/GhNVpsT7hFzUODZk+Dn1LoCGsaUhINMGIoSuK7no&#10;jZbX2picgbHbbUxke8gDUb7Mj3D/CstFtoD9GFdc46j0CuRLJ1k6BlLK0QvhuQWrJGdG0YPKFgFC&#10;nUCbSyKptHHUQZZ4FDVbOy+PRetyTpdfejwNap6uP/cl++Fxrn8D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U4m1cNcAAAAJAQAADwAAAAAAAAABACAAAAAiAAAAZHJzL2Rvd25yZXYueG1sUEsBAhQA&#10;FAAAAAgAh07iQJJHi+3zAQAA5AMAAA4AAAAAAAAAAQAgAAAAJgEAAGRycy9lMm9Eb2MueG1sUEsF&#10;BgAAAAAGAAYAWQEAAIsFA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74624" behindDoc="0" locked="0" layoutInCell="1" allowOverlap="1">
                <wp:simplePos x="0" y="0"/>
                <wp:positionH relativeFrom="column">
                  <wp:posOffset>2348230</wp:posOffset>
                </wp:positionH>
                <wp:positionV relativeFrom="paragraph">
                  <wp:posOffset>107950</wp:posOffset>
                </wp:positionV>
                <wp:extent cx="958850" cy="0"/>
                <wp:effectExtent l="0" t="0" r="0" b="0"/>
                <wp:wrapNone/>
                <wp:docPr id="14" name="自选图形 19"/>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9" o:spid="_x0000_s1026" o:spt="32" type="#_x0000_t32" style="position:absolute;left:0pt;margin-left:184.9pt;margin-top:8.5pt;height:0pt;width:75.5pt;z-index:251674624;mso-width-relative:page;mso-height-relative:page;" filled="f" stroked="t" coordsize="21600,21600" o:gfxdata="UEsDBAoAAAAAAIdO4kAAAAAAAAAAAAAAAAAEAAAAZHJzL1BLAwQUAAAACACHTuJAIK2LetYAAAAJ&#10;AQAADwAAAGRycy9kb3ducmV2LnhtbE2PwW7CMBBE75X4B2uReqmKnVRQSOMgVKmHHgtIvZp4SVLi&#10;dRQ7hPL13aoHetyZ0eybfH1xrThjHxpPGpKZAoFUettQpWG/e3tcggjRkDWtJ9TwjQHWxeQuN5n1&#10;I33geRsrwSUUMqOhjrHLpAxljc6Eme+Q2Dv63pnIZ19J25uRy10rU6UW0pmG+ENtOnytsTxtB6cB&#10;wzBP1Gblqv37dXz4TK9fY7fT+n6aqBcQES/xFoZffEaHgpkOfiAbRKvhabFi9MjGM2/iwDxVLBz+&#10;BFnk8v+C4gdQSwMEFAAAAAgAh07iQO3C9W3zAQAA5AMAAA4AAABkcnMvZTJvRG9jLnhtbK1TvY4T&#10;MRDukXgHyz3ZJCIot8rmioSjQRAJeICJ7c1a8p88vmzS0SGegY6Sd4C3OQnegrE3l4OjScEW3rFn&#10;5pv5Po8X1wdr2F5F1N41fDIac6ac8FK7XcM/vL95NucMEzgJxjvV8KNCfr18+mTRh1pNfeeNVJER&#10;iMO6Dw3vUgp1VaHolAUc+aAcOVsfLSTaxl0lI/SEbk01HY9fVL2PMkQvFCKdrgcnPyHGSwB922qh&#10;1l7cWuXSgBqVgUSUsNMB+bJ027ZKpLdtiyox03BimspKRcje5rVaLqDeRQidFqcW4JIWHnGyoB0V&#10;PUOtIQG7jfofKKtF9OjbNBLeVgORogixmIwfafOug6AKF5Iaw1l0/H+w4s1+E5mWNAnPOXNg6cZ/&#10;fvr26+Pnuy8/7r5/ZZOrrFEfsKbQldvE0w7DJmbChzba/Ccq7FB0PZ51VYfEBB1ezebzGSku7l3V&#10;Q16ImF4pb1k2Go4pgt51aeWdo8vzcVJkhf1rTFSZEu8TclHjWJ/hpzMCBxrGloaATBuIELpdyUVv&#10;tLzRxuQMjLvtykS2hzwQ5cv8CPevsFxkDdgNccU1jEqnQL50kqVjIKUcvRCeW7BKcmYUPahsESDU&#10;CbS5JJJKG0cdZIkHUbO19fJYtC7ndPmlx9Og5un6c1+yHx7n8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grYt61gAAAAkBAAAPAAAAAAAAAAEAIAAAACIAAABkcnMvZG93bnJldi54bWxQSwECFAAU&#10;AAAACACHTuJA7cL1bfMBAADkAwAADgAAAAAAAAABACAAAAAlAQAAZHJzL2Uyb0RvYy54bWxQSwUG&#10;AAAAAAYABgBZAQAAigUAAAAA&#10;">
                <v:fill on="f" focussize="0,0"/>
                <v:stroke color="#000000" joinstyle="round"/>
                <v:imagedata o:title=""/>
                <o:lock v:ext="edit" aspectratio="f"/>
              </v:shape>
            </w:pict>
          </mc:Fallback>
        </mc:AlternateContent>
      </w:r>
      <w:r>
        <w:rPr>
          <w:rFonts w:hint="eastAsia"/>
          <w:color w:val="auto"/>
          <w:highlight w:val="none"/>
        </w:rPr>
        <w:t>第二章</w:t>
      </w:r>
      <w:bookmarkEnd w:id="13"/>
      <w:bookmarkEnd w:id="14"/>
      <w:bookmarkEnd w:id="15"/>
      <w:bookmarkEnd w:id="16"/>
      <w:bookmarkEnd w:id="17"/>
      <w:bookmarkEnd w:id="18"/>
      <w:bookmarkEnd w:id="19"/>
      <w:bookmarkEnd w:id="20"/>
      <w:bookmarkEnd w:id="21"/>
      <w:bookmarkEnd w:id="22"/>
      <w:bookmarkEnd w:id="23"/>
    </w:p>
    <w:p>
      <w:pPr>
        <w:pStyle w:val="5"/>
        <w:rPr>
          <w:color w:val="auto"/>
          <w:highlight w:val="none"/>
        </w:rPr>
      </w:pPr>
    </w:p>
    <w:p>
      <w:pPr>
        <w:pStyle w:val="5"/>
        <w:rPr>
          <w:color w:val="auto"/>
          <w:highlight w:val="none"/>
        </w:rPr>
      </w:pPr>
      <w:bookmarkStart w:id="24" w:name="_Toc3416"/>
      <w:bookmarkStart w:id="25" w:name="_Toc2339"/>
      <w:r>
        <w:rPr>
          <w:rFonts w:hint="eastAsia"/>
          <w:color w:val="auto"/>
          <w:highlight w:val="none"/>
        </w:rPr>
        <w:t>供应商须知</w:t>
      </w:r>
      <w:bookmarkEnd w:id="24"/>
      <w:bookmarkEnd w:id="25"/>
    </w:p>
    <w:p>
      <w:pPr>
        <w:adjustRightInd w:val="0"/>
        <w:snapToGrid w:val="0"/>
        <w:spacing w:before="156" w:beforeLines="50" w:after="156" w:afterLines="50" w:line="600" w:lineRule="exact"/>
        <w:ind w:left="643" w:hanging="643" w:hangingChars="200"/>
        <w:jc w:val="left"/>
        <w:rPr>
          <w:rFonts w:asciiTheme="minorEastAsia" w:hAnsiTheme="minorEastAsia"/>
          <w:b/>
          <w:color w:val="auto"/>
          <w:sz w:val="32"/>
          <w:szCs w:val="32"/>
          <w:highlight w:val="none"/>
        </w:rPr>
      </w:pPr>
    </w:p>
    <w:p>
      <w:pPr>
        <w:adjustRightInd w:val="0"/>
        <w:snapToGrid w:val="0"/>
        <w:spacing w:before="156" w:beforeLines="50" w:after="156" w:afterLines="50" w:line="600" w:lineRule="exact"/>
        <w:ind w:left="643" w:hanging="643" w:hangingChars="200"/>
        <w:jc w:val="left"/>
        <w:rPr>
          <w:rFonts w:asciiTheme="minorEastAsia" w:hAnsiTheme="minorEastAsia"/>
          <w:b/>
          <w:color w:val="auto"/>
          <w:sz w:val="32"/>
          <w:szCs w:val="32"/>
          <w:highlight w:val="none"/>
        </w:rPr>
      </w:pPr>
    </w:p>
    <w:p>
      <w:pPr>
        <w:adjustRightInd w:val="0"/>
        <w:snapToGrid w:val="0"/>
        <w:spacing w:before="156" w:beforeLines="50" w:after="156" w:afterLines="50" w:line="600" w:lineRule="exact"/>
        <w:ind w:left="643" w:hanging="643" w:hangingChars="200"/>
        <w:jc w:val="left"/>
        <w:rPr>
          <w:rFonts w:asciiTheme="minorEastAsia" w:hAnsiTheme="minorEastAsia"/>
          <w:b/>
          <w:color w:val="auto"/>
          <w:sz w:val="32"/>
          <w:szCs w:val="32"/>
          <w:highlight w:val="none"/>
        </w:rPr>
      </w:pPr>
    </w:p>
    <w:p>
      <w:pPr>
        <w:adjustRightInd w:val="0"/>
        <w:snapToGrid w:val="0"/>
        <w:spacing w:before="156" w:beforeLines="50" w:after="156" w:afterLines="50" w:line="600" w:lineRule="exact"/>
        <w:ind w:left="643" w:hanging="643" w:hangingChars="200"/>
        <w:jc w:val="left"/>
        <w:rPr>
          <w:rFonts w:asciiTheme="minorEastAsia" w:hAnsiTheme="minorEastAsia"/>
          <w:b/>
          <w:color w:val="auto"/>
          <w:sz w:val="32"/>
          <w:szCs w:val="32"/>
          <w:highlight w:val="none"/>
        </w:rPr>
      </w:pPr>
    </w:p>
    <w:p>
      <w:pPr>
        <w:pStyle w:val="2"/>
        <w:rPr>
          <w:rFonts w:asciiTheme="minorEastAsia" w:hAnsiTheme="minorEastAsia"/>
          <w:b/>
          <w:color w:val="auto"/>
          <w:sz w:val="32"/>
          <w:szCs w:val="32"/>
          <w:highlight w:val="none"/>
        </w:rPr>
      </w:pPr>
    </w:p>
    <w:p>
      <w:pPr>
        <w:pStyle w:val="2"/>
        <w:rPr>
          <w:rFonts w:asciiTheme="minorEastAsia" w:hAnsiTheme="minorEastAsia"/>
          <w:b/>
          <w:color w:val="auto"/>
          <w:sz w:val="32"/>
          <w:szCs w:val="32"/>
          <w:highlight w:val="none"/>
        </w:rPr>
      </w:pPr>
    </w:p>
    <w:p>
      <w:pPr>
        <w:pStyle w:val="2"/>
        <w:rPr>
          <w:rFonts w:asciiTheme="minorEastAsia" w:hAnsiTheme="minorEastAsia"/>
          <w:b/>
          <w:color w:val="auto"/>
          <w:sz w:val="32"/>
          <w:szCs w:val="32"/>
          <w:highlight w:val="none"/>
        </w:rPr>
      </w:pPr>
    </w:p>
    <w:p>
      <w:pPr>
        <w:pStyle w:val="2"/>
        <w:rPr>
          <w:rFonts w:asciiTheme="minorEastAsia" w:hAnsiTheme="minorEastAsia"/>
          <w:b/>
          <w:color w:val="auto"/>
          <w:sz w:val="32"/>
          <w:szCs w:val="32"/>
          <w:highlight w:val="none"/>
        </w:rPr>
      </w:pPr>
    </w:p>
    <w:p>
      <w:pPr>
        <w:pStyle w:val="2"/>
        <w:ind w:firstLine="0"/>
        <w:rPr>
          <w:color w:val="auto"/>
          <w:highlight w:val="none"/>
        </w:rPr>
      </w:pPr>
    </w:p>
    <w:p>
      <w:pPr>
        <w:numPr>
          <w:ilvl w:val="0"/>
          <w:numId w:val="4"/>
        </w:numPr>
        <w:adjustRightInd w:val="0"/>
        <w:snapToGrid w:val="0"/>
        <w:spacing w:before="156" w:beforeLines="50" w:after="156" w:afterLines="50" w:line="500" w:lineRule="exact"/>
        <w:ind w:left="643" w:hanging="643"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对供应商的资格要求.</w:t>
      </w:r>
    </w:p>
    <w:p>
      <w:pPr>
        <w:pStyle w:val="2"/>
        <w:numPr>
          <w:ilvl w:val="255"/>
          <w:numId w:val="0"/>
        </w:numPr>
        <w:rPr>
          <w:color w:val="auto"/>
          <w:highlight w:val="none"/>
        </w:rPr>
      </w:pPr>
      <w:r>
        <w:rPr>
          <w:rFonts w:hint="eastAsia"/>
          <w:color w:val="auto"/>
          <w:highlight w:val="none"/>
        </w:rPr>
        <w:t>详见第一章采购公告（采购邀请书）3.供应商资格要求</w:t>
      </w:r>
    </w:p>
    <w:p>
      <w:pPr>
        <w:adjustRightInd w:val="0"/>
        <w:snapToGrid w:val="0"/>
        <w:spacing w:line="600" w:lineRule="exact"/>
        <w:jc w:val="left"/>
        <w:rPr>
          <w:rFonts w:ascii="仿宋_GB2312" w:eastAsia="仿宋_GB2312"/>
          <w:color w:val="auto"/>
          <w:sz w:val="28"/>
          <w:szCs w:val="28"/>
          <w:highlight w:val="none"/>
        </w:rPr>
      </w:pPr>
      <w:r>
        <w:rPr>
          <w:rFonts w:hint="eastAsia" w:asciiTheme="minorEastAsia" w:hAnsiTheme="minorEastAsia"/>
          <w:b/>
          <w:color w:val="auto"/>
          <w:sz w:val="32"/>
          <w:szCs w:val="32"/>
          <w:highlight w:val="none"/>
        </w:rPr>
        <w:t>2.  本次交易一般规则.</w:t>
      </w:r>
      <w:r>
        <w:rPr>
          <w:rFonts w:ascii="仿宋_GB2312" w:eastAsia="仿宋_GB2312"/>
          <w:color w:val="auto"/>
          <w:sz w:val="28"/>
          <w:szCs w:val="28"/>
          <w:highlight w:val="none"/>
        </w:rPr>
        <w:t>表</w:t>
      </w:r>
      <w:r>
        <w:rPr>
          <w:rFonts w:hint="eastAsia" w:ascii="仿宋_GB2312" w:eastAsia="仿宋_GB2312"/>
          <w:color w:val="auto"/>
          <w:sz w:val="28"/>
          <w:szCs w:val="28"/>
          <w:highlight w:val="none"/>
        </w:rPr>
        <w:t>1.1</w:t>
      </w:r>
    </w:p>
    <w:tbl>
      <w:tblPr>
        <w:tblStyle w:val="22"/>
        <w:tblW w:w="91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5"/>
        <w:gridCol w:w="936"/>
        <w:gridCol w:w="1263"/>
        <w:gridCol w:w="5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7" w:hRule="atLeast"/>
          <w:tblHeader/>
        </w:trPr>
        <w:tc>
          <w:tcPr>
            <w:tcW w:w="925" w:type="dxa"/>
            <w:tcBorders>
              <w:left w:val="nil"/>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阶段</w:t>
            </w:r>
          </w:p>
        </w:tc>
        <w:tc>
          <w:tcPr>
            <w:tcW w:w="936" w:type="dxa"/>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条款</w:t>
            </w:r>
          </w:p>
        </w:tc>
        <w:tc>
          <w:tcPr>
            <w:tcW w:w="1263" w:type="dxa"/>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项目</w:t>
            </w:r>
          </w:p>
        </w:tc>
        <w:tc>
          <w:tcPr>
            <w:tcW w:w="5979" w:type="dxa"/>
            <w:tcBorders>
              <w:righ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准备</w:t>
            </w:r>
          </w:p>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及其</w:t>
            </w:r>
          </w:p>
          <w:p>
            <w:pPr>
              <w:jc w:val="center"/>
              <w:rPr>
                <w:rFonts w:ascii="仿宋_GB2312" w:eastAsia="仿宋_GB2312"/>
                <w:color w:val="auto"/>
                <w:sz w:val="24"/>
                <w:szCs w:val="24"/>
                <w:highlight w:val="none"/>
              </w:rPr>
            </w:pPr>
            <w:r>
              <w:rPr>
                <w:rFonts w:ascii="仿宋_GB2312" w:eastAsia="仿宋_GB2312"/>
                <w:color w:val="auto"/>
                <w:sz w:val="24"/>
                <w:szCs w:val="24"/>
                <w:highlight w:val="none"/>
              </w:rPr>
              <w:t>响应</w:t>
            </w:r>
          </w:p>
        </w:tc>
        <w:tc>
          <w:tcPr>
            <w:tcW w:w="936"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2.1</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采购文件组成</w:t>
            </w:r>
          </w:p>
        </w:tc>
        <w:tc>
          <w:tcPr>
            <w:tcW w:w="5979" w:type="dxa"/>
            <w:tcBorders>
              <w:right w:val="nil"/>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hAnsiTheme="minorEastAsia"/>
                <w:color w:val="auto"/>
                <w:sz w:val="24"/>
                <w:szCs w:val="24"/>
                <w:highlight w:val="none"/>
              </w:rPr>
              <w:t>（1）采购公告（采购邀请书）</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（2）供应商须知</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（3）采购方式</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w:t>
            </w:r>
            <w:r>
              <w:rPr>
                <w:rFonts w:ascii="仿宋_GB2312" w:eastAsia="仿宋_GB2312"/>
                <w:color w:val="auto"/>
                <w:sz w:val="24"/>
                <w:szCs w:val="24"/>
                <w:highlight w:val="none"/>
              </w:rPr>
              <w:t>4</w:t>
            </w:r>
            <w:r>
              <w:rPr>
                <w:rFonts w:hint="eastAsia" w:ascii="仿宋_GB2312" w:eastAsia="仿宋_GB2312"/>
                <w:color w:val="auto"/>
                <w:sz w:val="24"/>
                <w:szCs w:val="24"/>
                <w:highlight w:val="none"/>
              </w:rPr>
              <w:t>）评审办法</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（5）采购需求</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（6）合同草案</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（7）响应文件</w:t>
            </w:r>
          </w:p>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（8）在采购过程中由采购单位发出的修正和补充文件等（如有）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925" w:type="dxa"/>
            <w:vMerge w:val="continue"/>
            <w:tcBorders>
              <w:left w:val="nil"/>
            </w:tcBorders>
            <w:vAlign w:val="center"/>
          </w:tcPr>
          <w:p>
            <w:pPr>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2.2</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采购文件的澄清和修改</w:t>
            </w:r>
          </w:p>
        </w:tc>
        <w:tc>
          <w:tcPr>
            <w:tcW w:w="5979" w:type="dxa"/>
            <w:tcBorders>
              <w:right w:val="nil"/>
            </w:tcBorders>
            <w:vAlign w:val="center"/>
          </w:tcPr>
          <w:p>
            <w:pPr>
              <w:adjustRightInd w:val="0"/>
              <w:snapToGrid w:val="0"/>
              <w:rPr>
                <w:rFonts w:ascii="仿宋_GB2312" w:eastAsia="仿宋_GB2312"/>
                <w:color w:val="auto"/>
                <w:sz w:val="24"/>
                <w:szCs w:val="24"/>
                <w:highlight w:val="none"/>
              </w:rPr>
            </w:pPr>
            <w:r>
              <w:rPr>
                <w:rFonts w:hint="eastAsia" w:ascii="仿宋_GB2312" w:eastAsia="仿宋_GB2312"/>
                <w:color w:val="auto"/>
                <w:sz w:val="24"/>
                <w:szCs w:val="24"/>
                <w:highlight w:val="none"/>
              </w:rPr>
              <w:t>1.2.1供应商对采购文件有疑问的，应当</w:t>
            </w:r>
            <w:r>
              <w:rPr>
                <w:rFonts w:ascii="仿宋_GB2312" w:eastAsia="仿宋_GB2312"/>
                <w:color w:val="auto"/>
                <w:sz w:val="24"/>
                <w:szCs w:val="24"/>
                <w:highlight w:val="none"/>
              </w:rPr>
              <w:t>在提交</w:t>
            </w:r>
            <w:r>
              <w:rPr>
                <w:rFonts w:hint="eastAsia" w:ascii="仿宋_GB2312" w:eastAsia="仿宋_GB2312"/>
                <w:color w:val="auto"/>
                <w:sz w:val="24"/>
                <w:szCs w:val="24"/>
                <w:highlight w:val="none"/>
              </w:rPr>
              <w:t>响应文件截止之日</w:t>
            </w:r>
            <w:r>
              <w:rPr>
                <w:rFonts w:hint="eastAsia" w:ascii="仿宋_GB2312" w:eastAsia="仿宋_GB2312"/>
                <w:color w:val="auto"/>
                <w:sz w:val="24"/>
                <w:szCs w:val="24"/>
                <w:highlight w:val="none"/>
                <w:u w:val="single"/>
              </w:rPr>
              <w:t>2</w:t>
            </w:r>
            <w:r>
              <w:rPr>
                <w:rFonts w:ascii="仿宋_GB2312" w:eastAsia="仿宋_GB2312"/>
                <w:color w:val="auto"/>
                <w:sz w:val="24"/>
                <w:szCs w:val="24"/>
                <w:highlight w:val="none"/>
              </w:rPr>
              <w:t>个工作日前</w:t>
            </w:r>
            <w:r>
              <w:rPr>
                <w:rFonts w:hint="eastAsia" w:ascii="仿宋_GB2312" w:eastAsia="仿宋_GB2312"/>
                <w:color w:val="auto"/>
                <w:sz w:val="24"/>
                <w:szCs w:val="24"/>
                <w:highlight w:val="none"/>
              </w:rPr>
              <w:t>，以书面形式提出。</w:t>
            </w:r>
          </w:p>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1.2.2采购人可根据供应商的要求或主动对采购文件进行澄清和修改。澄清或修改的内容以补充文件形式发布，采购人可视具体情况在补充文件中通知供应商推迟递交响应文件的截止时间。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5" w:type="dxa"/>
            <w:vMerge w:val="continue"/>
            <w:tcBorders>
              <w:left w:val="nil"/>
            </w:tcBorders>
            <w:vAlign w:val="center"/>
          </w:tcPr>
          <w:p>
            <w:pPr>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2.3</w:t>
            </w:r>
          </w:p>
          <w:p>
            <w:pPr>
              <w:adjustRightInd w:val="0"/>
              <w:snapToGrid w:val="0"/>
              <w:jc w:val="center"/>
              <w:rPr>
                <w:color w:val="auto"/>
                <w:sz w:val="24"/>
                <w:szCs w:val="24"/>
                <w:highlight w:val="none"/>
              </w:rPr>
            </w:pPr>
          </w:p>
        </w:tc>
        <w:tc>
          <w:tcPr>
            <w:tcW w:w="1263" w:type="dxa"/>
            <w:vAlign w:val="center"/>
          </w:tcPr>
          <w:p>
            <w:pPr>
              <w:adjustRightInd w:val="0"/>
              <w:snapToGrid w:val="0"/>
              <w:jc w:val="left"/>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踏勘现场</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详见采购公告（采购邀请书）5.踏勘现场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925" w:type="dxa"/>
            <w:vMerge w:val="continue"/>
            <w:tcBorders>
              <w:left w:val="nil"/>
            </w:tcBorders>
            <w:vAlign w:val="center"/>
          </w:tcPr>
          <w:p>
            <w:pPr>
              <w:jc w:val="center"/>
              <w:rPr>
                <w:rFonts w:ascii="Calibri" w:hAnsi="Calibri" w:eastAsia="宋体" w:cs="Times New Roman"/>
                <w:b/>
                <w:bCs/>
                <w:color w:val="auto"/>
                <w:sz w:val="24"/>
                <w:szCs w:val="24"/>
                <w:highlight w:val="none"/>
              </w:rPr>
            </w:pPr>
          </w:p>
        </w:tc>
        <w:tc>
          <w:tcPr>
            <w:tcW w:w="936"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2.4</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分包</w:t>
            </w:r>
          </w:p>
        </w:tc>
        <w:tc>
          <w:tcPr>
            <w:tcW w:w="5979" w:type="dxa"/>
            <w:tcBorders>
              <w:right w:val="nil"/>
            </w:tcBorders>
            <w:vAlign w:val="center"/>
          </w:tcPr>
          <w:p>
            <w:pPr>
              <w:adjustRightInd w:val="0"/>
              <w:snapToGrid w:val="0"/>
              <w:jc w:val="left"/>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本项目</w:t>
            </w:r>
            <w:r>
              <w:rPr>
                <w:rFonts w:hint="eastAsia" w:ascii="仿宋_GB2312" w:eastAsia="仿宋_GB2312"/>
                <w:color w:val="auto"/>
                <w:sz w:val="24"/>
                <w:szCs w:val="24"/>
                <w:highlight w:val="none"/>
              </w:rPr>
              <w:t>不允许分包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925" w:type="dxa"/>
            <w:vMerge w:val="continue"/>
            <w:tcBorders>
              <w:left w:val="nil"/>
            </w:tcBorders>
            <w:vAlign w:val="center"/>
          </w:tcPr>
          <w:p>
            <w:pPr>
              <w:jc w:val="center"/>
              <w:rPr>
                <w:color w:val="auto"/>
                <w:sz w:val="24"/>
                <w:szCs w:val="24"/>
                <w:highlight w:val="none"/>
              </w:rPr>
            </w:pPr>
          </w:p>
        </w:tc>
        <w:tc>
          <w:tcPr>
            <w:tcW w:w="936"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2.5</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响应截止时间</w:t>
            </w:r>
          </w:p>
        </w:tc>
        <w:tc>
          <w:tcPr>
            <w:tcW w:w="5979" w:type="dxa"/>
            <w:tcBorders>
              <w:right w:val="nil"/>
            </w:tcBorders>
            <w:vAlign w:val="center"/>
          </w:tcPr>
          <w:p>
            <w:pPr>
              <w:adjustRightInd w:val="0"/>
              <w:snapToGrid w:val="0"/>
              <w:jc w:val="left"/>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详见采购公告（采购邀请书）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3"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准备</w:t>
            </w:r>
          </w:p>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及其</w:t>
            </w:r>
          </w:p>
          <w:p>
            <w:pPr>
              <w:jc w:val="center"/>
              <w:rPr>
                <w:color w:val="auto"/>
                <w:sz w:val="24"/>
                <w:szCs w:val="24"/>
                <w:highlight w:val="none"/>
              </w:rPr>
            </w:pPr>
            <w:r>
              <w:rPr>
                <w:rFonts w:ascii="仿宋_GB2312" w:eastAsia="仿宋_GB2312"/>
                <w:color w:val="auto"/>
                <w:sz w:val="24"/>
                <w:szCs w:val="24"/>
                <w:highlight w:val="none"/>
              </w:rPr>
              <w:t>响应</w:t>
            </w:r>
          </w:p>
        </w:tc>
        <w:tc>
          <w:tcPr>
            <w:tcW w:w="936"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2.6</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最高限价及低价说明</w:t>
            </w:r>
          </w:p>
        </w:tc>
        <w:tc>
          <w:tcPr>
            <w:tcW w:w="5979" w:type="dxa"/>
            <w:tcBorders>
              <w:right w:val="nil"/>
            </w:tcBorders>
            <w:vAlign w:val="center"/>
          </w:tcPr>
          <w:p>
            <w:pPr>
              <w:adjustRightInd w:val="0"/>
              <w:snapToGrid w:val="0"/>
              <w:jc w:val="left"/>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详见采购公告（采购邀请书）；若报价低于本项目最高限价的60%，必须说明报价理由。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925" w:type="dxa"/>
            <w:vMerge w:val="continue"/>
            <w:tcBorders>
              <w:left w:val="nil"/>
            </w:tcBorders>
            <w:vAlign w:val="center"/>
          </w:tcPr>
          <w:p>
            <w:pPr>
              <w:jc w:val="center"/>
              <w:rPr>
                <w:color w:val="auto"/>
                <w:sz w:val="24"/>
                <w:szCs w:val="24"/>
                <w:highlight w:val="none"/>
              </w:rPr>
            </w:pPr>
          </w:p>
        </w:tc>
        <w:tc>
          <w:tcPr>
            <w:tcW w:w="936"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2.7</w:t>
            </w:r>
          </w:p>
          <w:p>
            <w:pPr>
              <w:adjustRightInd w:val="0"/>
              <w:snapToGrid w:val="0"/>
              <w:jc w:val="center"/>
              <w:rPr>
                <w:rFonts w:ascii="仿宋_GB2312" w:eastAsia="仿宋_GB2312"/>
                <w:color w:val="auto"/>
                <w:sz w:val="24"/>
                <w:szCs w:val="24"/>
                <w:highlight w:val="none"/>
              </w:rPr>
            </w:pP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响应文件有效期</w:t>
            </w:r>
          </w:p>
        </w:tc>
        <w:tc>
          <w:tcPr>
            <w:tcW w:w="5979" w:type="dxa"/>
            <w:tcBorders>
              <w:right w:val="nil"/>
            </w:tcBorders>
            <w:vAlign w:val="center"/>
          </w:tcPr>
          <w:p>
            <w:pPr>
              <w:adjustRightInd w:val="0"/>
              <w:snapToGrid w:val="0"/>
              <w:ind w:firstLine="480" w:firstLineChars="200"/>
              <w:rPr>
                <w:rFonts w:ascii="仿宋_GB2312" w:eastAsia="仿宋_GB2312" w:hAnsiTheme="minorEastAsia"/>
                <w:color w:val="auto"/>
                <w:sz w:val="24"/>
                <w:szCs w:val="24"/>
                <w:highlight w:val="none"/>
                <w:u w:val="single"/>
              </w:rPr>
            </w:pPr>
            <w:r>
              <w:rPr>
                <w:rFonts w:hint="eastAsia" w:ascii="仿宋_GB2312" w:eastAsia="仿宋_GB2312" w:hAnsiTheme="minorEastAsia"/>
                <w:color w:val="auto"/>
                <w:sz w:val="24"/>
                <w:szCs w:val="24"/>
                <w:highlight w:val="none"/>
                <w:u w:val="single"/>
              </w:rPr>
              <w:t>90个</w:t>
            </w:r>
            <w:r>
              <w:rPr>
                <w:rFonts w:hint="eastAsia" w:ascii="仿宋_GB2312" w:eastAsia="仿宋_GB2312" w:hAnsiTheme="minorEastAsia"/>
                <w:color w:val="auto"/>
                <w:sz w:val="24"/>
                <w:szCs w:val="24"/>
                <w:highlight w:val="none"/>
              </w:rPr>
              <w:t>日历天（从响应文件递交截止日算起）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准备</w:t>
            </w:r>
          </w:p>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及其</w:t>
            </w:r>
          </w:p>
          <w:p>
            <w:pPr>
              <w:adjustRightInd w:val="0"/>
              <w:snapToGrid w:val="0"/>
              <w:jc w:val="center"/>
              <w:rPr>
                <w:color w:val="auto"/>
                <w:sz w:val="24"/>
                <w:szCs w:val="24"/>
                <w:highlight w:val="none"/>
              </w:rPr>
            </w:pPr>
            <w:r>
              <w:rPr>
                <w:rFonts w:ascii="仿宋_GB2312" w:eastAsia="仿宋_GB2312"/>
                <w:color w:val="auto"/>
                <w:sz w:val="24"/>
                <w:szCs w:val="24"/>
                <w:highlight w:val="none"/>
              </w:rPr>
              <w:t>响应</w:t>
            </w:r>
          </w:p>
        </w:tc>
        <w:tc>
          <w:tcPr>
            <w:tcW w:w="936"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2.8</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响应文件份数</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 xml:space="preserve">纸质文件正本1份，副本 </w:t>
            </w:r>
            <w:r>
              <w:rPr>
                <w:rFonts w:hint="eastAsia" w:ascii="仿宋_GB2312" w:eastAsia="仿宋_GB2312" w:hAnsiTheme="minorEastAsia"/>
                <w:color w:val="auto"/>
                <w:sz w:val="24"/>
                <w:szCs w:val="24"/>
                <w:highlight w:val="none"/>
                <w:u w:val="single"/>
              </w:rPr>
              <w:t>1</w:t>
            </w:r>
            <w:r>
              <w:rPr>
                <w:rFonts w:hint="eastAsia" w:ascii="仿宋_GB2312" w:eastAsia="仿宋_GB2312" w:hAnsiTheme="minorEastAsia"/>
                <w:color w:val="auto"/>
                <w:sz w:val="24"/>
                <w:szCs w:val="24"/>
                <w:highlight w:val="none"/>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2"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2.9</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响应文件的密封和标记</w:t>
            </w:r>
          </w:p>
        </w:tc>
        <w:tc>
          <w:tcPr>
            <w:tcW w:w="5979" w:type="dxa"/>
            <w:tcBorders>
              <w:right w:val="nil"/>
            </w:tcBorders>
            <w:vAlign w:val="center"/>
          </w:tcPr>
          <w:p>
            <w:pPr>
              <w:adjustRightInd w:val="0"/>
              <w:snapToGrid w:val="0"/>
              <w:ind w:firstLine="465"/>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要求密封，响应文件应在密封处加盖公章，标注正本和副本，封皮应注明：</w:t>
            </w:r>
          </w:p>
          <w:p>
            <w:pPr>
              <w:adjustRightInd w:val="0"/>
              <w:snapToGrid w:val="0"/>
              <w:ind w:firstLine="465"/>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项目名称、供应商名称、供应商地址、联系人及其联系方式。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2.10</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响应文件提交</w:t>
            </w:r>
          </w:p>
        </w:tc>
        <w:tc>
          <w:tcPr>
            <w:tcW w:w="5979" w:type="dxa"/>
            <w:tcBorders>
              <w:right w:val="nil"/>
            </w:tcBorders>
            <w:vAlign w:val="center"/>
          </w:tcPr>
          <w:p>
            <w:pPr>
              <w:adjustRightInd w:val="0"/>
              <w:snapToGrid w:val="0"/>
              <w:ind w:left="480" w:hanging="480" w:hangingChars="20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见采购公告（采购邀请书）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3"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文件开启及评审</w:t>
            </w:r>
          </w:p>
        </w:tc>
        <w:tc>
          <w:tcPr>
            <w:tcW w:w="936"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2.11</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响应文件开启会议</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举行</w:t>
            </w:r>
          </w:p>
          <w:p>
            <w:pPr>
              <w:adjustRightInd w:val="0"/>
              <w:snapToGrid w:val="0"/>
              <w:ind w:firstLine="465"/>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会议时间：同响应截止时间</w:t>
            </w:r>
          </w:p>
          <w:p>
            <w:pPr>
              <w:adjustRightInd w:val="0"/>
              <w:snapToGrid w:val="0"/>
              <w:ind w:firstLine="465"/>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会议地点：采购公告（采购邀请书）中指定地点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6"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2.12</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开启文件前的密封检查</w:t>
            </w:r>
          </w:p>
        </w:tc>
        <w:tc>
          <w:tcPr>
            <w:tcW w:w="5979" w:type="dxa"/>
            <w:tcBorders>
              <w:right w:val="nil"/>
            </w:tcBorders>
            <w:vAlign w:val="center"/>
          </w:tcPr>
          <w:p>
            <w:pPr>
              <w:adjustRightInd w:val="0"/>
              <w:snapToGrid w:val="0"/>
              <w:ind w:firstLine="465"/>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密封情况检查顺序：响应文件拆封前检查，不按照采购文件要求密封的响应文件，采购人将予以拒收。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2.13</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评审小组</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评审小组构成：</w:t>
            </w:r>
            <w:r>
              <w:rPr>
                <w:rFonts w:hint="eastAsia" w:ascii="仿宋_GB2312" w:eastAsia="仿宋_GB2312" w:hAnsiTheme="minorEastAsia"/>
                <w:color w:val="auto"/>
                <w:sz w:val="24"/>
                <w:szCs w:val="24"/>
                <w:highlight w:val="none"/>
                <w:u w:val="single"/>
              </w:rPr>
              <w:t>3</w:t>
            </w:r>
            <w:r>
              <w:rPr>
                <w:rFonts w:hint="eastAsia" w:ascii="仿宋_GB2312" w:eastAsia="仿宋_GB2312" w:hAnsiTheme="minorEastAsia"/>
                <w:color w:val="auto"/>
                <w:sz w:val="24"/>
                <w:szCs w:val="24"/>
                <w:highlight w:val="none"/>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2.14</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评审办法</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见第四章评审办法有关条款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2.15</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成交候选人</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在</w:t>
            </w:r>
            <w:r>
              <w:rPr>
                <w:rFonts w:hint="eastAsia" w:ascii="仿宋_GB2312" w:eastAsia="仿宋_GB2312" w:hAnsiTheme="minorEastAsia"/>
                <w:color w:val="auto"/>
                <w:sz w:val="24"/>
                <w:szCs w:val="24"/>
                <w:highlight w:val="none"/>
                <w:u w:val="single"/>
              </w:rPr>
              <w:t>广州市净水有限公司门户网站</w:t>
            </w:r>
            <w:r>
              <w:rPr>
                <w:rFonts w:hint="eastAsia" w:ascii="仿宋_GB2312" w:eastAsia="仿宋_GB2312" w:hAnsiTheme="minorEastAsia"/>
                <w:color w:val="auto"/>
                <w:sz w:val="24"/>
                <w:szCs w:val="24"/>
                <w:highlight w:val="none"/>
              </w:rPr>
              <w:t>公示成交候选人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925" w:type="dxa"/>
            <w:vMerge w:val="restart"/>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确定成交人</w:t>
            </w:r>
          </w:p>
        </w:tc>
        <w:tc>
          <w:tcPr>
            <w:tcW w:w="936"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2.16</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成交办法</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见第四章采购方法有关条款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2.17</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签订合同</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见第四章采购方法有关条款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1" w:hRule="atLeast"/>
        </w:trPr>
        <w:tc>
          <w:tcPr>
            <w:tcW w:w="925" w:type="dxa"/>
            <w:vMerge w:val="continue"/>
            <w:tcBorders>
              <w:left w:val="nil"/>
            </w:tcBorders>
            <w:vAlign w:val="center"/>
          </w:tcPr>
          <w:p>
            <w:pPr>
              <w:adjustRightInd w:val="0"/>
              <w:snapToGrid w:val="0"/>
              <w:jc w:val="center"/>
              <w:rPr>
                <w:rFonts w:ascii="仿宋_GB2312" w:eastAsia="仿宋_GB2312"/>
                <w:color w:val="auto"/>
                <w:sz w:val="24"/>
                <w:szCs w:val="24"/>
                <w:highlight w:val="none"/>
              </w:rPr>
            </w:pPr>
          </w:p>
        </w:tc>
        <w:tc>
          <w:tcPr>
            <w:tcW w:w="936"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2.18</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履约担保</w:t>
            </w:r>
          </w:p>
        </w:tc>
        <w:tc>
          <w:tcPr>
            <w:tcW w:w="5979" w:type="dxa"/>
            <w:tcBorders>
              <w:right w:val="nil"/>
            </w:tcBorders>
            <w:vAlign w:val="center"/>
          </w:tcPr>
          <w:p>
            <w:pPr>
              <w:adjustRightInd w:val="0"/>
              <w:snapToGrid w:val="0"/>
              <w:ind w:firstLine="480" w:firstLineChars="20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详见第六章合同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trPr>
        <w:tc>
          <w:tcPr>
            <w:tcW w:w="925" w:type="dxa"/>
            <w:tcBorders>
              <w:left w:val="nil"/>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其他</w:t>
            </w:r>
          </w:p>
        </w:tc>
        <w:tc>
          <w:tcPr>
            <w:tcW w:w="936"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2.19</w:t>
            </w:r>
          </w:p>
        </w:tc>
        <w:tc>
          <w:tcPr>
            <w:tcW w:w="1263" w:type="dxa"/>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需要补充的其他内容</w:t>
            </w:r>
          </w:p>
        </w:tc>
        <w:tc>
          <w:tcPr>
            <w:tcW w:w="5979" w:type="dxa"/>
            <w:tcBorders>
              <w:right w:val="nil"/>
            </w:tcBorders>
            <w:vAlign w:val="center"/>
          </w:tcPr>
          <w:p>
            <w:pPr>
              <w:adjustRightInd w:val="0"/>
              <w:snapToGrid w:val="0"/>
              <w:rPr>
                <w:rFonts w:ascii="仿宋_GB2312" w:eastAsia="仿宋_GB2312" w:hAnsiTheme="minorEastAsia"/>
                <w:color w:val="auto"/>
                <w:sz w:val="24"/>
                <w:szCs w:val="24"/>
                <w:highlight w:val="none"/>
              </w:rPr>
            </w:pPr>
          </w:p>
        </w:tc>
      </w:tr>
    </w:tbl>
    <w:p>
      <w:pPr>
        <w:adjustRightInd w:val="0"/>
        <w:snapToGrid w:val="0"/>
        <w:spacing w:before="156" w:beforeLines="50" w:after="156" w:afterLines="50" w:line="560" w:lineRule="exact"/>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2.若出现以下情况之一的，采购人将拒绝接收响应文件</w:t>
      </w:r>
    </w:p>
    <w:p>
      <w:pPr>
        <w:adjustRightInd w:val="0"/>
        <w:snapToGrid w:val="0"/>
        <w:spacing w:line="600" w:lineRule="exact"/>
        <w:ind w:firstLine="420" w:firstLineChars="150"/>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（1）逾期送达的、未送达指定地点的响应文件，采购人将予以拒收。</w:t>
      </w:r>
    </w:p>
    <w:p>
      <w:pPr>
        <w:adjustRightInd w:val="0"/>
        <w:snapToGrid w:val="0"/>
        <w:spacing w:line="600" w:lineRule="exact"/>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 xml:space="preserve">   （2）不按照采购文件要求密封的响应文件，采购人将予以拒收。</w:t>
      </w:r>
    </w:p>
    <w:p>
      <w:pPr>
        <w:adjustRightInd w:val="0"/>
        <w:snapToGrid w:val="0"/>
        <w:spacing w:before="156" w:beforeLines="50" w:after="156" w:afterLines="50" w:line="560" w:lineRule="exact"/>
        <w:ind w:left="643" w:hanging="643"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3.发生下列情况之一者，视为无效响应行为</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（1）响应文件未按规定签字、盖章的。</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（2）响应文件未按规定格式填写，或内容与采购文件严重背离的。</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（3）响应文件有两个以上报价的（采购文件允许提交备选方案的除外）。</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（4）质量标准不符合采购文件要求的。</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（5）服务期不符合采购文件要求的。</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（6）报价超过最高限价的。</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（7）供应商不符合国家或采购文件规定的资格条件。</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（8）响应文件没有对采购文件的实质性要求和条件作出响应。</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（9）其他不符合采购文件要求的情形。</w:t>
      </w:r>
    </w:p>
    <w:p>
      <w:pPr>
        <w:adjustRightInd w:val="0"/>
        <w:snapToGrid w:val="0"/>
        <w:spacing w:before="156" w:beforeLines="50" w:after="156" w:afterLines="50" w:line="560" w:lineRule="exact"/>
        <w:ind w:left="643" w:hanging="643"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4.响应保证金</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本项目无须递交响应保证金。</w:t>
      </w:r>
    </w:p>
    <w:p>
      <w:pPr>
        <w:adjustRightInd w:val="0"/>
        <w:snapToGrid w:val="0"/>
        <w:spacing w:before="156" w:beforeLines="50" w:after="156" w:afterLines="50" w:line="560" w:lineRule="exact"/>
        <w:ind w:left="643" w:hanging="643"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5.响应文件要求</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6.1响应文件包括下列内容</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1.响应函</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2.法定代表人证明或授权委托书</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3.资格审查资料</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4.拟投入本项目的项目负责人情况表</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5.报价表</w:t>
      </w:r>
    </w:p>
    <w:p>
      <w:pPr>
        <w:adjustRightInd w:val="0"/>
        <w:snapToGrid w:val="0"/>
        <w:spacing w:line="560" w:lineRule="exact"/>
        <w:ind w:firstLine="555"/>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6.其他资料</w:t>
      </w:r>
    </w:p>
    <w:p>
      <w:pPr>
        <w:adjustRightInd w:val="0"/>
        <w:snapToGrid w:val="0"/>
        <w:spacing w:before="156" w:beforeLines="50" w:after="156" w:afterLines="50" w:line="560" w:lineRule="exact"/>
        <w:ind w:left="643" w:hanging="643"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6.异议</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7.1 供应商或其他利害关系人可以对采购公告（采购邀请书）、采购文件、预成交结果提出异议。异议应在采购公告或文件规定的时间内、预成交结果公示期间通过规定的异议渠道提出，并递交异议函和必要的证明材料。异议函包括但不限于下列内容：</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（1）异议人名称、地址、邮政编码、联系人及联系电话；</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（2）具体、明确的异议事项、事实依据及与异议事项相关的请求。</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异议函应由异议人的法定代表人（单位负责人）或其授权的代理人签字并加盖单位章。</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7.2采购人将针对异议事项进行核查，经过核查，发现异议人对相关问题理解有误的，应作出解释；发现采购活动中确实存在错误或不当行为的，应及时予以改正或补救。采购人认为异议不成立或不影响采购结果的，在做出相关回应后可以继续进行采购活动。</w:t>
      </w:r>
    </w:p>
    <w:p>
      <w:pPr>
        <w:adjustRightInd w:val="0"/>
        <w:snapToGrid w:val="0"/>
        <w:spacing w:line="560" w:lineRule="exact"/>
        <w:ind w:firstLine="573"/>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7.3 异议人与采购人对异议事项无法达成一致的，异议人可向采购人的监管部门进行反映。</w:t>
      </w:r>
    </w:p>
    <w:p>
      <w:pPr>
        <w:adjustRightInd w:val="0"/>
        <w:snapToGrid w:val="0"/>
        <w:spacing w:before="156" w:beforeLines="50" w:after="156" w:afterLines="50" w:line="560" w:lineRule="exact"/>
        <w:ind w:left="643" w:hanging="643" w:hangingChars="200"/>
        <w:jc w:val="left"/>
        <w:rPr>
          <w:rFonts w:asciiTheme="minorEastAsia" w:hAnsiTheme="minorEastAsia"/>
          <w:b/>
          <w:color w:val="auto"/>
          <w:sz w:val="32"/>
          <w:szCs w:val="32"/>
          <w:highlight w:val="none"/>
        </w:rPr>
      </w:pPr>
      <w:r>
        <w:rPr>
          <w:rFonts w:hint="eastAsia" w:asciiTheme="minorEastAsia" w:hAnsiTheme="minorEastAsia"/>
          <w:b/>
          <w:color w:val="auto"/>
          <w:sz w:val="32"/>
          <w:szCs w:val="32"/>
          <w:highlight w:val="none"/>
        </w:rPr>
        <w:t>7.本章附件</w:t>
      </w:r>
    </w:p>
    <w:p>
      <w:pPr>
        <w:adjustRightInd w:val="0"/>
        <w:snapToGrid w:val="0"/>
        <w:spacing w:line="560" w:lineRule="exact"/>
        <w:ind w:firstLine="694" w:firstLineChars="248"/>
        <w:jc w:val="left"/>
        <w:rPr>
          <w:rFonts w:ascii="仿宋_GB2312" w:eastAsia="仿宋_GB2312"/>
          <w:color w:val="auto"/>
          <w:sz w:val="28"/>
          <w:szCs w:val="28"/>
          <w:highlight w:val="none"/>
        </w:rPr>
      </w:pPr>
      <w:r>
        <w:rPr>
          <w:rFonts w:ascii="仿宋_GB2312" w:eastAsia="仿宋_GB2312"/>
          <w:color w:val="auto"/>
          <w:sz w:val="28"/>
          <w:szCs w:val="28"/>
          <w:highlight w:val="none"/>
        </w:rPr>
        <w:t>附件</w:t>
      </w:r>
      <w:r>
        <w:rPr>
          <w:rFonts w:hint="eastAsia" w:ascii="仿宋_GB2312" w:eastAsia="仿宋_GB2312"/>
          <w:color w:val="auto"/>
          <w:sz w:val="28"/>
          <w:szCs w:val="28"/>
          <w:highlight w:val="none"/>
        </w:rPr>
        <w:t>1：响应文件开启表</w:t>
      </w:r>
    </w:p>
    <w:p>
      <w:pPr>
        <w:adjustRightInd w:val="0"/>
        <w:snapToGrid w:val="0"/>
        <w:spacing w:line="560" w:lineRule="exact"/>
        <w:ind w:firstLine="694" w:firstLineChars="248"/>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附件2：问题澄清通知</w:t>
      </w:r>
    </w:p>
    <w:p>
      <w:pPr>
        <w:adjustRightInd w:val="0"/>
        <w:snapToGrid w:val="0"/>
        <w:spacing w:line="560" w:lineRule="exact"/>
        <w:ind w:firstLine="694" w:firstLineChars="248"/>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附件3：问题的澄清</w:t>
      </w:r>
    </w:p>
    <w:p>
      <w:pPr>
        <w:adjustRightInd w:val="0"/>
        <w:snapToGrid w:val="0"/>
        <w:spacing w:line="560" w:lineRule="exact"/>
        <w:ind w:firstLine="694" w:firstLineChars="248"/>
        <w:jc w:val="left"/>
        <w:rPr>
          <w:rFonts w:ascii="仿宋_GB2312" w:eastAsia="仿宋_GB2312"/>
          <w:color w:val="auto"/>
          <w:sz w:val="28"/>
          <w:szCs w:val="28"/>
          <w:highlight w:val="none"/>
        </w:rPr>
      </w:pPr>
      <w:r>
        <w:rPr>
          <w:rFonts w:hint="eastAsia" w:ascii="仿宋_GB2312" w:eastAsia="仿宋_GB2312"/>
          <w:color w:val="auto"/>
          <w:sz w:val="28"/>
          <w:szCs w:val="28"/>
          <w:highlight w:val="none"/>
        </w:rPr>
        <w:t>附件4：成交通知书</w:t>
      </w:r>
    </w:p>
    <w:p>
      <w:pPr>
        <w:adjustRightInd w:val="0"/>
        <w:snapToGrid w:val="0"/>
        <w:spacing w:line="600" w:lineRule="exact"/>
        <w:jc w:val="left"/>
        <w:rPr>
          <w:rFonts w:asciiTheme="majorEastAsia" w:hAnsiTheme="majorEastAsia" w:eastAsiaTheme="majorEastAsia"/>
          <w:b/>
          <w:color w:val="auto"/>
          <w:sz w:val="28"/>
          <w:szCs w:val="28"/>
          <w:highlight w:val="none"/>
        </w:rPr>
      </w:pPr>
    </w:p>
    <w:p>
      <w:pPr>
        <w:pStyle w:val="2"/>
        <w:ind w:firstLine="0"/>
        <w:rPr>
          <w:color w:val="auto"/>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asciiTheme="majorEastAsia" w:hAnsiTheme="majorEastAsia" w:eastAsiaTheme="majorEastAsia"/>
          <w:b/>
          <w:color w:val="auto"/>
          <w:sz w:val="28"/>
          <w:szCs w:val="28"/>
          <w:highlight w:val="none"/>
        </w:rPr>
        <w:t>附件</w:t>
      </w:r>
      <w:r>
        <w:rPr>
          <w:rFonts w:hint="eastAsia" w:asciiTheme="majorEastAsia" w:hAnsiTheme="majorEastAsia" w:eastAsiaTheme="majorEastAsia"/>
          <w:b/>
          <w:color w:val="auto"/>
          <w:sz w:val="28"/>
          <w:szCs w:val="28"/>
          <w:highlight w:val="none"/>
        </w:rPr>
        <w:t>1</w:t>
      </w:r>
    </w:p>
    <w:p>
      <w:pPr>
        <w:adjustRightInd w:val="0"/>
        <w:snapToGrid w:val="0"/>
        <w:spacing w:line="600" w:lineRule="exact"/>
        <w:jc w:val="center"/>
        <w:rPr>
          <w:rFonts w:ascii="方正小标宋简体" w:eastAsia="方正小标宋简体" w:hAnsiTheme="majorEastAsia"/>
          <w:color w:val="auto"/>
          <w:sz w:val="32"/>
          <w:szCs w:val="32"/>
          <w:highlight w:val="none"/>
        </w:rPr>
      </w:pPr>
    </w:p>
    <w:p>
      <w:pPr>
        <w:adjustRightInd w:val="0"/>
        <w:snapToGrid w:val="0"/>
        <w:spacing w:line="600" w:lineRule="exact"/>
        <w:jc w:val="center"/>
        <w:rPr>
          <w:rFonts w:ascii="方正小标宋简体" w:eastAsia="方正小标宋简体" w:hAnsiTheme="majorEastAsia"/>
          <w:color w:val="auto"/>
          <w:sz w:val="32"/>
          <w:szCs w:val="32"/>
          <w:highlight w:val="none"/>
        </w:rPr>
      </w:pPr>
      <w:r>
        <w:rPr>
          <w:rFonts w:hint="eastAsia" w:ascii="方正小标宋简体" w:eastAsia="方正小标宋简体" w:hAnsiTheme="majorEastAsia"/>
          <w:color w:val="auto"/>
          <w:sz w:val="32"/>
          <w:szCs w:val="32"/>
          <w:highlight w:val="none"/>
        </w:rPr>
        <w:t>响应文件开启表</w:t>
      </w:r>
    </w:p>
    <w:p>
      <w:pPr>
        <w:pStyle w:val="34"/>
        <w:rPr>
          <w:color w:val="auto"/>
          <w:highlight w:val="none"/>
        </w:rPr>
      </w:pP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开启时间：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时</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分</w:t>
      </w:r>
    </w:p>
    <w:tbl>
      <w:tblPr>
        <w:tblStyle w:val="22"/>
        <w:tblW w:w="0" w:type="auto"/>
        <w:tblInd w:w="-204"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54"/>
        <w:gridCol w:w="2659"/>
        <w:gridCol w:w="1173"/>
        <w:gridCol w:w="1909"/>
        <w:gridCol w:w="1609"/>
        <w:gridCol w:w="66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554"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序号</w:t>
            </w:r>
          </w:p>
        </w:tc>
        <w:tc>
          <w:tcPr>
            <w:tcW w:w="2659"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供应商</w:t>
            </w:r>
          </w:p>
        </w:tc>
        <w:tc>
          <w:tcPr>
            <w:tcW w:w="1173"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密封情况</w:t>
            </w:r>
          </w:p>
        </w:tc>
        <w:tc>
          <w:tcPr>
            <w:tcW w:w="1909"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报价</w:t>
            </w:r>
            <w:r>
              <w:rPr>
                <w:rFonts w:hint="eastAsia" w:ascii="仿宋_GB2312" w:eastAsia="仿宋_GB2312"/>
                <w:color w:val="auto"/>
                <w:sz w:val="24"/>
                <w:szCs w:val="24"/>
                <w:highlight w:val="none"/>
              </w:rPr>
              <w:t>（元）</w:t>
            </w:r>
          </w:p>
        </w:tc>
        <w:tc>
          <w:tcPr>
            <w:tcW w:w="1609"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供应商代表签名</w:t>
            </w:r>
          </w:p>
        </w:tc>
        <w:tc>
          <w:tcPr>
            <w:tcW w:w="668"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备注</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554"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2659"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c>
          <w:tcPr>
            <w:tcW w:w="668" w:type="dxa"/>
            <w:vMerge w:val="continue"/>
            <w:vAlign w:val="center"/>
          </w:tcPr>
          <w:p>
            <w:pPr>
              <w:adjustRightInd w:val="0"/>
              <w:snapToGrid w:val="0"/>
              <w:spacing w:line="600" w:lineRule="exact"/>
              <w:jc w:val="center"/>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rPr>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rPr>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rPr>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vAlign w:val="center"/>
          </w:tcPr>
          <w:p>
            <w:pPr>
              <w:jc w:val="center"/>
              <w:rPr>
                <w:color w:val="auto"/>
                <w:sz w:val="24"/>
                <w:szCs w:val="24"/>
                <w:highlight w:val="none"/>
              </w:rPr>
            </w:pPr>
          </w:p>
        </w:tc>
        <w:tc>
          <w:tcPr>
            <w:tcW w:w="265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vAlign w:val="center"/>
          </w:tcPr>
          <w:p>
            <w:pPr>
              <w:adjustRightInd w:val="0"/>
              <w:snapToGrid w:val="0"/>
              <w:spacing w:line="600" w:lineRule="exact"/>
              <w:rPr>
                <w:rFonts w:ascii="仿宋_GB2312" w:eastAsia="仿宋_GB2312"/>
                <w:color w:val="auto"/>
                <w:sz w:val="24"/>
                <w:szCs w:val="24"/>
                <w:highlight w:val="none"/>
              </w:rPr>
            </w:pPr>
          </w:p>
        </w:tc>
        <w:tc>
          <w:tcPr>
            <w:tcW w:w="668" w:type="dxa"/>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tcBorders>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2659" w:type="dxa"/>
            <w:tcBorders>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tcBorders>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tcBorders>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tcBorders>
              <w:bottom w:val="single" w:color="auto" w:sz="4" w:space="0"/>
            </w:tcBorders>
            <w:vAlign w:val="center"/>
          </w:tcPr>
          <w:p>
            <w:pPr>
              <w:adjustRightInd w:val="0"/>
              <w:snapToGrid w:val="0"/>
              <w:spacing w:line="600" w:lineRule="exact"/>
              <w:rPr>
                <w:rFonts w:ascii="仿宋_GB2312" w:eastAsia="仿宋_GB2312"/>
                <w:color w:val="auto"/>
                <w:sz w:val="24"/>
                <w:szCs w:val="24"/>
                <w:highlight w:val="none"/>
              </w:rPr>
            </w:pPr>
          </w:p>
        </w:tc>
        <w:tc>
          <w:tcPr>
            <w:tcW w:w="668" w:type="dxa"/>
            <w:tcBorders>
              <w:bottom w:val="single" w:color="auto" w:sz="4" w:space="0"/>
            </w:tcBorders>
            <w:vAlign w:val="center"/>
          </w:tcPr>
          <w:p>
            <w:pPr>
              <w:adjustRightInd w:val="0"/>
              <w:snapToGrid w:val="0"/>
              <w:spacing w:line="600" w:lineRule="exact"/>
              <w:rPr>
                <w:rFonts w:ascii="仿宋_GB2312" w:eastAsia="仿宋_GB2312"/>
                <w:color w:val="auto"/>
                <w:sz w:val="24"/>
                <w:szCs w:val="24"/>
                <w:highlight w:val="none"/>
              </w:rPr>
            </w:pP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554"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2659"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173"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909"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p>
        </w:tc>
        <w:tc>
          <w:tcPr>
            <w:tcW w:w="1609" w:type="dxa"/>
            <w:tcBorders>
              <w:top w:val="single" w:color="auto" w:sz="4" w:space="0"/>
              <w:bottom w:val="single" w:color="auto" w:sz="4" w:space="0"/>
            </w:tcBorders>
            <w:vAlign w:val="center"/>
          </w:tcPr>
          <w:p>
            <w:pPr>
              <w:adjustRightInd w:val="0"/>
              <w:snapToGrid w:val="0"/>
              <w:spacing w:line="600" w:lineRule="exact"/>
              <w:rPr>
                <w:rFonts w:ascii="仿宋_GB2312" w:eastAsia="仿宋_GB2312"/>
                <w:color w:val="auto"/>
                <w:sz w:val="24"/>
                <w:szCs w:val="24"/>
                <w:highlight w:val="none"/>
              </w:rPr>
            </w:pPr>
          </w:p>
        </w:tc>
        <w:tc>
          <w:tcPr>
            <w:tcW w:w="668" w:type="dxa"/>
            <w:tcBorders>
              <w:top w:val="single" w:color="auto" w:sz="4" w:space="0"/>
              <w:bottom w:val="single" w:color="auto" w:sz="4" w:space="0"/>
            </w:tcBorders>
            <w:vAlign w:val="center"/>
          </w:tcPr>
          <w:p>
            <w:pPr>
              <w:adjustRightInd w:val="0"/>
              <w:snapToGrid w:val="0"/>
              <w:spacing w:line="600" w:lineRule="exact"/>
              <w:rPr>
                <w:rFonts w:ascii="仿宋_GB2312" w:eastAsia="仿宋_GB2312"/>
                <w:color w:val="auto"/>
                <w:sz w:val="24"/>
                <w:szCs w:val="24"/>
                <w:highlight w:val="none"/>
              </w:rPr>
            </w:pPr>
          </w:p>
        </w:tc>
      </w:tr>
    </w:tbl>
    <w:p>
      <w:pPr>
        <w:adjustRightInd w:val="0"/>
        <w:snapToGrid w:val="0"/>
        <w:spacing w:line="600" w:lineRule="exact"/>
        <w:ind w:firstLine="555"/>
        <w:jc w:val="left"/>
        <w:rPr>
          <w:rFonts w:ascii="仿宋_GB2312" w:eastAsia="仿宋_GB2312" w:hAnsiTheme="majorEastAsia"/>
          <w:color w:val="auto"/>
          <w:sz w:val="28"/>
          <w:szCs w:val="28"/>
          <w:highlight w:val="none"/>
          <w:u w:val="single"/>
        </w:rPr>
      </w:pPr>
      <w:r>
        <w:rPr>
          <w:rFonts w:hint="eastAsia" w:ascii="仿宋_GB2312" w:eastAsia="仿宋_GB2312" w:hAnsiTheme="majorEastAsia"/>
          <w:color w:val="auto"/>
          <w:sz w:val="28"/>
          <w:szCs w:val="28"/>
          <w:highlight w:val="none"/>
        </w:rPr>
        <w:t>采购人代表</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 xml:space="preserve">      记录人</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 xml:space="preserve">  </w:t>
      </w: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p>
    <w:p>
      <w:pPr>
        <w:adjustRightInd w:val="0"/>
        <w:snapToGrid w:val="0"/>
        <w:spacing w:line="600" w:lineRule="exact"/>
        <w:ind w:firstLine="555"/>
        <w:jc w:val="left"/>
        <w:rPr>
          <w:rFonts w:ascii="仿宋_GB2312" w:eastAsia="仿宋_GB2312" w:hAnsiTheme="majorEastAsia"/>
          <w:color w:val="auto"/>
          <w:sz w:val="28"/>
          <w:szCs w:val="28"/>
          <w:highlight w:val="none"/>
        </w:rPr>
      </w:pPr>
    </w:p>
    <w:p>
      <w:pPr>
        <w:pStyle w:val="2"/>
        <w:rPr>
          <w:rFonts w:ascii="仿宋_GB2312" w:eastAsia="仿宋_GB2312" w:hAnsiTheme="majorEastAsia"/>
          <w:color w:val="auto"/>
          <w:sz w:val="28"/>
          <w:szCs w:val="28"/>
          <w:highlight w:val="none"/>
        </w:rPr>
      </w:pPr>
    </w:p>
    <w:p>
      <w:pPr>
        <w:pStyle w:val="2"/>
        <w:rPr>
          <w:rFonts w:ascii="仿宋_GB2312" w:eastAsia="仿宋_GB2312" w:hAnsiTheme="majorEastAsia"/>
          <w:color w:val="auto"/>
          <w:sz w:val="28"/>
          <w:szCs w:val="28"/>
          <w:highlight w:val="none"/>
        </w:rPr>
      </w:pPr>
    </w:p>
    <w:p>
      <w:pPr>
        <w:pStyle w:val="2"/>
        <w:rPr>
          <w:rFonts w:ascii="仿宋_GB2312" w:eastAsia="仿宋_GB2312" w:hAnsiTheme="majorEastAsia"/>
          <w:color w:val="auto"/>
          <w:sz w:val="28"/>
          <w:szCs w:val="28"/>
          <w:highlight w:val="none"/>
        </w:rPr>
      </w:pPr>
    </w:p>
    <w:p>
      <w:pPr>
        <w:pStyle w:val="2"/>
        <w:rPr>
          <w:rFonts w:ascii="仿宋_GB2312" w:eastAsia="仿宋_GB2312" w:hAnsiTheme="majorEastAsia"/>
          <w:color w:val="auto"/>
          <w:sz w:val="28"/>
          <w:szCs w:val="28"/>
          <w:highlight w:val="none"/>
        </w:rPr>
      </w:pPr>
    </w:p>
    <w:p>
      <w:pPr>
        <w:adjustRightInd w:val="0"/>
        <w:snapToGrid w:val="0"/>
        <w:spacing w:line="600" w:lineRule="exact"/>
        <w:ind w:firstLine="555"/>
        <w:jc w:val="left"/>
        <w:rPr>
          <w:rFonts w:ascii="仿宋_GB2312" w:eastAsia="仿宋_GB2312" w:hAnsiTheme="majorEastAsia"/>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Theme="majorEastAsia" w:hAnsiTheme="majorEastAsia" w:eastAsiaTheme="majorEastAsia"/>
          <w:b/>
          <w:color w:val="auto"/>
          <w:sz w:val="28"/>
          <w:szCs w:val="28"/>
          <w:highlight w:val="none"/>
        </w:rPr>
        <w:t>附件2</w:t>
      </w:r>
    </w:p>
    <w:p>
      <w:pPr>
        <w:adjustRightInd w:val="0"/>
        <w:snapToGrid w:val="0"/>
        <w:spacing w:line="600" w:lineRule="exact"/>
        <w:jc w:val="center"/>
        <w:rPr>
          <w:rFonts w:ascii="方正小标宋简体" w:eastAsia="方正小标宋简体" w:hAnsiTheme="majorEastAsia"/>
          <w:color w:val="auto"/>
          <w:sz w:val="32"/>
          <w:szCs w:val="32"/>
          <w:highlight w:val="none"/>
        </w:rPr>
      </w:pPr>
    </w:p>
    <w:p>
      <w:pPr>
        <w:adjustRightInd w:val="0"/>
        <w:snapToGrid w:val="0"/>
        <w:spacing w:line="600" w:lineRule="exact"/>
        <w:jc w:val="center"/>
        <w:rPr>
          <w:rFonts w:ascii="方正小标宋简体" w:eastAsia="方正小标宋简体" w:hAnsiTheme="majorEastAsia"/>
          <w:color w:val="auto"/>
          <w:sz w:val="32"/>
          <w:szCs w:val="32"/>
          <w:highlight w:val="none"/>
        </w:rPr>
      </w:pPr>
      <w:r>
        <w:rPr>
          <w:rFonts w:hint="eastAsia" w:ascii="方正小标宋简体" w:eastAsia="方正小标宋简体" w:hAnsiTheme="majorEastAsia"/>
          <w:color w:val="auto"/>
          <w:sz w:val="32"/>
          <w:szCs w:val="32"/>
          <w:highlight w:val="none"/>
        </w:rPr>
        <w:t>问题澄清通知</w:t>
      </w:r>
    </w:p>
    <w:p>
      <w:pPr>
        <w:pStyle w:val="34"/>
        <w:rPr>
          <w:color w:val="auto"/>
          <w:highlight w:val="none"/>
        </w:rPr>
      </w:pP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编号：</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u w:val="single"/>
        </w:rPr>
        <w:t xml:space="preserve">   （供应商名称）    </w:t>
      </w:r>
      <w:r>
        <w:rPr>
          <w:rFonts w:hint="eastAsia" w:ascii="仿宋_GB2312" w:eastAsia="仿宋_GB2312" w:hAnsiTheme="majorEastAsia"/>
          <w:color w:val="auto"/>
          <w:sz w:val="28"/>
          <w:szCs w:val="28"/>
          <w:highlight w:val="none"/>
        </w:rPr>
        <w:t>：</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（项目名称） </w:t>
      </w:r>
      <w:r>
        <w:rPr>
          <w:rFonts w:hint="eastAsia" w:ascii="仿宋_GB2312" w:eastAsia="仿宋_GB2312" w:hAnsiTheme="majorEastAsia"/>
          <w:color w:val="auto"/>
          <w:sz w:val="28"/>
          <w:szCs w:val="28"/>
          <w:highlight w:val="none"/>
        </w:rPr>
        <w:t>的评审小组，对你方的响应文件进行了仔细的审查，现需你方对下列问题以书面形式予以澄清：</w:t>
      </w: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1.</w:t>
      </w: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2.</w:t>
      </w:r>
    </w:p>
    <w:p>
      <w:pPr>
        <w:adjustRightInd w:val="0"/>
        <w:snapToGrid w:val="0"/>
        <w:spacing w:line="600" w:lineRule="exact"/>
        <w:ind w:firstLine="555"/>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请将上述问题的澄清于</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时前递交至</w:t>
      </w:r>
      <w:r>
        <w:rPr>
          <w:rFonts w:hint="eastAsia" w:ascii="仿宋_GB2312" w:eastAsia="仿宋_GB2312" w:hAnsiTheme="majorEastAsia"/>
          <w:color w:val="auto"/>
          <w:sz w:val="28"/>
          <w:szCs w:val="28"/>
          <w:highlight w:val="none"/>
          <w:u w:val="single"/>
        </w:rPr>
        <w:t xml:space="preserve">  （详细地址） </w:t>
      </w:r>
      <w:r>
        <w:rPr>
          <w:rFonts w:hint="eastAsia" w:ascii="仿宋_GB2312" w:eastAsia="仿宋_GB2312" w:hAnsiTheme="majorEastAsia"/>
          <w:color w:val="auto"/>
          <w:sz w:val="28"/>
          <w:szCs w:val="28"/>
          <w:highlight w:val="none"/>
        </w:rPr>
        <w:t>。</w:t>
      </w: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ind w:firstLine="4760" w:firstLineChars="17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u w:val="single"/>
        </w:rPr>
        <w:t xml:space="preserve">（项目名称） </w:t>
      </w:r>
      <w:r>
        <w:rPr>
          <w:rFonts w:hint="eastAsia" w:ascii="仿宋_GB2312" w:eastAsia="仿宋_GB2312" w:hAnsiTheme="majorEastAsia"/>
          <w:color w:val="auto"/>
          <w:sz w:val="28"/>
          <w:szCs w:val="28"/>
          <w:highlight w:val="none"/>
        </w:rPr>
        <w:t>评审小组</w:t>
      </w:r>
    </w:p>
    <w:p>
      <w:pPr>
        <w:adjustRightInd w:val="0"/>
        <w:snapToGrid w:val="0"/>
        <w:spacing w:line="600" w:lineRule="exact"/>
        <w:ind w:firstLine="4760" w:firstLineChars="17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评审小组：</w:t>
      </w:r>
      <w:r>
        <w:rPr>
          <w:rFonts w:hint="eastAsia" w:asciiTheme="majorEastAsia" w:hAnsiTheme="majorEastAsia" w:eastAsiaTheme="majorEastAsia"/>
          <w:b/>
          <w:color w:val="auto"/>
          <w:sz w:val="28"/>
          <w:szCs w:val="28"/>
          <w:highlight w:val="none"/>
          <w:u w:val="single"/>
        </w:rPr>
        <w:t xml:space="preserve">          </w:t>
      </w:r>
      <w:r>
        <w:rPr>
          <w:rFonts w:hint="eastAsia" w:ascii="仿宋_GB2312" w:eastAsia="仿宋_GB2312" w:hAnsiTheme="majorEastAsia"/>
          <w:color w:val="auto"/>
          <w:sz w:val="28"/>
          <w:szCs w:val="28"/>
          <w:highlight w:val="none"/>
        </w:rPr>
        <w:t>（签字）</w:t>
      </w:r>
    </w:p>
    <w:p>
      <w:pPr>
        <w:adjustRightInd w:val="0"/>
        <w:snapToGrid w:val="0"/>
        <w:spacing w:line="600" w:lineRule="exact"/>
        <w:ind w:firstLine="5451" w:firstLineChars="1947"/>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p>
    <w:p>
      <w:pPr>
        <w:adjustRightInd w:val="0"/>
        <w:snapToGrid w:val="0"/>
        <w:spacing w:line="600" w:lineRule="exact"/>
        <w:ind w:firstLine="4779" w:firstLineChars="1700"/>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pStyle w:val="2"/>
        <w:rPr>
          <w:color w:val="auto"/>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Theme="majorEastAsia" w:hAnsiTheme="majorEastAsia" w:eastAsiaTheme="majorEastAsia"/>
          <w:b/>
          <w:color w:val="auto"/>
          <w:sz w:val="28"/>
          <w:szCs w:val="28"/>
          <w:highlight w:val="none"/>
        </w:rPr>
        <w:t>附件3</w:t>
      </w:r>
    </w:p>
    <w:p>
      <w:pPr>
        <w:adjustRightInd w:val="0"/>
        <w:snapToGrid w:val="0"/>
        <w:spacing w:line="600" w:lineRule="exact"/>
        <w:jc w:val="center"/>
        <w:rPr>
          <w:rFonts w:ascii="方正小标宋简体" w:eastAsia="方正小标宋简体" w:hAnsiTheme="majorEastAsia"/>
          <w:color w:val="auto"/>
          <w:sz w:val="32"/>
          <w:szCs w:val="32"/>
          <w:highlight w:val="none"/>
        </w:rPr>
      </w:pPr>
    </w:p>
    <w:p>
      <w:pPr>
        <w:adjustRightInd w:val="0"/>
        <w:snapToGrid w:val="0"/>
        <w:spacing w:line="600" w:lineRule="exact"/>
        <w:jc w:val="center"/>
        <w:rPr>
          <w:rFonts w:ascii="方正小标宋简体" w:eastAsia="方正小标宋简体" w:hAnsiTheme="majorEastAsia"/>
          <w:color w:val="auto"/>
          <w:sz w:val="32"/>
          <w:szCs w:val="32"/>
          <w:highlight w:val="none"/>
        </w:rPr>
      </w:pPr>
      <w:r>
        <w:rPr>
          <w:rFonts w:hint="eastAsia" w:ascii="方正小标宋简体" w:eastAsia="方正小标宋简体" w:hAnsiTheme="majorEastAsia"/>
          <w:color w:val="auto"/>
          <w:sz w:val="32"/>
          <w:szCs w:val="32"/>
          <w:highlight w:val="none"/>
        </w:rPr>
        <w:t>问题的澄清</w:t>
      </w:r>
    </w:p>
    <w:p>
      <w:pPr>
        <w:pStyle w:val="34"/>
        <w:rPr>
          <w:color w:val="auto"/>
          <w:highlight w:val="none"/>
        </w:rPr>
      </w:pP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编号：</w:t>
      </w: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仿宋_GB2312" w:eastAsia="仿宋_GB2312" w:hAnsiTheme="majorEastAsia"/>
          <w:color w:val="auto"/>
          <w:sz w:val="28"/>
          <w:szCs w:val="28"/>
          <w:highlight w:val="none"/>
          <w:u w:val="single"/>
        </w:rPr>
        <w:t>（项目名称）</w:t>
      </w:r>
      <w:r>
        <w:rPr>
          <w:rFonts w:hint="eastAsia" w:ascii="仿宋_GB2312" w:eastAsia="仿宋_GB2312" w:hAnsiTheme="majorEastAsia"/>
          <w:color w:val="auto"/>
          <w:sz w:val="28"/>
          <w:szCs w:val="28"/>
          <w:highlight w:val="none"/>
        </w:rPr>
        <w:t>评审小组：</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问题澄清通知（编号：</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）已收悉，现澄清如下：</w:t>
      </w:r>
    </w:p>
    <w:p>
      <w:pPr>
        <w:adjustRightInd w:val="0"/>
        <w:snapToGrid w:val="0"/>
        <w:spacing w:line="600" w:lineRule="exact"/>
        <w:ind w:firstLine="57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1.</w:t>
      </w:r>
    </w:p>
    <w:p>
      <w:pPr>
        <w:adjustRightInd w:val="0"/>
        <w:snapToGrid w:val="0"/>
        <w:spacing w:line="600" w:lineRule="exact"/>
        <w:ind w:firstLine="57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2.</w:t>
      </w:r>
    </w:p>
    <w:p>
      <w:pPr>
        <w:adjustRightInd w:val="0"/>
        <w:snapToGrid w:val="0"/>
        <w:spacing w:line="600" w:lineRule="exact"/>
        <w:ind w:firstLine="570"/>
        <w:jc w:val="left"/>
        <w:rPr>
          <w:rFonts w:asciiTheme="majorEastAsia" w:hAnsiTheme="majorEastAsia" w:eastAsiaTheme="majorEastAsia"/>
          <w:b/>
          <w:color w:val="auto"/>
          <w:sz w:val="28"/>
          <w:szCs w:val="28"/>
          <w:highlight w:val="none"/>
        </w:rPr>
      </w:pPr>
    </w:p>
    <w:p>
      <w:pPr>
        <w:adjustRightInd w:val="0"/>
        <w:snapToGrid w:val="0"/>
        <w:spacing w:line="600" w:lineRule="exact"/>
        <w:ind w:firstLine="2520" w:firstLineChars="9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供应商：</w:t>
      </w:r>
      <w:r>
        <w:rPr>
          <w:rFonts w:hint="eastAsia" w:asciiTheme="majorEastAsia" w:hAnsiTheme="majorEastAsia" w:eastAsiaTheme="majorEastAsia"/>
          <w:b/>
          <w:color w:val="auto"/>
          <w:sz w:val="28"/>
          <w:szCs w:val="28"/>
          <w:highlight w:val="none"/>
          <w:u w:val="single"/>
        </w:rPr>
        <w:t xml:space="preserve">                        </w:t>
      </w:r>
      <w:r>
        <w:rPr>
          <w:rFonts w:hint="eastAsia" w:ascii="仿宋_GB2312" w:eastAsia="仿宋_GB2312" w:hAnsiTheme="majorEastAsia"/>
          <w:color w:val="auto"/>
          <w:sz w:val="28"/>
          <w:szCs w:val="28"/>
          <w:highlight w:val="none"/>
        </w:rPr>
        <w:t>（公章）</w:t>
      </w:r>
    </w:p>
    <w:p>
      <w:pPr>
        <w:adjustRightInd w:val="0"/>
        <w:snapToGrid w:val="0"/>
        <w:spacing w:line="600" w:lineRule="exact"/>
        <w:ind w:firstLine="2520" w:firstLineChars="900"/>
        <w:jc w:val="left"/>
        <w:rPr>
          <w:rFonts w:asciiTheme="majorEastAsia" w:hAnsiTheme="majorEastAsia" w:eastAsiaTheme="majorEastAsia"/>
          <w:b/>
          <w:color w:val="auto"/>
          <w:sz w:val="28"/>
          <w:szCs w:val="28"/>
          <w:highlight w:val="none"/>
        </w:rPr>
      </w:pPr>
      <w:r>
        <w:rPr>
          <w:rFonts w:hint="eastAsia" w:ascii="仿宋_GB2312" w:eastAsia="仿宋_GB2312" w:hAnsiTheme="majorEastAsia"/>
          <w:color w:val="auto"/>
          <w:sz w:val="28"/>
          <w:szCs w:val="28"/>
          <w:highlight w:val="none"/>
        </w:rPr>
        <w:t>或</w:t>
      </w:r>
    </w:p>
    <w:p>
      <w:pPr>
        <w:adjustRightInd w:val="0"/>
        <w:snapToGrid w:val="0"/>
        <w:spacing w:line="600" w:lineRule="exact"/>
        <w:ind w:firstLine="2520" w:firstLineChars="9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法定代表人或委托代理人：</w:t>
      </w:r>
      <w:r>
        <w:rPr>
          <w:rFonts w:hint="eastAsia" w:asciiTheme="majorEastAsia" w:hAnsiTheme="majorEastAsia" w:eastAsiaTheme="majorEastAsia"/>
          <w:b/>
          <w:color w:val="auto"/>
          <w:sz w:val="28"/>
          <w:szCs w:val="28"/>
          <w:highlight w:val="none"/>
          <w:u w:val="single"/>
        </w:rPr>
        <w:t xml:space="preserve">          </w:t>
      </w:r>
      <w:r>
        <w:rPr>
          <w:rFonts w:hint="eastAsia" w:ascii="仿宋_GB2312" w:eastAsia="仿宋_GB2312" w:hAnsiTheme="majorEastAsia"/>
          <w:color w:val="auto"/>
          <w:sz w:val="28"/>
          <w:szCs w:val="28"/>
          <w:highlight w:val="none"/>
        </w:rPr>
        <w:t>（签字）</w:t>
      </w:r>
    </w:p>
    <w:p>
      <w:pPr>
        <w:adjustRightInd w:val="0"/>
        <w:snapToGrid w:val="0"/>
        <w:spacing w:line="600" w:lineRule="exact"/>
        <w:ind w:firstLine="5451" w:firstLineChars="1947"/>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p>
    <w:p>
      <w:pPr>
        <w:adjustRightInd w:val="0"/>
        <w:snapToGrid w:val="0"/>
        <w:spacing w:line="600" w:lineRule="exact"/>
        <w:ind w:firstLine="2665" w:firstLineChars="952"/>
        <w:jc w:val="left"/>
        <w:rPr>
          <w:rFonts w:ascii="仿宋_GB2312" w:eastAsia="仿宋_GB2312" w:hAnsiTheme="majorEastAsia"/>
          <w:color w:val="auto"/>
          <w:sz w:val="28"/>
          <w:szCs w:val="28"/>
          <w:highlight w:val="none"/>
        </w:rPr>
      </w:pPr>
    </w:p>
    <w:p>
      <w:pPr>
        <w:adjustRightInd w:val="0"/>
        <w:snapToGrid w:val="0"/>
        <w:spacing w:line="600" w:lineRule="exact"/>
        <w:ind w:firstLine="2665" w:firstLineChars="952"/>
        <w:jc w:val="left"/>
        <w:rPr>
          <w:rFonts w:ascii="仿宋_GB2312" w:eastAsia="仿宋_GB2312" w:hAnsiTheme="majorEastAsia"/>
          <w:color w:val="auto"/>
          <w:sz w:val="28"/>
          <w:szCs w:val="28"/>
          <w:highlight w:val="none"/>
        </w:rPr>
      </w:pPr>
    </w:p>
    <w:p>
      <w:pPr>
        <w:adjustRightInd w:val="0"/>
        <w:snapToGrid w:val="0"/>
        <w:spacing w:line="600" w:lineRule="exact"/>
        <w:ind w:firstLine="2665" w:firstLineChars="952"/>
        <w:jc w:val="left"/>
        <w:rPr>
          <w:rFonts w:ascii="仿宋_GB2312" w:eastAsia="仿宋_GB2312" w:hAnsiTheme="majorEastAsia"/>
          <w:color w:val="auto"/>
          <w:sz w:val="28"/>
          <w:szCs w:val="28"/>
          <w:highlight w:val="none"/>
        </w:rPr>
      </w:pPr>
    </w:p>
    <w:p>
      <w:pPr>
        <w:adjustRightInd w:val="0"/>
        <w:snapToGrid w:val="0"/>
        <w:spacing w:line="600" w:lineRule="exact"/>
        <w:ind w:firstLine="2665" w:firstLineChars="952"/>
        <w:jc w:val="left"/>
        <w:rPr>
          <w:rFonts w:ascii="仿宋_GB2312" w:eastAsia="仿宋_GB2312" w:hAnsiTheme="majorEastAsia"/>
          <w:color w:val="auto"/>
          <w:sz w:val="28"/>
          <w:szCs w:val="28"/>
          <w:highlight w:val="none"/>
        </w:rPr>
      </w:pPr>
    </w:p>
    <w:p>
      <w:pPr>
        <w:adjustRightInd w:val="0"/>
        <w:snapToGrid w:val="0"/>
        <w:spacing w:line="600" w:lineRule="exact"/>
        <w:ind w:firstLine="2665" w:firstLineChars="952"/>
        <w:jc w:val="left"/>
        <w:rPr>
          <w:rFonts w:ascii="仿宋_GB2312" w:eastAsia="仿宋_GB2312" w:hAnsiTheme="majorEastAsia"/>
          <w:color w:val="auto"/>
          <w:sz w:val="28"/>
          <w:szCs w:val="28"/>
          <w:highlight w:val="none"/>
        </w:rPr>
      </w:pPr>
    </w:p>
    <w:p>
      <w:pPr>
        <w:pStyle w:val="2"/>
        <w:rPr>
          <w:rFonts w:ascii="仿宋_GB2312" w:eastAsia="仿宋_GB2312" w:hAnsiTheme="majorEastAsia"/>
          <w:color w:val="auto"/>
          <w:sz w:val="28"/>
          <w:szCs w:val="28"/>
          <w:highlight w:val="none"/>
        </w:rPr>
      </w:pPr>
    </w:p>
    <w:p>
      <w:pPr>
        <w:pStyle w:val="2"/>
        <w:rPr>
          <w:rFonts w:ascii="仿宋_GB2312" w:eastAsia="仿宋_GB2312" w:hAnsiTheme="majorEastAsia"/>
          <w:color w:val="auto"/>
          <w:sz w:val="28"/>
          <w:szCs w:val="28"/>
          <w:highlight w:val="none"/>
        </w:rPr>
      </w:pPr>
    </w:p>
    <w:p>
      <w:pPr>
        <w:pStyle w:val="2"/>
        <w:rPr>
          <w:rFonts w:ascii="仿宋_GB2312" w:eastAsia="仿宋_GB2312" w:hAnsiTheme="majorEastAsia"/>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r>
        <w:rPr>
          <w:rFonts w:hint="eastAsia" w:asciiTheme="majorEastAsia" w:hAnsiTheme="majorEastAsia" w:eastAsiaTheme="majorEastAsia"/>
          <w:b/>
          <w:color w:val="auto"/>
          <w:sz w:val="28"/>
          <w:szCs w:val="28"/>
          <w:highlight w:val="none"/>
        </w:rPr>
        <w:t xml:space="preserve">附件4 </w:t>
      </w:r>
    </w:p>
    <w:p>
      <w:pPr>
        <w:adjustRightInd w:val="0"/>
        <w:snapToGrid w:val="0"/>
        <w:spacing w:line="600" w:lineRule="exact"/>
        <w:jc w:val="center"/>
        <w:rPr>
          <w:rFonts w:ascii="方正小标宋简体" w:eastAsia="方正小标宋简体" w:hAnsiTheme="majorEastAsia"/>
          <w:color w:val="auto"/>
          <w:sz w:val="32"/>
          <w:szCs w:val="32"/>
          <w:highlight w:val="none"/>
        </w:rPr>
      </w:pPr>
    </w:p>
    <w:p>
      <w:pPr>
        <w:adjustRightInd w:val="0"/>
        <w:snapToGrid w:val="0"/>
        <w:spacing w:line="600" w:lineRule="exact"/>
        <w:jc w:val="center"/>
        <w:rPr>
          <w:rFonts w:ascii="方正小标宋简体" w:eastAsia="方正小标宋简体" w:hAnsiTheme="majorEastAsia"/>
          <w:color w:val="auto"/>
          <w:sz w:val="32"/>
          <w:szCs w:val="32"/>
          <w:highlight w:val="none"/>
        </w:rPr>
      </w:pPr>
      <w:r>
        <w:rPr>
          <w:rFonts w:hint="eastAsia" w:ascii="方正小标宋简体" w:eastAsia="方正小标宋简体" w:hAnsiTheme="majorEastAsia"/>
          <w:color w:val="auto"/>
          <w:sz w:val="32"/>
          <w:szCs w:val="32"/>
          <w:highlight w:val="none"/>
        </w:rPr>
        <w:t>成交通知书</w:t>
      </w:r>
    </w:p>
    <w:p>
      <w:pPr>
        <w:pStyle w:val="34"/>
        <w:rPr>
          <w:color w:val="auto"/>
          <w:highlight w:val="none"/>
        </w:rPr>
      </w:pPr>
    </w:p>
    <w:p>
      <w:pPr>
        <w:pStyle w:val="34"/>
        <w:ind w:firstLine="3465" w:firstLineChars="1650"/>
        <w:rPr>
          <w:rFonts w:ascii="仿宋_GB2312" w:eastAsia="仿宋_GB2312"/>
          <w:color w:val="auto"/>
          <w:highlight w:val="none"/>
        </w:rPr>
      </w:pPr>
      <w:r>
        <w:rPr>
          <w:rFonts w:hint="eastAsia" w:ascii="仿宋_GB2312" w:eastAsia="仿宋_GB2312"/>
          <w:color w:val="auto"/>
          <w:highlight w:val="none"/>
        </w:rPr>
        <w:t>（编号：</w:t>
      </w:r>
      <w:r>
        <w:rPr>
          <w:rFonts w:ascii="仿宋_GB2312" w:eastAsia="仿宋_GB2312"/>
          <w:color w:val="auto"/>
          <w:highlight w:val="none"/>
        </w:rPr>
        <w:t xml:space="preserve">        </w:t>
      </w:r>
      <w:r>
        <w:rPr>
          <w:rFonts w:hint="eastAsia" w:ascii="仿宋_GB2312" w:eastAsia="仿宋_GB2312"/>
          <w:color w:val="auto"/>
          <w:highlight w:val="none"/>
        </w:rPr>
        <w:t>）</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u w:val="single"/>
        </w:rPr>
        <w:t xml:space="preserve">   （成交供应商名称）    </w:t>
      </w:r>
      <w:r>
        <w:rPr>
          <w:rFonts w:hint="eastAsia" w:ascii="仿宋_GB2312" w:eastAsia="仿宋_GB2312" w:hAnsiTheme="majorEastAsia"/>
          <w:color w:val="auto"/>
          <w:sz w:val="28"/>
          <w:szCs w:val="28"/>
          <w:highlight w:val="none"/>
        </w:rPr>
        <w:t>：</w:t>
      </w:r>
    </w:p>
    <w:p>
      <w:pPr>
        <w:adjustRightInd w:val="0"/>
        <w:snapToGrid w:val="0"/>
        <w:spacing w:line="600" w:lineRule="exact"/>
        <w:ind w:firstLine="57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你方递交的响应文件已被我方接受，你方已被确认为</w:t>
      </w:r>
      <w:r>
        <w:rPr>
          <w:rFonts w:hint="eastAsia" w:ascii="仿宋_GB2312" w:eastAsia="仿宋_GB2312" w:hAnsiTheme="majorEastAsia"/>
          <w:color w:val="auto"/>
          <w:sz w:val="28"/>
          <w:szCs w:val="28"/>
          <w:highlight w:val="none"/>
          <w:u w:val="single"/>
        </w:rPr>
        <w:t xml:space="preserve">      项目</w:t>
      </w:r>
      <w:r>
        <w:rPr>
          <w:rFonts w:hint="eastAsia" w:ascii="仿宋_GB2312" w:eastAsia="仿宋_GB2312" w:hAnsiTheme="majorEastAsia"/>
          <w:color w:val="auto"/>
          <w:sz w:val="28"/>
          <w:szCs w:val="28"/>
          <w:highlight w:val="none"/>
        </w:rPr>
        <w:t>的成交供应商。</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成交金额，大写：</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，小写：</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 xml:space="preserve"> 。</w:t>
      </w:r>
    </w:p>
    <w:p>
      <w:pPr>
        <w:adjustRightInd w:val="0"/>
        <w:snapToGrid w:val="0"/>
        <w:spacing w:line="600" w:lineRule="exact"/>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请你方在接到本通知书后的</w:t>
      </w:r>
      <w:r>
        <w:rPr>
          <w:rFonts w:hint="eastAsia" w:ascii="仿宋_GB2312" w:eastAsia="仿宋_GB2312" w:hAnsiTheme="majorEastAsia"/>
          <w:color w:val="auto"/>
          <w:sz w:val="28"/>
          <w:szCs w:val="28"/>
          <w:highlight w:val="none"/>
          <w:u w:val="single"/>
        </w:rPr>
        <w:t>30</w:t>
      </w:r>
      <w:r>
        <w:rPr>
          <w:rFonts w:hint="eastAsia" w:ascii="仿宋_GB2312" w:eastAsia="仿宋_GB2312" w:hAnsiTheme="majorEastAsia"/>
          <w:color w:val="auto"/>
          <w:sz w:val="28"/>
          <w:szCs w:val="28"/>
          <w:highlight w:val="none"/>
        </w:rPr>
        <w:t>日内与我方签订采购合同，逾期视为自动放弃成交资格。</w:t>
      </w: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ind w:firstLine="4760" w:firstLineChars="1700"/>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采购人：</w:t>
      </w:r>
      <w:r>
        <w:rPr>
          <w:rFonts w:hint="eastAsia" w:asciiTheme="majorEastAsia" w:hAnsiTheme="majorEastAsia" w:eastAsiaTheme="majorEastAsia"/>
          <w:b/>
          <w:color w:val="auto"/>
          <w:sz w:val="28"/>
          <w:szCs w:val="28"/>
          <w:highlight w:val="none"/>
          <w:u w:val="single"/>
        </w:rPr>
        <w:t xml:space="preserve">          </w:t>
      </w:r>
      <w:r>
        <w:rPr>
          <w:rFonts w:hint="eastAsia" w:ascii="仿宋_GB2312" w:eastAsia="仿宋_GB2312" w:hAnsiTheme="majorEastAsia"/>
          <w:color w:val="auto"/>
          <w:sz w:val="28"/>
          <w:szCs w:val="28"/>
          <w:highlight w:val="none"/>
        </w:rPr>
        <w:t>（公章）</w:t>
      </w:r>
    </w:p>
    <w:p>
      <w:pPr>
        <w:adjustRightInd w:val="0"/>
        <w:snapToGrid w:val="0"/>
        <w:spacing w:line="600" w:lineRule="exact"/>
        <w:ind w:firstLine="5451" w:firstLineChars="1947"/>
        <w:jc w:val="left"/>
        <w:rPr>
          <w:rFonts w:ascii="仿宋_GB2312" w:eastAsia="仿宋_GB2312" w:hAnsiTheme="majorEastAsia"/>
          <w:color w:val="auto"/>
          <w:sz w:val="28"/>
          <w:szCs w:val="28"/>
          <w:highlight w:val="none"/>
        </w:rPr>
      </w:pPr>
      <w:r>
        <w:rPr>
          <w:rFonts w:hint="eastAsia" w:ascii="仿宋_GB2312" w:eastAsia="仿宋_GB2312" w:hAnsiTheme="majorEastAsia"/>
          <w:color w:val="auto"/>
          <w:sz w:val="28"/>
          <w:szCs w:val="28"/>
          <w:highlight w:val="none"/>
        </w:rPr>
        <w:t xml:space="preserve"> </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年</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月</w:t>
      </w:r>
      <w:r>
        <w:rPr>
          <w:rFonts w:hint="eastAsia" w:ascii="仿宋_GB2312" w:eastAsia="仿宋_GB2312" w:hAnsiTheme="majorEastAsia"/>
          <w:color w:val="auto"/>
          <w:sz w:val="28"/>
          <w:szCs w:val="28"/>
          <w:highlight w:val="none"/>
          <w:u w:val="single"/>
        </w:rPr>
        <w:t xml:space="preserve">    </w:t>
      </w:r>
      <w:r>
        <w:rPr>
          <w:rFonts w:hint="eastAsia" w:ascii="仿宋_GB2312" w:eastAsia="仿宋_GB2312" w:hAnsiTheme="majorEastAsia"/>
          <w:color w:val="auto"/>
          <w:sz w:val="28"/>
          <w:szCs w:val="28"/>
          <w:highlight w:val="none"/>
        </w:rPr>
        <w:t>日</w:t>
      </w: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jc w:val="left"/>
        <w:rPr>
          <w:rFonts w:asciiTheme="majorEastAsia" w:hAnsiTheme="majorEastAsia" w:eastAsiaTheme="majorEastAsia"/>
          <w:b/>
          <w:color w:val="auto"/>
          <w:sz w:val="28"/>
          <w:szCs w:val="28"/>
          <w:highlight w:val="none"/>
        </w:rPr>
      </w:pPr>
    </w:p>
    <w:p>
      <w:pPr>
        <w:adjustRightInd w:val="0"/>
        <w:snapToGrid w:val="0"/>
        <w:spacing w:line="600" w:lineRule="exact"/>
        <w:ind w:firstLine="560" w:firstLineChars="200"/>
        <w:jc w:val="left"/>
        <w:rPr>
          <w:rFonts w:ascii="仿宋_GB2312" w:eastAsia="仿宋_GB2312"/>
          <w:color w:val="auto"/>
          <w:sz w:val="28"/>
          <w:szCs w:val="28"/>
          <w:highlight w:val="none"/>
        </w:rPr>
      </w:pPr>
    </w:p>
    <w:p>
      <w:pPr>
        <w:pStyle w:val="2"/>
        <w:rPr>
          <w:rFonts w:ascii="仿宋_GB2312" w:eastAsia="仿宋_GB2312"/>
          <w:color w:val="auto"/>
          <w:sz w:val="28"/>
          <w:szCs w:val="28"/>
          <w:highlight w:val="none"/>
        </w:rPr>
      </w:pPr>
    </w:p>
    <w:p>
      <w:pPr>
        <w:adjustRightInd w:val="0"/>
        <w:snapToGrid w:val="0"/>
        <w:spacing w:line="600" w:lineRule="exact"/>
        <w:ind w:firstLine="0" w:firstLineChars="0"/>
        <w:jc w:val="left"/>
        <w:rPr>
          <w:rFonts w:ascii="仿宋_GB2312" w:eastAsia="仿宋_GB2312"/>
          <w:color w:val="auto"/>
          <w:sz w:val="28"/>
          <w:szCs w:val="28"/>
          <w:highlight w:val="none"/>
        </w:rPr>
      </w:pPr>
    </w:p>
    <w:p>
      <w:pPr>
        <w:pStyle w:val="5"/>
        <w:rPr>
          <w:rFonts w:asciiTheme="minorHAnsi" w:hAnsiTheme="minorHAnsi" w:cstheme="minorBidi"/>
          <w:color w:val="auto"/>
          <w:kern w:val="44"/>
          <w:sz w:val="44"/>
          <w:szCs w:val="44"/>
          <w:highlight w:val="none"/>
        </w:rPr>
      </w:pPr>
      <w:bookmarkStart w:id="26" w:name="_Toc2867"/>
      <w:bookmarkStart w:id="27" w:name="_Toc21455"/>
      <w:r>
        <w:rPr>
          <w:rFonts w:asciiTheme="minorHAnsi" w:hAnsiTheme="minorHAnsi" w:cstheme="minorBidi"/>
          <w:color w:val="auto"/>
          <w:kern w:val="44"/>
          <w:sz w:val="44"/>
          <w:szCs w:val="44"/>
          <w:highlight w:val="none"/>
        </w:rPr>
        <mc:AlternateContent>
          <mc:Choice Requires="wps">
            <w:drawing>
              <wp:anchor distT="0" distB="0" distL="114300" distR="114300" simplePos="0" relativeHeight="251663360" behindDoc="0" locked="0" layoutInCell="1" allowOverlap="1">
                <wp:simplePos x="0" y="0"/>
                <wp:positionH relativeFrom="column">
                  <wp:posOffset>2318385</wp:posOffset>
                </wp:positionH>
                <wp:positionV relativeFrom="paragraph">
                  <wp:posOffset>587375</wp:posOffset>
                </wp:positionV>
                <wp:extent cx="958850" cy="0"/>
                <wp:effectExtent l="0" t="0" r="0" b="0"/>
                <wp:wrapNone/>
                <wp:docPr id="3" name="自选图形 5"/>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5" o:spid="_x0000_s1026" o:spt="32" type="#_x0000_t32" style="position:absolute;left:0pt;margin-left:182.55pt;margin-top:46.25pt;height:0pt;width:75.5pt;z-index:251663360;mso-width-relative:page;mso-height-relative:page;" filled="f" stroked="t" coordsize="21600,21600" o:gfxdata="UEsDBAoAAAAAAIdO4kAAAAAAAAAAAAAAAAAEAAAAZHJzL1BLAwQUAAAACACHTuJASWEU7dYAAAAJ&#10;AQAADwAAAGRycy9kb3ducmV2LnhtbE2PwU7DMAyG70i8Q2QkLoglKWrFStMJIXHgyDaJa9aYttA4&#10;VZOuY0+PEQc4+ven35+rzckP4ohT7AMZ0CsFAqkJrqfWwH73fHsPIiZLzg6B0MAXRtjUlxeVLV1Y&#10;6BWP29QKLqFYWgNdSmMpZWw69DauwojEu/cweZt4nFrpJrtwuR9kplQhve2JL3R2xKcOm8/t7A1g&#10;nHOtHte+3b+cl5u37PyxjDtjrq+0egCR8JT+YPjRZ3Wo2ekQZnJRDAbuilwzamCd5SAYyHXBweE3&#10;kHUl/39QfwNQSwMEFAAAAAgAh07iQF+YUbPyAQAA4gMAAA4AAABkcnMvZTJvRG9jLnhtbK1TvY4T&#10;MRDukXgHyz3ZJCgorLK5IuFoEEQCHmBie7OW/CePL5t0dIhnoKPkHeBtTjregrE3l4OjScEW3rFn&#10;5pv5Po8XVwdr2F5F1N41fDIac6ac8FK7XcM/frh+NucMEzgJxjvV8KNCfrV8+mTRh1pNfeeNVJER&#10;iMO6Dw3vUgp1VaHolAUc+aAcOVsfLSTaxl0lI/SEbk01HY9fVL2PMkQvFCKdrgcnPyHGSwB922qh&#10;1l7cWOXSgBqVgUSUsNMB+bJ027ZKpHdtiyox03BimspKRcje5rVaLqDeRQidFqcW4JIWHnGyoB0V&#10;PUOtIQG7ifofKKtF9OjbNBLeVgORogixmIwfafO+g6AKF5Iaw1l0/H+w4u1+E5mWDX/OmQNLF373&#10;+fuvT19uv/68/fGNzbJCfcCaAlduE087DJuY6R7aaPOfiLBDUfV4VlUdEhN0+HI2n89Ib3Hvqh7y&#10;QsT0WnnLstFwTBH0rksr7xxdnY+TIirs32CiypR4n5CLGsf6DD+dETjQKLY0AmTaQHTQ7UoueqPl&#10;tTYmZ2DcbVcmsj3kcShf5ke4f4XlImvAbogrrmFQOgXylZMsHQMJ5eh98NyCVZIzo+g5ZYsAoU6g&#10;zSWRVNo46iBLPIiara2Xx6J1OaerLz2exjTP1p/7kv3wNJe/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lhFO3WAAAACQEAAA8AAAAAAAAAAQAgAAAAIgAAAGRycy9kb3ducmV2LnhtbFBLAQIUABQA&#10;AAAIAIdO4kBfmFGz8gEAAOIDAAAOAAAAAAAAAAEAIAAAACUBAABkcnMvZTJvRG9jLnhtbFBLBQYA&#10;AAAABgAGAFkBAACJBQAAAAA=&#10;">
                <v:fill on="f" focussize="0,0"/>
                <v:stroke color="#000000" joinstyle="round"/>
                <v:imagedata o:title=""/>
                <o:lock v:ext="edit" aspectratio="f"/>
              </v:shape>
            </w:pict>
          </mc:Fallback>
        </mc:AlternateContent>
      </w:r>
      <w:r>
        <w:rPr>
          <w:rFonts w:asciiTheme="minorHAnsi" w:hAnsiTheme="minorHAnsi" w:cstheme="minorBidi"/>
          <w:color w:val="auto"/>
          <w:kern w:val="44"/>
          <w:sz w:val="44"/>
          <w:szCs w:val="44"/>
          <w:highlight w:val="none"/>
        </w:rPr>
        <mc:AlternateContent>
          <mc:Choice Requires="wps">
            <w:drawing>
              <wp:anchor distT="0" distB="0" distL="114300" distR="114300" simplePos="0" relativeHeight="251662336" behindDoc="0" locked="0" layoutInCell="1" allowOverlap="1">
                <wp:simplePos x="0" y="0"/>
                <wp:positionH relativeFrom="column">
                  <wp:posOffset>2325370</wp:posOffset>
                </wp:positionH>
                <wp:positionV relativeFrom="paragraph">
                  <wp:posOffset>137795</wp:posOffset>
                </wp:positionV>
                <wp:extent cx="958850" cy="0"/>
                <wp:effectExtent l="0" t="0" r="0" b="0"/>
                <wp:wrapNone/>
                <wp:docPr id="2" name="自选图形 3"/>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3" o:spid="_x0000_s1026" o:spt="32" type="#_x0000_t32" style="position:absolute;left:0pt;margin-left:183.1pt;margin-top:10.85pt;height:0pt;width:75.5pt;z-index:251662336;mso-width-relative:page;mso-height-relative:page;" filled="f" stroked="t" coordsize="21600,21600" o:gfxdata="UEsDBAoAAAAAAIdO4kAAAAAAAAAAAAAAAAAEAAAAZHJzL1BLAwQUAAAACACHTuJA8C0PytYAAAAJ&#10;AQAADwAAAGRycy9kb3ducmV2LnhtbE2PwU7DMAyG70i8Q2QkLoglKVoHpemEkDhwZJvENWtMW2ic&#10;qknXsafHiMM4+ven35/L9dH34oBj7AIZ0AsFAqkOrqPGwG77cnsPIiZLzvaB0MA3RlhXlxelLVyY&#10;6Q0Pm9QILqFYWANtSkMhZaxb9DYuwoDEu48wept4HBvpRjtzue9lplQuve2IL7R2wOcW66/N5A1g&#10;nJZaPT34Zvd6mm/es9PnPGyNub7S6hFEwmM6w/Crz+pQsdM+TOSi6A3c5XnGqIFMr0AwsNQrDvZ/&#10;gaxK+f+D6gdQSwMEFAAAAAgAh07iQCo+qbLyAQAA4gMAAA4AAABkcnMvZTJvRG9jLnhtbK1TvY4T&#10;MRDukXgHyz3ZJCgorLK5IuFoEEQCHmBie7OW/CePL5t0dIhnoKPkHeBtTjregrE3l4OjScEW3rFn&#10;5pv5Po8XVwdr2F5F1N41fDIac6ac8FK7XcM/frh+NucMEzgJxjvV8KNCfrV8+mTRh1pNfeeNVJER&#10;iMO6Dw3vUgp1VaHolAUc+aAcOVsfLSTaxl0lI/SEbk01HY9fVL2PMkQvFCKdrgcnPyHGSwB922qh&#10;1l7cWOXSgBqVgUSUsNMB+bJ027ZKpHdtiyox03BimspKRcje5rVaLqDeRQidFqcW4JIWHnGyoB0V&#10;PUOtIQG7ifofKKtF9OjbNBLeVgORogixmIwfafO+g6AKF5Iaw1l0/H+w4u1+E5mWDZ9y5sDShd99&#10;/v7r05fbrz9vf3xjz7NCfcCaAlduE087DJuY6R7aaPOfiLBDUfV4VlUdEhN0+HI2n89Ib3Hvqh7y&#10;QsT0WnnLstFwTBH0rksr7xxdnY+TIirs32CiypR4n5CLGsf6DD+dETjQKLY0AmTaQHTQ7UoueqPl&#10;tTYmZ2DcbVcmsj3kcShf5ke4f4XlImvAbogrrmFQOgXylZMsHQMJ5eh98NyCVZIzo+g5ZYsAoU6g&#10;zSWRVNo46iBLPIiara2Xx6J1OaerLz2exjTP1p/7kv3wNJe/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PAtD8rWAAAACQEAAA8AAAAAAAAAAQAgAAAAIgAAAGRycy9kb3ducmV2LnhtbFBLAQIUABQA&#10;AAAIAIdO4kAqPqmy8gEAAOIDAAAOAAAAAAAAAAEAIAAAACUBAABkcnMvZTJvRG9jLnhtbFBLBQYA&#10;AAAABgAGAFkBAACJBQAAAAA=&#10;">
                <v:fill on="f" focussize="0,0"/>
                <v:stroke color="#000000" joinstyle="round"/>
                <v:imagedata o:title=""/>
                <o:lock v:ext="edit" aspectratio="f"/>
              </v:shape>
            </w:pict>
          </mc:Fallback>
        </mc:AlternateContent>
      </w:r>
      <w:r>
        <w:rPr>
          <w:rFonts w:hint="eastAsia" w:asciiTheme="minorHAnsi" w:hAnsiTheme="minorHAnsi" w:cstheme="minorBidi"/>
          <w:color w:val="auto"/>
          <w:kern w:val="44"/>
          <w:sz w:val="44"/>
          <w:szCs w:val="44"/>
          <w:highlight w:val="none"/>
        </w:rPr>
        <w:t>第三章</w:t>
      </w:r>
      <w:bookmarkEnd w:id="26"/>
      <w:bookmarkEnd w:id="27"/>
    </w:p>
    <w:p>
      <w:pPr>
        <w:pStyle w:val="34"/>
        <w:rPr>
          <w:color w:val="auto"/>
          <w:highlight w:val="none"/>
        </w:rPr>
      </w:pPr>
    </w:p>
    <w:p>
      <w:pPr>
        <w:pStyle w:val="5"/>
        <w:rPr>
          <w:color w:val="auto"/>
          <w:highlight w:val="none"/>
        </w:rPr>
      </w:pPr>
      <w:bookmarkStart w:id="28" w:name="_Toc88209934"/>
      <w:bookmarkStart w:id="29" w:name="_Toc7303"/>
      <w:bookmarkStart w:id="30" w:name="_Toc7040"/>
      <w:bookmarkStart w:id="31" w:name="_Toc87616371"/>
      <w:r>
        <w:rPr>
          <w:rFonts w:hint="eastAsia"/>
          <w:color w:val="auto"/>
          <w:highlight w:val="none"/>
        </w:rPr>
        <w:t>采购方法</w:t>
      </w:r>
      <w:bookmarkEnd w:id="28"/>
      <w:bookmarkEnd w:id="29"/>
      <w:bookmarkEnd w:id="30"/>
      <w:bookmarkEnd w:id="31"/>
    </w:p>
    <w:p>
      <w:pPr>
        <w:adjustRightInd w:val="0"/>
        <w:snapToGrid w:val="0"/>
        <w:spacing w:before="156" w:beforeLines="50" w:after="156" w:afterLines="50" w:line="600" w:lineRule="exact"/>
        <w:jc w:val="center"/>
        <w:rPr>
          <w:rFonts w:ascii="方正小标宋简体" w:eastAsia="方正小标宋简体"/>
          <w:color w:val="auto"/>
          <w:sz w:val="44"/>
          <w:szCs w:val="44"/>
          <w:highlight w:val="none"/>
        </w:rPr>
      </w:pPr>
    </w:p>
    <w:p>
      <w:pPr>
        <w:adjustRightInd w:val="0"/>
        <w:snapToGrid w:val="0"/>
        <w:spacing w:before="156" w:beforeLines="50" w:after="156" w:afterLines="50" w:line="600" w:lineRule="exact"/>
        <w:jc w:val="center"/>
        <w:rPr>
          <w:rFonts w:ascii="方正小标宋简体" w:eastAsia="方正小标宋简体"/>
          <w:color w:val="auto"/>
          <w:sz w:val="44"/>
          <w:szCs w:val="44"/>
          <w:highlight w:val="none"/>
        </w:rPr>
      </w:pPr>
    </w:p>
    <w:p>
      <w:pPr>
        <w:adjustRightInd w:val="0"/>
        <w:snapToGrid w:val="0"/>
        <w:spacing w:before="156" w:beforeLines="50" w:after="156" w:afterLines="50" w:line="600" w:lineRule="exact"/>
        <w:jc w:val="center"/>
        <w:rPr>
          <w:rFonts w:ascii="方正小标宋简体" w:eastAsia="方正小标宋简体"/>
          <w:color w:val="auto"/>
          <w:sz w:val="44"/>
          <w:szCs w:val="44"/>
          <w:highlight w:val="none"/>
        </w:rPr>
      </w:pPr>
    </w:p>
    <w:p>
      <w:pPr>
        <w:adjustRightInd w:val="0"/>
        <w:snapToGrid w:val="0"/>
        <w:spacing w:before="156" w:beforeLines="50" w:after="156" w:afterLines="50" w:line="600" w:lineRule="exact"/>
        <w:jc w:val="center"/>
        <w:rPr>
          <w:rFonts w:ascii="方正小标宋简体" w:eastAsia="方正小标宋简体"/>
          <w:color w:val="auto"/>
          <w:sz w:val="44"/>
          <w:szCs w:val="44"/>
          <w:highlight w:val="none"/>
        </w:rPr>
      </w:pPr>
    </w:p>
    <w:p>
      <w:pPr>
        <w:adjustRightInd w:val="0"/>
        <w:snapToGrid w:val="0"/>
        <w:spacing w:before="156" w:beforeLines="50" w:after="156" w:afterLines="50" w:line="600" w:lineRule="exact"/>
        <w:jc w:val="center"/>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pStyle w:val="5"/>
        <w:rPr>
          <w:rFonts w:hint="eastAsia"/>
          <w:color w:val="auto"/>
          <w:highlight w:val="none"/>
        </w:rPr>
      </w:pPr>
      <w:bookmarkStart w:id="32" w:name="_Toc24895"/>
      <w:bookmarkStart w:id="33" w:name="_Toc3789"/>
    </w:p>
    <w:p>
      <w:pPr>
        <w:pStyle w:val="5"/>
        <w:rPr>
          <w:rFonts w:hint="eastAsia"/>
          <w:color w:val="auto"/>
          <w:highlight w:val="none"/>
        </w:rPr>
      </w:pPr>
    </w:p>
    <w:p>
      <w:pPr>
        <w:rPr>
          <w:rFonts w:hint="eastAsia"/>
          <w:color w:val="auto"/>
          <w:highlight w:val="none"/>
        </w:rPr>
      </w:pPr>
    </w:p>
    <w:p>
      <w:pPr>
        <w:pStyle w:val="5"/>
        <w:jc w:val="both"/>
        <w:rPr>
          <w:rFonts w:hint="eastAsia"/>
          <w:color w:val="auto"/>
          <w:highlight w:val="none"/>
        </w:rPr>
      </w:pPr>
    </w:p>
    <w:p>
      <w:pPr>
        <w:pStyle w:val="5"/>
        <w:jc w:val="center"/>
        <w:rPr>
          <w:color w:val="auto"/>
          <w:highlight w:val="none"/>
        </w:rPr>
      </w:pPr>
      <w:r>
        <w:rPr>
          <w:rFonts w:hint="eastAsia"/>
          <w:color w:val="auto"/>
          <w:highlight w:val="none"/>
        </w:rPr>
        <w:t>询比采购</w:t>
      </w:r>
      <w:bookmarkEnd w:id="32"/>
      <w:bookmarkEnd w:id="33"/>
    </w:p>
    <w:p>
      <w:pPr>
        <w:adjustRightInd w:val="0"/>
        <w:snapToGrid w:val="0"/>
        <w:spacing w:line="600" w:lineRule="exact"/>
        <w:jc w:val="left"/>
        <w:rPr>
          <w:rFonts w:asciiTheme="minorEastAsia" w:hAnsiTheme="minorEastAsia"/>
          <w:b/>
          <w:color w:val="auto"/>
          <w:sz w:val="28"/>
          <w:szCs w:val="28"/>
          <w:highlight w:val="none"/>
        </w:rPr>
      </w:pPr>
      <w:r>
        <w:rPr>
          <w:rFonts w:hint="eastAsia" w:asciiTheme="minorEastAsia" w:hAnsiTheme="minorEastAsia"/>
          <w:b/>
          <w:color w:val="auto"/>
          <w:sz w:val="28"/>
          <w:szCs w:val="28"/>
          <w:highlight w:val="none"/>
        </w:rPr>
        <w:t>询比</w:t>
      </w:r>
    </w:p>
    <w:tbl>
      <w:tblPr>
        <w:tblStyle w:val="22"/>
        <w:tblW w:w="8897"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793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18" w:hRule="atLeast"/>
        </w:trPr>
        <w:tc>
          <w:tcPr>
            <w:tcW w:w="959" w:type="dxa"/>
            <w:tcBorders>
              <w:top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1.采购准备</w:t>
            </w:r>
          </w:p>
        </w:tc>
        <w:tc>
          <w:tcPr>
            <w:tcW w:w="7938" w:type="dxa"/>
            <w:tcBorders>
              <w:top w:val="single" w:color="auto" w:sz="4" w:space="0"/>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 xml:space="preserve"> </w:t>
            </w:r>
            <w:r>
              <w:rPr>
                <w:rFonts w:hint="eastAsia" w:ascii="仿宋_GB2312" w:eastAsia="仿宋_GB2312" w:hAnsiTheme="minorEastAsia"/>
                <w:color w:val="auto"/>
                <w:sz w:val="24"/>
                <w:szCs w:val="24"/>
                <w:highlight w:val="none"/>
                <w:u w:val="single"/>
              </w:rPr>
              <w:t xml:space="preserve"> </w:t>
            </w:r>
            <w:r>
              <w:rPr>
                <w:rFonts w:hint="eastAsia" w:ascii="仿宋_GB2312" w:eastAsia="仿宋_GB2312" w:hAnsiTheme="minorEastAsia"/>
                <w:color w:val="auto"/>
                <w:sz w:val="24"/>
                <w:szCs w:val="24"/>
                <w:highlight w:val="none"/>
              </w:rPr>
              <w:t>1.1 在采购文件约定的时间、地点，供应商应向采购人提交响应文件；响应文件按照采购文件第二章供应商须知2.9的要求密封，按照2.10的规定提交</w:t>
            </w:r>
          </w:p>
          <w:p>
            <w:pPr>
              <w:adjustRightInd w:val="0"/>
              <w:snapToGrid w:val="0"/>
              <w:ind w:left="480" w:hanging="480" w:hangingChars="20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1.2 资格审查执行第二章供应商须知1.对供应商的资格要求</w:t>
            </w:r>
          </w:p>
          <w:p>
            <w:pPr>
              <w:adjustRightInd w:val="0"/>
              <w:snapToGrid w:val="0"/>
              <w:ind w:left="480" w:hanging="480" w:hangingChars="200"/>
              <w:rPr>
                <w:rFonts w:ascii="仿宋_GB2312" w:eastAsia="仿宋_GB2312"/>
                <w:color w:val="auto"/>
                <w:sz w:val="24"/>
                <w:szCs w:val="24"/>
                <w:highlight w:val="none"/>
              </w:rPr>
            </w:pPr>
            <w:r>
              <w:rPr>
                <w:rFonts w:hint="eastAsia" w:ascii="仿宋_GB2312" w:eastAsia="仿宋_GB2312" w:hAnsiTheme="minorEastAsia"/>
                <w:color w:val="auto"/>
                <w:sz w:val="24"/>
                <w:szCs w:val="24"/>
                <w:highlight w:val="none"/>
              </w:rPr>
              <w:t>1.3 响应文件提交截止后，递交响应文件供应商不足3家的或有效响应文件供应商不足两家，应分析原因并重新发出采购公告（邀请书）或采取其他采购方式。</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511" w:hRule="atLeast"/>
        </w:trPr>
        <w:tc>
          <w:tcPr>
            <w:tcW w:w="959" w:type="dxa"/>
            <w:tcBorders>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2.询比规则</w:t>
            </w:r>
          </w:p>
        </w:tc>
        <w:tc>
          <w:tcPr>
            <w:tcW w:w="7938" w:type="dxa"/>
            <w:tcBorders>
              <w:bottom w:val="single" w:color="auto" w:sz="4" w:space="0"/>
            </w:tcBorders>
            <w:vAlign w:val="center"/>
          </w:tcPr>
          <w:p>
            <w:pPr>
              <w:adjustRightInd w:val="0"/>
              <w:snapToGrid w:val="0"/>
              <w:ind w:left="458" w:hanging="458" w:hangingChars="191"/>
              <w:rPr>
                <w:rFonts w:ascii="仿宋_GB2312" w:eastAsia="仿宋_GB2312"/>
                <w:color w:val="auto"/>
                <w:sz w:val="24"/>
                <w:szCs w:val="24"/>
                <w:highlight w:val="none"/>
              </w:rPr>
            </w:pPr>
            <w:r>
              <w:rPr>
                <w:rFonts w:hint="eastAsia" w:ascii="仿宋_GB2312" w:eastAsia="仿宋_GB2312" w:hAnsiTheme="minorEastAsia"/>
                <w:color w:val="auto"/>
                <w:sz w:val="24"/>
                <w:szCs w:val="24"/>
                <w:highlight w:val="none"/>
              </w:rPr>
              <w:t>2.1 报价应包括国家规定的增值税税金，增值税税金按一般计税方法计算。报价范围包括</w:t>
            </w:r>
            <w:r>
              <w:rPr>
                <w:rFonts w:hint="eastAsia" w:ascii="仿宋_GB2312" w:eastAsia="仿宋_GB2312" w:hAnsiTheme="minorEastAsia"/>
                <w:color w:val="auto"/>
                <w:sz w:val="24"/>
                <w:szCs w:val="24"/>
                <w:highlight w:val="none"/>
                <w:u w:val="single"/>
              </w:rPr>
              <w:t>本项目所有采购内容和范围。</w:t>
            </w:r>
            <w:r>
              <w:rPr>
                <w:rFonts w:hint="eastAsia" w:ascii="仿宋_GB2312" w:eastAsia="仿宋_GB2312"/>
                <w:color w:val="auto"/>
                <w:sz w:val="24"/>
                <w:szCs w:val="24"/>
                <w:highlight w:val="none"/>
              </w:rPr>
              <w:t xml:space="preserve"> </w:t>
            </w:r>
          </w:p>
          <w:p>
            <w:pPr>
              <w:adjustRightInd w:val="0"/>
              <w:snapToGrid w:val="0"/>
              <w:ind w:left="458" w:hanging="458" w:hangingChars="191"/>
              <w:rPr>
                <w:rFonts w:ascii="仿宋_GB2312" w:eastAsia="仿宋_GB2312"/>
                <w:color w:val="auto"/>
                <w:sz w:val="24"/>
                <w:szCs w:val="24"/>
                <w:highlight w:val="none"/>
              </w:rPr>
            </w:pPr>
            <w:r>
              <w:rPr>
                <w:rFonts w:hint="eastAsia" w:ascii="仿宋_GB2312" w:eastAsia="仿宋_GB2312"/>
                <w:color w:val="auto"/>
                <w:sz w:val="24"/>
                <w:szCs w:val="24"/>
                <w:highlight w:val="none"/>
              </w:rPr>
              <w:t xml:space="preserve">2.2 询比地址 </w:t>
            </w:r>
          </w:p>
          <w:p>
            <w:pPr>
              <w:adjustRightInd w:val="0"/>
              <w:snapToGrid w:val="0"/>
              <w:ind w:left="456" w:leftChars="217"/>
              <w:rPr>
                <w:rFonts w:ascii="仿宋_GB2312" w:eastAsia="仿宋_GB2312"/>
                <w:color w:val="auto"/>
                <w:sz w:val="24"/>
                <w:szCs w:val="24"/>
                <w:highlight w:val="none"/>
                <w:u w:val="single"/>
              </w:rPr>
            </w:pPr>
            <w:r>
              <w:rPr>
                <w:rFonts w:hint="eastAsia" w:ascii="仿宋_GB2312" w:eastAsia="仿宋_GB2312" w:hAnsiTheme="minorEastAsia"/>
                <w:color w:val="auto"/>
                <w:sz w:val="24"/>
                <w:szCs w:val="24"/>
                <w:highlight w:val="none"/>
                <w:u w:val="single"/>
              </w:rPr>
              <w:t>广州市天河区临江大道501号广州市净水有限公司</w:t>
            </w:r>
          </w:p>
          <w:p>
            <w:pPr>
              <w:adjustRightInd w:val="0"/>
              <w:snapToGrid w:val="0"/>
              <w:rPr>
                <w:rFonts w:ascii="仿宋_GB2312" w:eastAsia="仿宋_GB2312" w:hAnsiTheme="minorEastAsia"/>
                <w:color w:val="auto"/>
                <w:sz w:val="24"/>
                <w:szCs w:val="24"/>
                <w:highlight w:val="none"/>
                <w:u w:val="single"/>
              </w:rPr>
            </w:pPr>
            <w:r>
              <w:rPr>
                <w:rFonts w:hint="eastAsia" w:ascii="仿宋_GB2312" w:eastAsia="仿宋_GB2312" w:hAnsiTheme="minorEastAsia"/>
                <w:color w:val="auto"/>
                <w:sz w:val="24"/>
                <w:szCs w:val="24"/>
                <w:highlight w:val="none"/>
              </w:rPr>
              <w:t>2.3 询比开始时间（同响应文件截止时间）</w:t>
            </w:r>
          </w:p>
          <w:p>
            <w:pPr>
              <w:adjustRightInd w:val="0"/>
              <w:snapToGrid w:val="0"/>
              <w:ind w:left="480" w:hanging="480" w:hangingChars="200"/>
              <w:rPr>
                <w:rFonts w:ascii="仿宋_GB2312" w:eastAsia="仿宋_GB2312"/>
                <w:color w:val="auto"/>
                <w:sz w:val="24"/>
                <w:szCs w:val="24"/>
                <w:highlight w:val="none"/>
              </w:rPr>
            </w:pPr>
            <w:r>
              <w:rPr>
                <w:rFonts w:hint="eastAsia" w:ascii="仿宋_GB2312" w:eastAsia="仿宋_GB2312"/>
                <w:color w:val="auto"/>
                <w:sz w:val="24"/>
                <w:szCs w:val="24"/>
                <w:highlight w:val="none"/>
              </w:rPr>
              <w:t>2.4 供应商依据采购文件规定的时间和地点递交响应文件，供应商应一次报出不可更改的价格</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79" w:hRule="atLeast"/>
        </w:trPr>
        <w:tc>
          <w:tcPr>
            <w:tcW w:w="959" w:type="dxa"/>
            <w:tcBorders>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3.成交规则</w:t>
            </w:r>
          </w:p>
        </w:tc>
        <w:tc>
          <w:tcPr>
            <w:tcW w:w="7938" w:type="dxa"/>
            <w:tcBorders>
              <w:bottom w:val="single" w:color="auto" w:sz="4" w:space="0"/>
            </w:tcBorders>
            <w:vAlign w:val="center"/>
          </w:tcPr>
          <w:p>
            <w:pPr>
              <w:adjustRightInd w:val="0"/>
              <w:snapToGrid w:val="0"/>
              <w:ind w:left="360" w:hanging="360" w:hangingChars="15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sym w:font="Wingdings 2" w:char="0052"/>
            </w:r>
            <w:r>
              <w:rPr>
                <w:rFonts w:hint="eastAsia" w:ascii="仿宋_GB2312" w:eastAsia="仿宋_GB2312" w:hAnsiTheme="minorEastAsia"/>
                <w:color w:val="auto"/>
                <w:sz w:val="24"/>
                <w:szCs w:val="24"/>
                <w:highlight w:val="none"/>
              </w:rPr>
              <w:t>采购人确定满足采购文件资格性、响应性要求，并且经评审的报价最低的为成交供应商</w:t>
            </w:r>
          </w:p>
          <w:p>
            <w:pPr>
              <w:adjustRightInd w:val="0"/>
              <w:snapToGrid w:val="0"/>
              <w:ind w:left="360" w:hanging="360" w:hangingChars="15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sym w:font="Wingdings 2" w:char="00A3"/>
            </w:r>
            <w:r>
              <w:rPr>
                <w:rFonts w:hint="eastAsia" w:ascii="仿宋_GB2312" w:eastAsia="仿宋_GB2312" w:hAnsiTheme="minorEastAsia"/>
                <w:color w:val="auto"/>
                <w:sz w:val="24"/>
                <w:szCs w:val="24"/>
                <w:highlight w:val="none"/>
              </w:rPr>
              <w:t xml:space="preserve">评审小组按照采购文件确定的标准排序，采购人确定排名第一的供应商为成交供应商。 </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959" w:type="dxa"/>
            <w:tcBorders>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4.成交候选人公示</w:t>
            </w:r>
          </w:p>
        </w:tc>
        <w:tc>
          <w:tcPr>
            <w:tcW w:w="7938" w:type="dxa"/>
            <w:tcBorders>
              <w:bottom w:val="single" w:color="auto" w:sz="4" w:space="0"/>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在评审小组提交评审报告3日内，在</w:t>
            </w:r>
            <w:r>
              <w:rPr>
                <w:rFonts w:hint="eastAsia" w:ascii="仿宋_GB2312" w:eastAsia="仿宋_GB2312" w:hAnsiTheme="minorEastAsia"/>
                <w:color w:val="auto"/>
                <w:sz w:val="24"/>
                <w:szCs w:val="24"/>
                <w:highlight w:val="none"/>
                <w:u w:val="single"/>
              </w:rPr>
              <w:t>广州市净水有限公司门户网站</w:t>
            </w:r>
            <w:r>
              <w:rPr>
                <w:rFonts w:hint="eastAsia" w:ascii="仿宋_GB2312" w:eastAsia="仿宋_GB2312" w:hAnsiTheme="minorEastAsia"/>
                <w:color w:val="auto"/>
                <w:sz w:val="24"/>
                <w:szCs w:val="24"/>
                <w:highlight w:val="none"/>
              </w:rPr>
              <w:t>公示成交候选人。</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rPr>
          <w:trHeight w:val="1204" w:hRule="atLeast"/>
        </w:trPr>
        <w:tc>
          <w:tcPr>
            <w:tcW w:w="9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5.成交结果公告</w:t>
            </w:r>
          </w:p>
        </w:tc>
        <w:tc>
          <w:tcPr>
            <w:tcW w:w="7938" w:type="dxa"/>
            <w:tcBorders>
              <w:top w:val="single" w:color="auto" w:sz="4" w:space="0"/>
              <w:bottom w:val="single" w:color="auto" w:sz="4" w:space="0"/>
            </w:tcBorders>
            <w:vAlign w:val="center"/>
          </w:tcPr>
          <w:p>
            <w:pPr>
              <w:adjustRightInd w:val="0"/>
              <w:snapToGrid w:val="0"/>
              <w:rPr>
                <w:rFonts w:ascii="仿宋_GB2312" w:eastAsia="仿宋_GB2312" w:hAnsiTheme="minorEastAsia"/>
                <w:color w:val="auto"/>
                <w:sz w:val="24"/>
                <w:szCs w:val="24"/>
                <w:highlight w:val="none"/>
              </w:rPr>
            </w:pPr>
            <w:r>
              <w:rPr>
                <w:rFonts w:hint="eastAsia" w:ascii="仿宋_GB2312" w:eastAsia="仿宋_GB2312"/>
                <w:color w:val="auto"/>
                <w:sz w:val="24"/>
                <w:szCs w:val="24"/>
                <w:highlight w:val="none"/>
              </w:rPr>
              <w:t>成交候选人公示</w:t>
            </w:r>
            <w:r>
              <w:rPr>
                <w:rFonts w:hint="eastAsia" w:ascii="仿宋_GB2312" w:eastAsia="仿宋_GB2312" w:hAnsiTheme="minorEastAsia"/>
                <w:color w:val="auto"/>
                <w:sz w:val="24"/>
                <w:szCs w:val="24"/>
                <w:highlight w:val="none"/>
              </w:rPr>
              <w:t>结束后。</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53" w:hRule="atLeast"/>
        </w:trPr>
        <w:tc>
          <w:tcPr>
            <w:tcW w:w="9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6.成交通知书</w:t>
            </w:r>
          </w:p>
        </w:tc>
        <w:tc>
          <w:tcPr>
            <w:tcW w:w="7938" w:type="dxa"/>
            <w:tcBorders>
              <w:top w:val="single" w:color="auto" w:sz="4" w:space="0"/>
              <w:bottom w:val="single" w:color="auto" w:sz="4" w:space="0"/>
            </w:tcBorders>
            <w:vAlign w:val="center"/>
          </w:tcPr>
          <w:p>
            <w:pPr>
              <w:adjustRightInd w:val="0"/>
              <w:snapToGrid w:val="0"/>
              <w:ind w:left="1" w:firstLine="2"/>
              <w:jc w:val="left"/>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采购人应在确定成交供应商后及时向其发出成交通知书。</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PrEx>
        <w:trPr>
          <w:trHeight w:val="1204" w:hRule="atLeast"/>
        </w:trPr>
        <w:tc>
          <w:tcPr>
            <w:tcW w:w="959" w:type="dxa"/>
            <w:tcBorders>
              <w:top w:val="single" w:color="auto" w:sz="4" w:space="0"/>
              <w:bottom w:val="single" w:color="auto" w:sz="4" w:space="0"/>
            </w:tcBorders>
            <w:vAlign w:val="center"/>
          </w:tcPr>
          <w:p>
            <w:pPr>
              <w:adjustRightInd w:val="0"/>
              <w:snapToGrid w:val="0"/>
              <w:jc w:val="left"/>
              <w:rPr>
                <w:rFonts w:ascii="仿宋_GB2312" w:eastAsia="仿宋_GB2312"/>
                <w:color w:val="auto"/>
                <w:sz w:val="24"/>
                <w:szCs w:val="24"/>
                <w:highlight w:val="none"/>
              </w:rPr>
            </w:pPr>
            <w:r>
              <w:rPr>
                <w:rFonts w:hint="eastAsia" w:ascii="仿宋_GB2312" w:eastAsia="仿宋_GB2312"/>
                <w:color w:val="auto"/>
                <w:sz w:val="24"/>
                <w:szCs w:val="24"/>
                <w:highlight w:val="none"/>
              </w:rPr>
              <w:t>7.签订采购合同</w:t>
            </w:r>
          </w:p>
        </w:tc>
        <w:tc>
          <w:tcPr>
            <w:tcW w:w="7938" w:type="dxa"/>
            <w:tcBorders>
              <w:top w:val="single" w:color="auto" w:sz="4" w:space="0"/>
              <w:bottom w:val="single" w:color="auto" w:sz="4" w:space="0"/>
            </w:tcBorders>
            <w:vAlign w:val="center"/>
          </w:tcPr>
          <w:p>
            <w:pPr>
              <w:adjustRightInd w:val="0"/>
              <w:snapToGrid w:val="0"/>
              <w:ind w:left="1" w:firstLine="2"/>
              <w:jc w:val="left"/>
              <w:rPr>
                <w:rFonts w:ascii="仿宋_GB2312" w:eastAsia="仿宋_GB2312" w:hAnsiTheme="minorEastAsia"/>
                <w:color w:val="auto"/>
                <w:sz w:val="24"/>
                <w:szCs w:val="24"/>
                <w:highlight w:val="none"/>
              </w:rPr>
            </w:pPr>
            <w:r>
              <w:rPr>
                <w:rFonts w:hint="eastAsia" w:ascii="仿宋_GB2312" w:eastAsia="仿宋_GB2312" w:hAnsiTheme="minorEastAsia"/>
                <w:color w:val="auto"/>
                <w:sz w:val="24"/>
                <w:szCs w:val="24"/>
                <w:highlight w:val="none"/>
              </w:rPr>
              <w:t>采购人在发出成交通知书后30日内同成交供应商签订书面采购合同.</w:t>
            </w:r>
          </w:p>
        </w:tc>
      </w:tr>
    </w:tbl>
    <w:p>
      <w:pPr>
        <w:pStyle w:val="2"/>
        <w:ind w:firstLine="0"/>
        <w:rPr>
          <w:rFonts w:ascii="仿宋_GB2312" w:eastAsia="仿宋_GB2312"/>
          <w:color w:val="auto"/>
          <w:sz w:val="28"/>
          <w:szCs w:val="28"/>
          <w:highlight w:val="none"/>
        </w:rPr>
      </w:pPr>
    </w:p>
    <w:p>
      <w:pPr>
        <w:pStyle w:val="2"/>
        <w:rPr>
          <w:rFonts w:ascii="仿宋_GB2312" w:eastAsia="仿宋_GB2312"/>
          <w:color w:val="auto"/>
          <w:sz w:val="28"/>
          <w:szCs w:val="28"/>
          <w:highlight w:val="none"/>
        </w:rPr>
      </w:pPr>
    </w:p>
    <w:p>
      <w:pPr>
        <w:pStyle w:val="4"/>
        <w:ind w:firstLine="3520" w:firstLineChars="800"/>
        <w:jc w:val="both"/>
        <w:rPr>
          <w:rFonts w:hint="eastAsia"/>
          <w:color w:val="auto"/>
          <w:highlight w:val="none"/>
        </w:rPr>
      </w:pPr>
      <w:bookmarkStart w:id="34" w:name="_Toc7437"/>
      <w:bookmarkStart w:id="35" w:name="_Toc20594"/>
      <w:bookmarkStart w:id="36" w:name="_Toc4952"/>
      <w:bookmarkStart w:id="37" w:name="_Toc19759"/>
      <w:bookmarkStart w:id="38" w:name="_Toc14870"/>
      <w:bookmarkStart w:id="39" w:name="_Toc10930"/>
      <w:bookmarkStart w:id="40" w:name="_Toc7118"/>
      <w:bookmarkStart w:id="41" w:name="_Toc23581"/>
      <w:bookmarkStart w:id="42" w:name="_Toc14552"/>
      <w:bookmarkStart w:id="43" w:name="_Toc19050"/>
      <w:bookmarkStart w:id="44" w:name="_Toc3156"/>
      <w:r>
        <w:rPr>
          <w:color w:val="auto"/>
          <w:highlight w:val="none"/>
        </w:rPr>
        <mc:AlternateContent>
          <mc:Choice Requires="wps">
            <w:drawing>
              <wp:anchor distT="0" distB="0" distL="114300" distR="114300" simplePos="0" relativeHeight="251665408" behindDoc="0" locked="0" layoutInCell="1" allowOverlap="1">
                <wp:simplePos x="0" y="0"/>
                <wp:positionH relativeFrom="column">
                  <wp:posOffset>2306320</wp:posOffset>
                </wp:positionH>
                <wp:positionV relativeFrom="paragraph">
                  <wp:posOffset>720090</wp:posOffset>
                </wp:positionV>
                <wp:extent cx="958850" cy="0"/>
                <wp:effectExtent l="0" t="0" r="0" b="0"/>
                <wp:wrapNone/>
                <wp:docPr id="5" name="自选图形 7"/>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7" o:spid="_x0000_s1026" o:spt="32" type="#_x0000_t32" style="position:absolute;left:0pt;margin-left:181.6pt;margin-top:56.7pt;height:0pt;width:75.5pt;z-index:251665408;mso-width-relative:page;mso-height-relative:page;" filled="f" stroked="t" coordsize="21600,21600" o:gfxdata="UEsDBAoAAAAAAIdO4kAAAAAAAAAAAAAAAAAEAAAAZHJzL1BLAwQUAAAACACHTuJANWbC+tcAAAAL&#10;AQAADwAAAGRycy9kb3ducmV2LnhtbE2PwU7DMBBE70j8g7VIXBC1nbQVhDgVQuLAkbYSVzdekkC8&#10;jmKnKf16FgkJjjvzNDtTbk6+F0ccYxfIgF4oEEh1cB01Bva759s7EDFZcrYPhAa+MMKmurwobeHC&#10;TK943KZGcAjFwhpoUxoKKWPdordxEQYk9t7D6G3ic2ykG+3M4b6XmVJr6W1H/KG1Az61WH9uJ28A&#10;47TS6vHeN/uX83zzlp0/5mFnzPWVVg8gEp7SHww/9bk6VNzpECZyUfQG8nWeMcqGzpcgmFjpJSuH&#10;X0VWpfy/ofoGUEsDBBQAAAAIAIdO4kCQaLgR8gEAAOIDAAAOAAAAZHJzL2Uyb0RvYy54bWytU72O&#10;EzEQ7pF4B8s92SRSIKyyuSLhaBBEAh5gYnuzlvwnjy+bdHSIZ6Cj5B3gbU463oKxN5eDo0nBFt6x&#10;Z+ab+T6PF1cHa9heRdTeNXwyGnOmnPBSu13DP364fjbnDBM4CcY71fCjQn61fPpk0YdaTX3njVSR&#10;EYjDug8N71IKdVWh6JQFHPmgHDlbHy0k2sZdJSP0hG5NNR2Pn1e9jzJELxQina4HJz8hxksAfdtq&#10;odZe3Fjl0oAalYFElLDTAfmydNu2SqR3bYsqMdNwYprKSkXI3ua1Wi6g3kUInRanFuCSFh5xsqAd&#10;FT1DrSEBu4n6HyirRfTo2zQS3lYDkaIIsZiMH2nzvoOgCheSGsNZdPx/sOLtfhOZlg2fcebA0oXf&#10;ff7+69OX268/b398Yy+yQn3AmgJXbhNPOwybmOke2mjzn4iwQ1H1eFZVHRITdPhyNp/PSG9x76oe&#10;8kLE9Fp5y7LRcEwR9K5LK+8cXZ2PkyIq7N9gosqUeJ+QixrH+gw/pdYF0Ci2NAJk2kB00O1KLnqj&#10;5bU2Jmdg3G1XJrI95HEoX+ZHuH+F5SJrwG6IK65hUDoF8pWTLB0DCeXoffDcglWSM6PoOWWLAKFO&#10;oM0lkVTaOOogSzyImq2tl8eidTmnqy89nsY0z9af+5L98DS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1ZsL61wAAAAsBAAAPAAAAAAAAAAEAIAAAACIAAABkcnMvZG93bnJldi54bWxQSwECFAAU&#10;AAAACACHTuJAkGi4EfIBAADiAwAADgAAAAAAAAABACAAAAAmAQAAZHJzL2Uyb0RvYy54bWxQSwUG&#10;AAAAAAYABgBZAQAAigU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64384" behindDoc="0" locked="0" layoutInCell="1" allowOverlap="1">
                <wp:simplePos x="0" y="0"/>
                <wp:positionH relativeFrom="column">
                  <wp:posOffset>2325370</wp:posOffset>
                </wp:positionH>
                <wp:positionV relativeFrom="paragraph">
                  <wp:posOffset>270510</wp:posOffset>
                </wp:positionV>
                <wp:extent cx="958850" cy="0"/>
                <wp:effectExtent l="0" t="0" r="0" b="0"/>
                <wp:wrapNone/>
                <wp:docPr id="4" name="自选图形 6"/>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6" o:spid="_x0000_s1026" o:spt="32" type="#_x0000_t32" style="position:absolute;left:0pt;margin-left:183.1pt;margin-top:21.3pt;height:0pt;width:75.5pt;z-index:251664384;mso-width-relative:page;mso-height-relative:page;" filled="f" stroked="t" coordsize="21600,21600" o:gfxdata="UEsDBAoAAAAAAIdO4kAAAAAAAAAAAAAAAAAEAAAAZHJzL1BLAwQUAAAACACHTuJAnw64ENcAAAAJ&#10;AQAADwAAAGRycy9kb3ducmV2LnhtbE2PwU7DMAyG70i8Q2QkLoglLaxA13RCSBw4sk3aNWtMW9Y4&#10;VZOuY0+PEYft6N+ffn8ulkfXiQMOofWkIZkpEEiVty3VGjbr9/tnECEasqbzhBp+MMCyvL4qTG79&#10;RJ94WMVacAmF3GhoYuxzKUPVoDNh5nsk3n35wZnI41BLO5iJy10nU6Uy6UxLfKExPb41WO1Xo9OA&#10;YZwn6vXF1ZuP03S3TU/fU7/W+vYmUQsQEY/xDMOfPqtDyU47P5INotPwkGUpoxoe0wwEA/PkiYPd&#10;fyDLQl5+UP4CUEsDBBQAAAAIAIdO4kAB+MOg8gEAAOIDAAAOAAAAZHJzL2Uyb0RvYy54bWytU72O&#10;EzEQ7pF4B8s92SQip7DK5oqEo0EQCXiAie3dteQ/eXzZpKNDPAMdJe8Ab3MSvAVjJ5eDo0nBFt6x&#10;Z+ab+T6PF9d7a9hORdTeNXwyGnOmnPBSu67hH97fPJtzhgmcBOOdavhBIb9ePn2yGEKtpr73RqrI&#10;CMRhPYSG9ymFuqpQ9MoCjnxQjpytjxYSbWNXyQgDoVtTTcfjq2rwUYbohUKk0/XRyU+I8RJA37Za&#10;qLUXt1a5dESNykAiStjrgHxZum1bJdLbtkWVmGk4MU1lpSJkb/NaLRdQdxFCr8WpBbikhUecLGhH&#10;Rc9Qa0jAbqP+B8pqET36No2Et9WRSFGEWEzGj7R510NQhQtJjeEsOv4/WPFmt4lMy4Y/58yBpQv/&#10;+enbr4+f7778uPv+lV1lhYaANQWu3Caedhg2MdPdt9HmPxFh+6Lq4ayq2icm6PDFbD6fkd7i3lU9&#10;5IWI6ZXylmWj4Zgi6K5PK+8cXZ2PkyIq7F5josqUeJ+QixrHhgw/nRE40Ci2NAJk2kB00HUlF73R&#10;8kYbkzMwdtuViWwHeRzKl/kR7l9hucgasD/GFddxUHoF8qWTLB0CCeXoffDcglWSM6PoOWWLAKFO&#10;oM0lkVTaOOogS3wUNVtbLw9F63JOV196PI1pnq0/9yX74Wkuf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fDrgQ1wAAAAkBAAAPAAAAAAAAAAEAIAAAACIAAABkcnMvZG93bnJldi54bWxQSwECFAAU&#10;AAAACACHTuJAAfjDoPIBAADiAwAADgAAAAAAAAABACAAAAAmAQAAZHJzL2Uyb0RvYy54bWxQSwUG&#10;AAAAAAYABgBZAQAAigUAAAAA&#10;">
                <v:fill on="f" focussize="0,0"/>
                <v:stroke color="#000000" joinstyle="round"/>
                <v:imagedata o:title=""/>
                <o:lock v:ext="edit" aspectratio="f"/>
              </v:shape>
            </w:pict>
          </mc:Fallback>
        </mc:AlternateContent>
      </w:r>
      <w:r>
        <w:rPr>
          <w:rFonts w:hint="eastAsia"/>
          <w:color w:val="auto"/>
          <w:highlight w:val="none"/>
        </w:rPr>
        <w:t>第四章</w:t>
      </w:r>
      <w:bookmarkEnd w:id="34"/>
      <w:bookmarkEnd w:id="35"/>
      <w:bookmarkEnd w:id="36"/>
      <w:bookmarkEnd w:id="37"/>
      <w:bookmarkEnd w:id="38"/>
      <w:bookmarkEnd w:id="39"/>
      <w:bookmarkEnd w:id="40"/>
      <w:bookmarkEnd w:id="41"/>
      <w:bookmarkEnd w:id="42"/>
      <w:bookmarkEnd w:id="43"/>
      <w:bookmarkEnd w:id="44"/>
      <w:r>
        <w:rPr>
          <w:rFonts w:hint="eastAsia"/>
          <w:color w:val="auto"/>
          <w:highlight w:val="none"/>
          <w:lang w:val="en-US" w:eastAsia="zh-CN"/>
        </w:rPr>
        <w:t xml:space="preserve"> </w:t>
      </w:r>
    </w:p>
    <w:p>
      <w:pPr>
        <w:pStyle w:val="34"/>
        <w:rPr>
          <w:color w:val="auto"/>
          <w:highlight w:val="none"/>
        </w:rPr>
      </w:pPr>
    </w:p>
    <w:p>
      <w:pPr>
        <w:pStyle w:val="4"/>
        <w:rPr>
          <w:color w:val="auto"/>
          <w:highlight w:val="none"/>
        </w:rPr>
      </w:pPr>
      <w:bookmarkStart w:id="45" w:name="_Toc29484"/>
      <w:bookmarkStart w:id="46" w:name="_Toc6308"/>
      <w:bookmarkStart w:id="47" w:name="_Toc21079"/>
      <w:bookmarkStart w:id="48" w:name="_Toc30530"/>
      <w:bookmarkStart w:id="49" w:name="_Toc88209941"/>
      <w:bookmarkStart w:id="50" w:name="_Toc29345"/>
      <w:bookmarkStart w:id="51" w:name="_Toc87616378"/>
      <w:bookmarkStart w:id="52" w:name="_Toc32607"/>
      <w:bookmarkStart w:id="53" w:name="_Toc21840"/>
      <w:bookmarkStart w:id="54" w:name="_Toc13898"/>
      <w:bookmarkStart w:id="55" w:name="_Toc12177"/>
      <w:bookmarkStart w:id="56" w:name="_Toc22212"/>
      <w:bookmarkStart w:id="57" w:name="_Toc7831"/>
      <w:r>
        <w:rPr>
          <w:rFonts w:hint="eastAsia"/>
          <w:color w:val="auto"/>
          <w:highlight w:val="none"/>
        </w:rPr>
        <w:t>评审办法</w:t>
      </w:r>
      <w:bookmarkEnd w:id="45"/>
      <w:bookmarkEnd w:id="46"/>
      <w:bookmarkEnd w:id="47"/>
      <w:bookmarkEnd w:id="48"/>
      <w:bookmarkEnd w:id="49"/>
      <w:bookmarkEnd w:id="50"/>
      <w:bookmarkEnd w:id="51"/>
      <w:bookmarkEnd w:id="52"/>
      <w:bookmarkEnd w:id="53"/>
      <w:bookmarkEnd w:id="54"/>
      <w:bookmarkEnd w:id="55"/>
      <w:bookmarkEnd w:id="56"/>
      <w:bookmarkEnd w:id="57"/>
    </w:p>
    <w:p>
      <w:pPr>
        <w:adjustRightInd w:val="0"/>
        <w:snapToGrid w:val="0"/>
        <w:spacing w:before="156" w:beforeLines="50" w:after="156" w:afterLines="50" w:line="600" w:lineRule="exact"/>
        <w:jc w:val="center"/>
        <w:rPr>
          <w:rFonts w:ascii="方正小标宋简体" w:eastAsia="方正小标宋简体"/>
          <w:color w:val="auto"/>
          <w:sz w:val="44"/>
          <w:szCs w:val="44"/>
          <w:highlight w:val="none"/>
        </w:rPr>
      </w:pPr>
    </w:p>
    <w:p>
      <w:pPr>
        <w:adjustRightInd w:val="0"/>
        <w:snapToGrid w:val="0"/>
        <w:spacing w:before="156" w:beforeLines="50" w:after="156" w:afterLines="50" w:line="600" w:lineRule="exact"/>
        <w:jc w:val="center"/>
        <w:rPr>
          <w:rFonts w:ascii="方正小标宋简体" w:eastAsia="方正小标宋简体"/>
          <w:color w:val="auto"/>
          <w:sz w:val="44"/>
          <w:szCs w:val="44"/>
          <w:highlight w:val="none"/>
        </w:rPr>
      </w:pPr>
    </w:p>
    <w:p>
      <w:pPr>
        <w:adjustRightInd w:val="0"/>
        <w:snapToGrid w:val="0"/>
        <w:spacing w:before="156" w:beforeLines="50" w:after="156" w:afterLines="50" w:line="600" w:lineRule="exact"/>
        <w:jc w:val="center"/>
        <w:rPr>
          <w:rFonts w:ascii="方正小标宋简体" w:eastAsia="方正小标宋简体"/>
          <w:color w:val="auto"/>
          <w:sz w:val="44"/>
          <w:szCs w:val="44"/>
          <w:highlight w:val="none"/>
        </w:rPr>
      </w:pPr>
    </w:p>
    <w:p>
      <w:pPr>
        <w:adjustRightInd w:val="0"/>
        <w:snapToGrid w:val="0"/>
        <w:spacing w:before="156" w:beforeLines="50" w:after="156" w:afterLines="50" w:line="600" w:lineRule="exact"/>
        <w:jc w:val="center"/>
        <w:rPr>
          <w:rFonts w:ascii="方正小标宋简体" w:eastAsia="方正小标宋简体"/>
          <w:color w:val="auto"/>
          <w:sz w:val="44"/>
          <w:szCs w:val="44"/>
          <w:highlight w:val="none"/>
        </w:rPr>
      </w:pPr>
    </w:p>
    <w:p>
      <w:pPr>
        <w:adjustRightInd w:val="0"/>
        <w:snapToGrid w:val="0"/>
        <w:spacing w:before="156" w:beforeLines="50" w:after="156" w:afterLines="50" w:line="600" w:lineRule="exact"/>
        <w:jc w:val="center"/>
        <w:rPr>
          <w:rFonts w:ascii="方正小标宋简体" w:eastAsia="方正小标宋简体"/>
          <w:color w:val="auto"/>
          <w:sz w:val="44"/>
          <w:szCs w:val="44"/>
          <w:highlight w:val="none"/>
        </w:rPr>
      </w:pPr>
    </w:p>
    <w:p>
      <w:pPr>
        <w:adjustRightInd w:val="0"/>
        <w:snapToGrid w:val="0"/>
        <w:spacing w:before="156" w:beforeLines="50" w:after="156" w:afterLines="50" w:line="600" w:lineRule="exact"/>
        <w:jc w:val="center"/>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pStyle w:val="2"/>
        <w:ind w:firstLine="0"/>
        <w:rPr>
          <w:rFonts w:ascii="方正小标宋简体" w:eastAsia="方正小标宋简体"/>
          <w:color w:val="auto"/>
          <w:sz w:val="44"/>
          <w:szCs w:val="44"/>
          <w:highlight w:val="none"/>
        </w:rPr>
      </w:pPr>
    </w:p>
    <w:p>
      <w:pPr>
        <w:pStyle w:val="2"/>
        <w:ind w:firstLine="0"/>
        <w:rPr>
          <w:rFonts w:ascii="方正小标宋简体" w:eastAsia="方正小标宋简体"/>
          <w:color w:val="auto"/>
          <w:sz w:val="44"/>
          <w:szCs w:val="44"/>
          <w:highlight w:val="none"/>
        </w:rPr>
      </w:pPr>
    </w:p>
    <w:p>
      <w:pPr>
        <w:pStyle w:val="5"/>
        <w:jc w:val="both"/>
        <w:rPr>
          <w:rFonts w:hint="eastAsia"/>
          <w:color w:val="auto"/>
          <w:highlight w:val="none"/>
        </w:rPr>
      </w:pPr>
      <w:bookmarkStart w:id="58" w:name="_Toc26826"/>
      <w:bookmarkStart w:id="59" w:name="_Toc23033"/>
    </w:p>
    <w:p>
      <w:pPr>
        <w:pStyle w:val="5"/>
        <w:jc w:val="center"/>
        <w:rPr>
          <w:color w:val="auto"/>
          <w:highlight w:val="none"/>
        </w:rPr>
      </w:pPr>
      <w:r>
        <w:rPr>
          <w:rFonts w:hint="eastAsia"/>
          <w:color w:val="auto"/>
          <w:highlight w:val="none"/>
        </w:rPr>
        <w:sym w:font="Wingdings 2" w:char="0052"/>
      </w:r>
      <w:r>
        <w:rPr>
          <w:rFonts w:hint="eastAsia"/>
          <w:color w:val="auto"/>
          <w:highlight w:val="none"/>
        </w:rPr>
        <w:t>经评审的最低价法</w:t>
      </w:r>
      <w:bookmarkEnd w:id="58"/>
      <w:bookmarkEnd w:id="59"/>
    </w:p>
    <w:p>
      <w:pPr>
        <w:adjustRightInd w:val="0"/>
        <w:snapToGrid w:val="0"/>
        <w:spacing w:line="600" w:lineRule="exact"/>
        <w:jc w:val="left"/>
        <w:rPr>
          <w:rFonts w:asciiTheme="minorEastAsia" w:hAnsiTheme="minorEastAsia"/>
          <w:b/>
          <w:color w:val="auto"/>
          <w:sz w:val="28"/>
          <w:szCs w:val="28"/>
          <w:highlight w:val="none"/>
        </w:rPr>
      </w:pPr>
      <w:r>
        <w:rPr>
          <w:rFonts w:hint="eastAsia" w:asciiTheme="minorEastAsia" w:hAnsiTheme="minorEastAsia"/>
          <w:b/>
          <w:color w:val="auto"/>
          <w:sz w:val="28"/>
          <w:szCs w:val="28"/>
          <w:highlight w:val="none"/>
        </w:rPr>
        <w:t>1.评审方法</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供应商的报价应当符合采购文件规定的技术要求和标准，但评审小组无须对响应文件的技术部分进行价格评审。</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除报价外，评审还应考虑的商务因素一般有以下几种：</w:t>
      </w:r>
    </w:p>
    <w:p>
      <w:pPr>
        <w:adjustRightInd w:val="0"/>
        <w:snapToGrid w:val="0"/>
        <w:spacing w:line="600" w:lineRule="exact"/>
        <w:ind w:firstLine="420" w:firstLineChars="150"/>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（1）运输费用及保险费。（如有）</w:t>
      </w:r>
    </w:p>
    <w:p>
      <w:pPr>
        <w:adjustRightInd w:val="0"/>
        <w:snapToGrid w:val="0"/>
        <w:spacing w:line="600" w:lineRule="exact"/>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 xml:space="preserve">   （2）工期、交货期或服务期限。</w:t>
      </w:r>
    </w:p>
    <w:p>
      <w:pPr>
        <w:adjustRightInd w:val="0"/>
        <w:snapToGrid w:val="0"/>
        <w:spacing w:line="600" w:lineRule="exact"/>
        <w:ind w:firstLine="420" w:firstLineChars="150"/>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（3）支付条件。</w:t>
      </w:r>
    </w:p>
    <w:p>
      <w:pPr>
        <w:adjustRightInd w:val="0"/>
        <w:snapToGrid w:val="0"/>
        <w:spacing w:line="600" w:lineRule="exact"/>
        <w:ind w:firstLine="420" w:firstLineChars="150"/>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（4）备品备件以及售后服务（如有）。</w:t>
      </w:r>
    </w:p>
    <w:p>
      <w:pPr>
        <w:adjustRightInd w:val="0"/>
        <w:snapToGrid w:val="0"/>
        <w:spacing w:line="600" w:lineRule="exact"/>
        <w:ind w:firstLine="420" w:firstLineChars="150"/>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（5）价格调整因素。</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经澄清确认后修正的最终报价应当认为是供应商的真实要约，可以作为合同签约价。</w:t>
      </w:r>
    </w:p>
    <w:p>
      <w:pPr>
        <w:adjustRightInd w:val="0"/>
        <w:snapToGrid w:val="0"/>
        <w:spacing w:line="600" w:lineRule="exact"/>
        <w:jc w:val="left"/>
        <w:rPr>
          <w:rFonts w:asciiTheme="minorEastAsia" w:hAnsiTheme="minorEastAsia"/>
          <w:b/>
          <w:color w:val="auto"/>
          <w:sz w:val="28"/>
          <w:szCs w:val="28"/>
          <w:highlight w:val="none"/>
        </w:rPr>
      </w:pPr>
      <w:r>
        <w:rPr>
          <w:rFonts w:hint="eastAsia" w:asciiTheme="minorEastAsia" w:hAnsiTheme="minorEastAsia"/>
          <w:b/>
          <w:color w:val="auto"/>
          <w:sz w:val="28"/>
          <w:szCs w:val="28"/>
          <w:highlight w:val="none"/>
        </w:rPr>
        <w:t>2.评审程序</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2.1 初步评审</w:t>
      </w:r>
    </w:p>
    <w:p>
      <w:pPr>
        <w:adjustRightInd w:val="0"/>
        <w:snapToGrid w:val="0"/>
        <w:spacing w:line="600" w:lineRule="exact"/>
        <w:jc w:val="left"/>
        <w:rPr>
          <w:rFonts w:ascii="仿宋_GB2312" w:eastAsia="仿宋_GB2312" w:hAnsiTheme="minorEastAsia"/>
          <w:color w:val="auto"/>
          <w:sz w:val="28"/>
          <w:szCs w:val="28"/>
          <w:highlight w:val="none"/>
        </w:rPr>
      </w:pPr>
      <w:r>
        <w:rPr>
          <w:rFonts w:ascii="仿宋_GB2312" w:eastAsia="仿宋_GB2312"/>
          <w:color w:val="auto"/>
          <w:sz w:val="28"/>
          <w:szCs w:val="28"/>
          <w:highlight w:val="none"/>
        </w:rPr>
        <w:t>表</w:t>
      </w:r>
      <w:r>
        <w:rPr>
          <w:rFonts w:hint="eastAsia" w:ascii="仿宋_GB2312" w:eastAsia="仿宋_GB2312"/>
          <w:color w:val="auto"/>
          <w:sz w:val="28"/>
          <w:szCs w:val="28"/>
          <w:highlight w:val="none"/>
        </w:rPr>
        <w:t>4-1                      初步评审标准</w:t>
      </w:r>
    </w:p>
    <w:tbl>
      <w:tblPr>
        <w:tblStyle w:val="22"/>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56"/>
        <w:gridCol w:w="2127"/>
        <w:gridCol w:w="5528"/>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80" w:hRule="atLeast"/>
          <w:tblHeader/>
        </w:trPr>
        <w:tc>
          <w:tcPr>
            <w:tcW w:w="1356"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评审环节</w:t>
            </w:r>
          </w:p>
        </w:tc>
        <w:tc>
          <w:tcPr>
            <w:tcW w:w="2127"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评审</w:t>
            </w:r>
            <w:r>
              <w:rPr>
                <w:rFonts w:ascii="仿宋_GB2312" w:eastAsia="仿宋_GB2312"/>
                <w:color w:val="auto"/>
                <w:sz w:val="28"/>
                <w:szCs w:val="28"/>
                <w:highlight w:val="none"/>
              </w:rPr>
              <w:t>因素</w:t>
            </w:r>
          </w:p>
        </w:tc>
        <w:tc>
          <w:tcPr>
            <w:tcW w:w="5528"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8"/>
                <w:szCs w:val="28"/>
                <w:highlight w:val="none"/>
              </w:rPr>
            </w:pPr>
            <w:r>
              <w:rPr>
                <w:rFonts w:hint="eastAsia" w:ascii="仿宋_GB2312" w:eastAsia="仿宋_GB2312"/>
                <w:color w:val="auto"/>
                <w:sz w:val="28"/>
                <w:szCs w:val="28"/>
                <w:highlight w:val="none"/>
              </w:rPr>
              <w:t>评审</w:t>
            </w:r>
            <w:r>
              <w:rPr>
                <w:rFonts w:ascii="仿宋_GB2312" w:eastAsia="仿宋_GB2312"/>
                <w:color w:val="auto"/>
                <w:sz w:val="28"/>
                <w:szCs w:val="28"/>
                <w:highlight w:val="none"/>
              </w:rPr>
              <w:t>标准</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1356" w:type="dxa"/>
            <w:vMerge w:val="restart"/>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形式评审</w:t>
            </w:r>
          </w:p>
        </w:tc>
        <w:tc>
          <w:tcPr>
            <w:tcW w:w="2127" w:type="dxa"/>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响应函签字盖章</w:t>
            </w:r>
          </w:p>
        </w:tc>
        <w:tc>
          <w:tcPr>
            <w:tcW w:w="5528" w:type="dxa"/>
            <w:tcBorders>
              <w:top w:val="single" w:color="auto" w:sz="4" w:space="0"/>
              <w:bottom w:val="single" w:color="auto" w:sz="4" w:space="0"/>
            </w:tcBorders>
            <w:vAlign w:val="center"/>
          </w:tcPr>
          <w:p>
            <w:pPr>
              <w:adjustRightInd w:val="0"/>
              <w:snapToGrid w:val="0"/>
              <w:rPr>
                <w:rFonts w:ascii="仿宋_GB2312" w:eastAsia="仿宋_GB2312"/>
                <w:color w:val="auto"/>
                <w:sz w:val="24"/>
                <w:szCs w:val="24"/>
                <w:highlight w:val="none"/>
              </w:rPr>
            </w:pPr>
            <w:r>
              <w:rPr>
                <w:rFonts w:ascii="仿宋_GB2312" w:eastAsia="仿宋_GB2312"/>
                <w:color w:val="auto"/>
                <w:sz w:val="24"/>
                <w:szCs w:val="24"/>
                <w:highlight w:val="none"/>
              </w:rPr>
              <w:t>有响应函</w:t>
            </w:r>
            <w:r>
              <w:rPr>
                <w:rFonts w:hint="eastAsia" w:ascii="仿宋_GB2312" w:eastAsia="仿宋_GB2312"/>
                <w:color w:val="auto"/>
                <w:sz w:val="24"/>
                <w:szCs w:val="24"/>
                <w:highlight w:val="none"/>
              </w:rPr>
              <w:t>，</w:t>
            </w:r>
            <w:r>
              <w:rPr>
                <w:rFonts w:ascii="仿宋_GB2312" w:eastAsia="仿宋_GB2312"/>
                <w:color w:val="auto"/>
                <w:sz w:val="24"/>
                <w:szCs w:val="24"/>
                <w:highlight w:val="none"/>
              </w:rPr>
              <w:t>有法定代表人或其委托代理人签字并加盖单位章</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356" w:type="dxa"/>
            <w:vMerge w:val="continue"/>
            <w:vAlign w:val="center"/>
          </w:tcPr>
          <w:p>
            <w:pPr>
              <w:adjustRightInd w:val="0"/>
              <w:snapToGrid w:val="0"/>
              <w:jc w:val="center"/>
              <w:rPr>
                <w:rFonts w:ascii="仿宋_GB2312" w:eastAsia="仿宋_GB2312"/>
                <w:color w:val="auto"/>
                <w:sz w:val="24"/>
                <w:szCs w:val="24"/>
                <w:highlight w:val="none"/>
              </w:rPr>
            </w:pPr>
          </w:p>
        </w:tc>
        <w:tc>
          <w:tcPr>
            <w:tcW w:w="2127" w:type="dxa"/>
            <w:tcBorders>
              <w:top w:val="single" w:color="auto" w:sz="4" w:space="0"/>
              <w:bottom w:val="single" w:color="auto" w:sz="4" w:space="0"/>
            </w:tcBorders>
            <w:vAlign w:val="center"/>
          </w:tcPr>
          <w:p>
            <w:pPr>
              <w:adjustRightInd w:val="0"/>
              <w:snapToGrid w:val="0"/>
              <w:spacing w:line="600" w:lineRule="exact"/>
              <w:jc w:val="center"/>
              <w:rPr>
                <w:rFonts w:ascii="仿宋_GB2312" w:eastAsia="仿宋_GB2312"/>
                <w:color w:val="auto"/>
                <w:sz w:val="24"/>
                <w:szCs w:val="24"/>
                <w:highlight w:val="none"/>
              </w:rPr>
            </w:pPr>
            <w:r>
              <w:rPr>
                <w:rFonts w:ascii="仿宋_GB2312" w:eastAsia="仿宋_GB2312"/>
                <w:color w:val="auto"/>
                <w:sz w:val="24"/>
                <w:szCs w:val="24"/>
                <w:highlight w:val="none"/>
              </w:rPr>
              <w:t>响应文件格式</w:t>
            </w:r>
          </w:p>
        </w:tc>
        <w:tc>
          <w:tcPr>
            <w:tcW w:w="5528" w:type="dxa"/>
            <w:tcBorders>
              <w:top w:val="single" w:color="auto" w:sz="4" w:space="0"/>
              <w:bottom w:val="single" w:color="auto" w:sz="4" w:space="0"/>
            </w:tcBorders>
            <w:vAlign w:val="center"/>
          </w:tcPr>
          <w:p>
            <w:pPr>
              <w:adjustRightInd w:val="0"/>
              <w:snapToGrid w:val="0"/>
              <w:spacing w:line="600" w:lineRule="exact"/>
              <w:rPr>
                <w:rFonts w:ascii="仿宋_GB2312" w:eastAsia="仿宋_GB2312"/>
                <w:color w:val="auto"/>
                <w:sz w:val="24"/>
                <w:szCs w:val="24"/>
                <w:highlight w:val="none"/>
              </w:rPr>
            </w:pPr>
            <w:r>
              <w:rPr>
                <w:rFonts w:ascii="仿宋_GB2312" w:eastAsia="仿宋_GB2312"/>
                <w:color w:val="auto"/>
                <w:sz w:val="24"/>
                <w:szCs w:val="24"/>
                <w:highlight w:val="none"/>
              </w:rPr>
              <w:t>符合采购文件</w:t>
            </w:r>
            <w:r>
              <w:rPr>
                <w:rFonts w:hint="eastAsia" w:ascii="仿宋_GB2312" w:eastAsia="仿宋_GB2312"/>
                <w:color w:val="auto"/>
                <w:sz w:val="24"/>
                <w:szCs w:val="24"/>
                <w:highlight w:val="none"/>
              </w:rPr>
              <w:t>“响应文件格式”要求</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1356" w:type="dxa"/>
            <w:vMerge w:val="continue"/>
            <w:vAlign w:val="center"/>
          </w:tcPr>
          <w:p>
            <w:pPr>
              <w:adjustRightInd w:val="0"/>
              <w:snapToGrid w:val="0"/>
              <w:jc w:val="center"/>
              <w:rPr>
                <w:rFonts w:ascii="仿宋_GB2312" w:eastAsia="仿宋_GB2312"/>
                <w:color w:val="auto"/>
                <w:sz w:val="24"/>
                <w:szCs w:val="24"/>
                <w:highlight w:val="none"/>
              </w:rPr>
            </w:pPr>
          </w:p>
        </w:tc>
        <w:tc>
          <w:tcPr>
            <w:tcW w:w="2127" w:type="dxa"/>
            <w:tcBorders>
              <w:top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报价唯一</w:t>
            </w:r>
          </w:p>
        </w:tc>
        <w:tc>
          <w:tcPr>
            <w:tcW w:w="5528" w:type="dxa"/>
            <w:tcBorders>
              <w:top w:val="single" w:color="auto" w:sz="4" w:space="0"/>
            </w:tcBorders>
            <w:vAlign w:val="center"/>
          </w:tcPr>
          <w:p>
            <w:pPr>
              <w:adjustRightInd w:val="0"/>
              <w:snapToGrid w:val="0"/>
              <w:rPr>
                <w:rFonts w:ascii="仿宋_GB2312" w:eastAsia="仿宋_GB2312"/>
                <w:color w:val="auto"/>
                <w:sz w:val="24"/>
                <w:szCs w:val="24"/>
                <w:highlight w:val="none"/>
              </w:rPr>
            </w:pPr>
            <w:r>
              <w:rPr>
                <w:rFonts w:ascii="仿宋_GB2312" w:eastAsia="仿宋_GB2312"/>
                <w:color w:val="auto"/>
                <w:sz w:val="24"/>
                <w:szCs w:val="24"/>
                <w:highlight w:val="none"/>
              </w:rPr>
              <w:t>只能有一个有效报价</w:t>
            </w:r>
            <w:r>
              <w:rPr>
                <w:rFonts w:hint="eastAsia" w:ascii="仿宋_GB2312" w:eastAsia="仿宋_GB2312"/>
                <w:color w:val="auto"/>
                <w:sz w:val="24"/>
                <w:szCs w:val="24"/>
                <w:highlight w:val="none"/>
              </w:rPr>
              <w:t>，</w:t>
            </w:r>
            <w:r>
              <w:rPr>
                <w:rFonts w:ascii="仿宋_GB2312" w:eastAsia="仿宋_GB2312"/>
                <w:color w:val="auto"/>
                <w:sz w:val="24"/>
                <w:szCs w:val="24"/>
                <w:highlight w:val="none"/>
              </w:rPr>
              <w:t>按采购文件规定提交备选方案除外</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vMerge w:val="restart"/>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资格评审</w:t>
            </w:r>
          </w:p>
        </w:tc>
        <w:tc>
          <w:tcPr>
            <w:tcW w:w="2127" w:type="dxa"/>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营业执照</w:t>
            </w:r>
          </w:p>
        </w:tc>
        <w:tc>
          <w:tcPr>
            <w:tcW w:w="5528" w:type="dxa"/>
            <w:vAlign w:val="center"/>
          </w:tcPr>
          <w:p>
            <w:pPr>
              <w:adjustRightInd w:val="0"/>
              <w:snapToGrid w:val="0"/>
              <w:rPr>
                <w:rFonts w:ascii="仿宋_GB2312" w:eastAsia="仿宋_GB2312"/>
                <w:color w:val="auto"/>
                <w:sz w:val="24"/>
                <w:szCs w:val="24"/>
                <w:highlight w:val="none"/>
              </w:rPr>
            </w:pPr>
            <w:r>
              <w:rPr>
                <w:rFonts w:hint="eastAsia" w:ascii="仿宋_GB2312" w:eastAsia="仿宋_GB2312"/>
                <w:color w:val="auto"/>
                <w:sz w:val="24"/>
                <w:szCs w:val="24"/>
                <w:highlight w:val="none"/>
              </w:rPr>
              <w:t>报价单位须是在中华人民共和国境内注册的法人或其他组织，具有独立法人资格，持有事业单位登记管理部门核发的事业单位法人证书或工商行政管理部门核发的企业法人营业执照，且在有效期内。</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1356" w:type="dxa"/>
            <w:vMerge w:val="continue"/>
            <w:vAlign w:val="center"/>
          </w:tcPr>
          <w:p>
            <w:pPr>
              <w:adjustRightInd w:val="0"/>
              <w:snapToGrid w:val="0"/>
              <w:jc w:val="center"/>
              <w:rPr>
                <w:rFonts w:ascii="仿宋_GB2312" w:eastAsia="仿宋_GB2312"/>
                <w:color w:val="auto"/>
                <w:sz w:val="24"/>
                <w:szCs w:val="24"/>
                <w:highlight w:val="none"/>
              </w:rPr>
            </w:pPr>
          </w:p>
        </w:tc>
        <w:tc>
          <w:tcPr>
            <w:tcW w:w="2127" w:type="dxa"/>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供应商资格</w:t>
            </w:r>
          </w:p>
        </w:tc>
        <w:tc>
          <w:tcPr>
            <w:tcW w:w="5528" w:type="dxa"/>
            <w:tcBorders>
              <w:bottom w:val="single" w:color="auto" w:sz="4" w:space="0"/>
            </w:tcBorders>
            <w:vAlign w:val="center"/>
          </w:tcPr>
          <w:p>
            <w:pPr>
              <w:adjustRightInd w:val="0"/>
              <w:snapToGrid w:val="0"/>
              <w:rPr>
                <w:rFonts w:ascii="仿宋_GB2312" w:eastAsia="仿宋_GB2312"/>
                <w:color w:val="auto"/>
                <w:sz w:val="24"/>
                <w:szCs w:val="24"/>
                <w:highlight w:val="none"/>
              </w:rPr>
            </w:pPr>
            <w:r>
              <w:rPr>
                <w:rFonts w:ascii="仿宋_GB2312" w:eastAsia="仿宋_GB2312"/>
                <w:color w:val="auto"/>
                <w:sz w:val="24"/>
                <w:szCs w:val="24"/>
                <w:highlight w:val="none"/>
              </w:rPr>
              <w:t>满足法律法规及采购文件</w:t>
            </w:r>
            <w:r>
              <w:rPr>
                <w:rFonts w:hint="eastAsia" w:ascii="仿宋_GB2312" w:eastAsia="仿宋_GB2312"/>
                <w:color w:val="auto"/>
                <w:sz w:val="24"/>
                <w:szCs w:val="24"/>
                <w:highlight w:val="none"/>
              </w:rPr>
              <w:t>供应商资格要求</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vMerge w:val="restart"/>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响应性评审</w:t>
            </w:r>
          </w:p>
        </w:tc>
        <w:tc>
          <w:tcPr>
            <w:tcW w:w="2127"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ascii="仿宋_GB2312" w:eastAsia="仿宋_GB2312"/>
                <w:color w:val="auto"/>
                <w:sz w:val="24"/>
                <w:szCs w:val="24"/>
                <w:highlight w:val="none"/>
              </w:rPr>
              <w:t>报价</w:t>
            </w:r>
          </w:p>
        </w:tc>
        <w:tc>
          <w:tcPr>
            <w:tcW w:w="5528" w:type="dxa"/>
            <w:tcBorders>
              <w:top w:val="single" w:color="auto" w:sz="4" w:space="0"/>
              <w:bottom w:val="single" w:color="auto" w:sz="4" w:space="0"/>
            </w:tcBorders>
            <w:vAlign w:val="center"/>
          </w:tcPr>
          <w:p>
            <w:pPr>
              <w:adjustRightInd w:val="0"/>
              <w:snapToGrid w:val="0"/>
              <w:rPr>
                <w:rFonts w:ascii="仿宋_GB2312" w:eastAsia="仿宋_GB2312"/>
                <w:color w:val="auto"/>
                <w:sz w:val="24"/>
                <w:szCs w:val="24"/>
                <w:highlight w:val="none"/>
              </w:rPr>
            </w:pPr>
            <w:r>
              <w:rPr>
                <w:rFonts w:ascii="仿宋_GB2312" w:eastAsia="仿宋_GB2312"/>
                <w:color w:val="auto"/>
                <w:sz w:val="24"/>
                <w:szCs w:val="24"/>
                <w:highlight w:val="none"/>
              </w:rPr>
              <w:t>没有超过最高限价</w:t>
            </w:r>
            <w:r>
              <w:rPr>
                <w:rFonts w:hint="eastAsia" w:ascii="仿宋_GB2312" w:eastAsia="仿宋_GB2312"/>
                <w:color w:val="auto"/>
                <w:sz w:val="24"/>
                <w:szCs w:val="24"/>
                <w:highlight w:val="none"/>
              </w:rPr>
              <w:t>；若报价低于本项目最高限价的60%，必须说明报价理由。</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27" w:hRule="atLeast"/>
        </w:trPr>
        <w:tc>
          <w:tcPr>
            <w:tcW w:w="1356" w:type="dxa"/>
            <w:vMerge w:val="continue"/>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p>
        </w:tc>
        <w:tc>
          <w:tcPr>
            <w:tcW w:w="2127"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其他</w:t>
            </w:r>
          </w:p>
        </w:tc>
        <w:tc>
          <w:tcPr>
            <w:tcW w:w="5528" w:type="dxa"/>
            <w:tcBorders>
              <w:top w:val="single" w:color="auto" w:sz="4" w:space="0"/>
            </w:tcBorders>
            <w:vAlign w:val="center"/>
          </w:tcPr>
          <w:p>
            <w:pPr>
              <w:adjustRightInd w:val="0"/>
              <w:snapToGrid w:val="0"/>
              <w:rPr>
                <w:rFonts w:ascii="仿宋_GB2312" w:eastAsia="仿宋_GB2312"/>
                <w:color w:val="auto"/>
                <w:sz w:val="24"/>
                <w:szCs w:val="24"/>
                <w:highlight w:val="none"/>
              </w:rPr>
            </w:pPr>
            <w:r>
              <w:rPr>
                <w:rFonts w:hint="eastAsia" w:ascii="仿宋_GB2312" w:eastAsia="仿宋_GB2312"/>
                <w:color w:val="auto"/>
                <w:sz w:val="24"/>
                <w:szCs w:val="24"/>
                <w:highlight w:val="none"/>
              </w:rPr>
              <w:t>采购文件要求必须提供的其他资料</w:t>
            </w:r>
          </w:p>
        </w:tc>
      </w:tr>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737" w:hRule="atLeast"/>
        </w:trPr>
        <w:tc>
          <w:tcPr>
            <w:tcW w:w="1356" w:type="dxa"/>
            <w:vMerge w:val="continue"/>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p>
        </w:tc>
        <w:tc>
          <w:tcPr>
            <w:tcW w:w="2127" w:type="dxa"/>
            <w:tcBorders>
              <w:top w:val="single" w:color="auto" w:sz="4" w:space="0"/>
              <w:bottom w:val="single" w:color="auto" w:sz="4" w:space="0"/>
            </w:tcBorders>
            <w:vAlign w:val="center"/>
          </w:tcPr>
          <w:p>
            <w:pPr>
              <w:adjustRightInd w:val="0"/>
              <w:snapToGrid w:val="0"/>
              <w:jc w:val="center"/>
              <w:rPr>
                <w:rFonts w:ascii="仿宋_GB2312" w:eastAsia="仿宋_GB2312"/>
                <w:color w:val="auto"/>
                <w:sz w:val="24"/>
                <w:szCs w:val="24"/>
                <w:highlight w:val="none"/>
              </w:rPr>
            </w:pPr>
            <w:r>
              <w:rPr>
                <w:rFonts w:hint="eastAsia" w:ascii="仿宋_GB2312" w:eastAsia="仿宋_GB2312"/>
                <w:color w:val="auto"/>
                <w:sz w:val="24"/>
                <w:szCs w:val="24"/>
                <w:highlight w:val="none"/>
              </w:rPr>
              <w:t>其他无效响应</w:t>
            </w:r>
          </w:p>
        </w:tc>
        <w:tc>
          <w:tcPr>
            <w:tcW w:w="5528" w:type="dxa"/>
            <w:tcBorders>
              <w:top w:val="single" w:color="auto" w:sz="4" w:space="0"/>
              <w:bottom w:val="single" w:color="auto" w:sz="4" w:space="0"/>
            </w:tcBorders>
            <w:vAlign w:val="center"/>
          </w:tcPr>
          <w:p>
            <w:pPr>
              <w:adjustRightInd w:val="0"/>
              <w:snapToGrid w:val="0"/>
              <w:rPr>
                <w:rFonts w:ascii="仿宋_GB2312" w:eastAsia="仿宋_GB2312"/>
                <w:color w:val="auto"/>
                <w:sz w:val="24"/>
                <w:szCs w:val="24"/>
                <w:highlight w:val="none"/>
              </w:rPr>
            </w:pPr>
            <w:r>
              <w:rPr>
                <w:rFonts w:ascii="仿宋_GB2312" w:eastAsia="仿宋_GB2312"/>
                <w:color w:val="auto"/>
                <w:sz w:val="24"/>
                <w:szCs w:val="24"/>
                <w:highlight w:val="none"/>
              </w:rPr>
              <w:t>无法律法规及采购文件规定的其他无效响应内容</w:t>
            </w:r>
          </w:p>
        </w:tc>
      </w:tr>
    </w:tbl>
    <w:p>
      <w:pPr>
        <w:spacing w:line="400" w:lineRule="exact"/>
        <w:jc w:val="left"/>
        <w:rPr>
          <w:color w:val="auto"/>
          <w:highlight w:val="none"/>
        </w:rPr>
      </w:pPr>
      <w:r>
        <w:rPr>
          <w:rFonts w:hint="eastAsia" w:ascii="仿宋_GB2312" w:eastAsia="仿宋_GB2312" w:hAnsiTheme="minorEastAsia"/>
          <w:color w:val="auto"/>
          <w:szCs w:val="21"/>
          <w:highlight w:val="none"/>
        </w:rPr>
        <w:t>说明：初步评审活动依照形式评审、资格评审、响应性评审顺序进行，前一个环节不符合采购文件要求的不得进入下一个环节。</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2.2澄清补正</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2.2.1响应报价有算术错误的，评审小组按以下原则对响应报价进行修正，修正的价格经供应商书面确认后具有约束力。供应商不接受修正价格的，评审小组应当否决其响应。</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（1）响应文件中的大写金额与小写金额不一致的，以大写金额为准。</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（2）总价金额与依据单价计算出的结果不一致的，以单价金额为准修正总价，但单价金额小数点有明显错误的除外。</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（3）采购文件中有规定固定费率标准或固定金额的，或者有固定费率标准或固定金额的计算公式的，应按规定填报，否则由评审小组按照采购文件规定的费率、金额或者其计算公式进行修正或否决其响应。</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2.2.2响应文件存在含义不清、针对同一事项前后表述不一致、明显文字或计算错误的，评审小组可以要求供应商进行澄清、说明和补正，澄清、说明和补正不得超出响应文件的范围或改变响应文件的实质性内容，超出部分不作为评审小组相应评审的依据或否决其响应。</w:t>
      </w:r>
    </w:p>
    <w:p>
      <w:pPr>
        <w:adjustRightInd w:val="0"/>
        <w:snapToGrid w:val="0"/>
        <w:spacing w:line="600" w:lineRule="exact"/>
        <w:ind w:firstLine="555"/>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2.3评审结果 评审后，评审价格最低的供应商为成交供应商。如评审价格相同，可由评审小组根据评审情况以记名投票方式确定供应商排名，并将推荐理由写入评审报告。</w:t>
      </w:r>
    </w:p>
    <w:p>
      <w:pPr>
        <w:adjustRightInd w:val="0"/>
        <w:snapToGrid w:val="0"/>
        <w:spacing w:line="600" w:lineRule="exact"/>
        <w:jc w:val="left"/>
        <w:rPr>
          <w:rFonts w:ascii="仿宋_GB2312" w:eastAsia="仿宋_GB2312" w:hAnsiTheme="minorEastAsia"/>
          <w:color w:val="auto"/>
          <w:szCs w:val="21"/>
          <w:highlight w:val="none"/>
        </w:rPr>
      </w:pPr>
    </w:p>
    <w:p>
      <w:pPr>
        <w:pStyle w:val="2"/>
        <w:rPr>
          <w:rFonts w:ascii="仿宋_GB2312" w:eastAsia="仿宋_GB2312" w:hAnsiTheme="minorEastAsia"/>
          <w:color w:val="auto"/>
          <w:szCs w:val="21"/>
          <w:highlight w:val="none"/>
        </w:rPr>
      </w:pPr>
    </w:p>
    <w:p>
      <w:pPr>
        <w:pStyle w:val="2"/>
        <w:rPr>
          <w:rFonts w:ascii="仿宋_GB2312" w:eastAsia="仿宋_GB2312" w:hAnsiTheme="minorEastAsia"/>
          <w:color w:val="auto"/>
          <w:szCs w:val="21"/>
          <w:highlight w:val="none"/>
        </w:rPr>
      </w:pPr>
    </w:p>
    <w:p>
      <w:pPr>
        <w:pStyle w:val="2"/>
        <w:rPr>
          <w:rFonts w:ascii="仿宋_GB2312" w:eastAsia="仿宋_GB2312" w:hAnsiTheme="minorEastAsia"/>
          <w:color w:val="auto"/>
          <w:szCs w:val="21"/>
          <w:highlight w:val="none"/>
        </w:rPr>
      </w:pPr>
    </w:p>
    <w:p>
      <w:pPr>
        <w:pStyle w:val="2"/>
        <w:rPr>
          <w:rFonts w:ascii="仿宋_GB2312" w:eastAsia="仿宋_GB2312" w:hAnsiTheme="minorEastAsia"/>
          <w:color w:val="auto"/>
          <w:szCs w:val="21"/>
          <w:highlight w:val="none"/>
        </w:rPr>
      </w:pPr>
    </w:p>
    <w:p>
      <w:pPr>
        <w:pStyle w:val="2"/>
        <w:rPr>
          <w:rFonts w:ascii="仿宋_GB2312" w:eastAsia="仿宋_GB2312" w:hAnsiTheme="minorEastAsia"/>
          <w:color w:val="auto"/>
          <w:szCs w:val="21"/>
          <w:highlight w:val="none"/>
        </w:rPr>
      </w:pPr>
    </w:p>
    <w:p>
      <w:pPr>
        <w:pStyle w:val="2"/>
        <w:rPr>
          <w:rFonts w:ascii="仿宋_GB2312" w:eastAsia="仿宋_GB2312" w:hAnsiTheme="minorEastAsia"/>
          <w:color w:val="auto"/>
          <w:szCs w:val="21"/>
          <w:highlight w:val="none"/>
        </w:rPr>
      </w:pPr>
    </w:p>
    <w:p>
      <w:pPr>
        <w:pStyle w:val="2"/>
        <w:rPr>
          <w:rFonts w:ascii="仿宋_GB2312" w:eastAsia="仿宋_GB2312" w:hAnsiTheme="minorEastAsia"/>
          <w:color w:val="auto"/>
          <w:szCs w:val="21"/>
          <w:highlight w:val="none"/>
        </w:rPr>
      </w:pPr>
    </w:p>
    <w:p>
      <w:pPr>
        <w:pStyle w:val="2"/>
        <w:rPr>
          <w:rFonts w:ascii="仿宋_GB2312" w:eastAsia="仿宋_GB2312" w:hAnsiTheme="minorEastAsia"/>
          <w:color w:val="auto"/>
          <w:szCs w:val="21"/>
          <w:highlight w:val="none"/>
        </w:rPr>
      </w:pPr>
    </w:p>
    <w:p>
      <w:pPr>
        <w:pStyle w:val="2"/>
        <w:rPr>
          <w:rFonts w:ascii="仿宋_GB2312" w:eastAsia="仿宋_GB2312" w:hAnsiTheme="minorEastAsia"/>
          <w:color w:val="auto"/>
          <w:szCs w:val="21"/>
          <w:highlight w:val="none"/>
        </w:rPr>
      </w:pPr>
    </w:p>
    <w:p>
      <w:pPr>
        <w:pStyle w:val="2"/>
        <w:rPr>
          <w:rFonts w:ascii="仿宋_GB2312" w:eastAsia="仿宋_GB2312" w:hAnsiTheme="minorEastAsia"/>
          <w:color w:val="auto"/>
          <w:szCs w:val="21"/>
          <w:highlight w:val="none"/>
        </w:rPr>
      </w:pPr>
    </w:p>
    <w:p>
      <w:pPr>
        <w:pStyle w:val="2"/>
        <w:rPr>
          <w:rFonts w:ascii="仿宋_GB2312" w:eastAsia="仿宋_GB2312" w:hAnsiTheme="minorEastAsia"/>
          <w:color w:val="auto"/>
          <w:szCs w:val="21"/>
          <w:highlight w:val="none"/>
        </w:rPr>
      </w:pPr>
    </w:p>
    <w:p>
      <w:pPr>
        <w:pStyle w:val="2"/>
        <w:rPr>
          <w:rFonts w:ascii="仿宋_GB2312" w:eastAsia="仿宋_GB2312" w:hAnsiTheme="minorEastAsia"/>
          <w:color w:val="auto"/>
          <w:szCs w:val="21"/>
          <w:highlight w:val="none"/>
        </w:rPr>
      </w:pPr>
    </w:p>
    <w:p>
      <w:pPr>
        <w:pStyle w:val="2"/>
        <w:rPr>
          <w:rFonts w:ascii="仿宋_GB2312" w:eastAsia="仿宋_GB2312" w:hAnsiTheme="minorEastAsia"/>
          <w:color w:val="auto"/>
          <w:szCs w:val="21"/>
          <w:highlight w:val="none"/>
        </w:rPr>
      </w:pPr>
    </w:p>
    <w:p>
      <w:pPr>
        <w:adjustRightInd w:val="0"/>
        <w:snapToGrid w:val="0"/>
        <w:spacing w:line="600" w:lineRule="exact"/>
        <w:jc w:val="left"/>
        <w:rPr>
          <w:rFonts w:ascii="仿宋_GB2312" w:eastAsia="仿宋_GB2312" w:hAnsiTheme="minorEastAsia"/>
          <w:color w:val="auto"/>
          <w:szCs w:val="21"/>
          <w:highlight w:val="none"/>
        </w:rPr>
      </w:pPr>
    </w:p>
    <w:p>
      <w:pPr>
        <w:pStyle w:val="2"/>
        <w:rPr>
          <w:rFonts w:ascii="仿宋_GB2312" w:eastAsia="仿宋_GB2312" w:hAnsiTheme="minorEastAsia"/>
          <w:color w:val="auto"/>
          <w:szCs w:val="21"/>
          <w:highlight w:val="none"/>
        </w:rPr>
      </w:pPr>
    </w:p>
    <w:p>
      <w:pPr>
        <w:pStyle w:val="2"/>
        <w:rPr>
          <w:rFonts w:ascii="仿宋_GB2312" w:eastAsia="仿宋_GB2312" w:hAnsiTheme="minorEastAsia"/>
          <w:color w:val="auto"/>
          <w:szCs w:val="21"/>
          <w:highlight w:val="none"/>
        </w:rPr>
      </w:pPr>
    </w:p>
    <w:p>
      <w:pPr>
        <w:pStyle w:val="4"/>
        <w:rPr>
          <w:color w:val="auto"/>
          <w:highlight w:val="none"/>
        </w:rPr>
      </w:pPr>
      <w:bookmarkStart w:id="60" w:name="_Toc88209947"/>
      <w:r>
        <w:rPr>
          <w:color w:val="auto"/>
          <w:highlight w:val="none"/>
        </w:rPr>
        <mc:AlternateContent>
          <mc:Choice Requires="wps">
            <w:drawing>
              <wp:anchor distT="0" distB="0" distL="114300" distR="114300" simplePos="0" relativeHeight="251677696" behindDoc="0" locked="0" layoutInCell="1" allowOverlap="1">
                <wp:simplePos x="0" y="0"/>
                <wp:positionH relativeFrom="column">
                  <wp:posOffset>2340610</wp:posOffset>
                </wp:positionH>
                <wp:positionV relativeFrom="paragraph">
                  <wp:posOffset>745490</wp:posOffset>
                </wp:positionV>
                <wp:extent cx="958850" cy="0"/>
                <wp:effectExtent l="0" t="0" r="0" b="0"/>
                <wp:wrapNone/>
                <wp:docPr id="17" name="自选图形 24"/>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4" o:spid="_x0000_s1026" o:spt="32" type="#_x0000_t32" style="position:absolute;left:0pt;margin-left:184.3pt;margin-top:58.7pt;height:0pt;width:75.5pt;z-index:251677696;mso-width-relative:page;mso-height-relative:page;" filled="f" stroked="t" coordsize="21600,21600" o:gfxdata="UEsDBAoAAAAAAIdO4kAAAAAAAAAAAAAAAAAEAAAAZHJzL1BLAwQUAAAACACHTuJADNgLEdcAAAAL&#10;AQAADwAAAGRycy9kb3ducmV2LnhtbE2PwU7DMBBE70j8g7VIXBC1XWhoQ5wKIXHgSFuJqxsvSSBe&#10;R7HTlH49i4RUjjvzNDtTrI++EwccYhvIgJ4pEEhVcC3VBnbbl9sliJgsOdsFQgPfGGFdXl4UNndh&#10;ojc8bFItOIRibg00KfW5lLFq0Ns4Cz0Sex9h8DbxOdTSDXbicN/JuVKZ9LYl/tDYHp8brL42ozeA&#10;cVxo9bTy9e71NN28z0+fU7815vpKq0cQCY/pDMNvfa4OJXfah5FcFJ2Bu2yZMcqGfrgHwcRCr1jZ&#10;/ymyLOT/DeUPUEsDBBQAAAAIAIdO4kAsbqiH8wEAAOQDAAAOAAAAZHJzL2Uyb0RvYy54bWytU72O&#10;EzEQ7pF4B8s92SQiEFZJrkg4GgSRgAeY2N5dS/6Tx5dNOjrEM9BR8g7wNifBWzD25nJwNCnYwjv2&#10;zHwz3+fx4upgDduriNq7JZ+MxpwpJ7zUrl3yD++vn8w5wwROgvFOLflRIb9aPX606EOtpr7zRqrI&#10;CMRh3Ycl71IKdVWh6JQFHPmgHDkbHy0k2sa2khF6Qremmo7Hz6reRxmiFwqRTjeDk58Q4yWAvmm0&#10;UBsvbqxyaUCNykAiStjpgHxVum0aJdLbpkGVmFlyYprKSkXI3uW1Wi2gbiOETotTC3BJCw84WdCO&#10;ip6hNpCA3UT9D5TVInr0TRoJb6uBSFGEWEzGD7R510FQhQtJjeEsOv4/WPFmv41MS5qE55w5sHTj&#10;Pz99+/Xx8+2XH7ffv7Lp06xRH7Cm0LXbxtMOwzZmwocm2vwnKuxQdD2edVWHxAQdvpjN5zNSXNy5&#10;qvu8EDG9Ut6ybCw5pgi67dLaO0eX5+OkyAr715ioMiXeJeSixrE+w09nBA40jA0NAZk2ECF0bclF&#10;b7S81sbkDIztbm0i20MeiPJlfoT7V1gusgHshrjiGkalUyBfOsnSMZBSjl4Izy1YJTkzih5UtggQ&#10;6gTaXBJJpY2jDrLEg6jZ2nl5LFqXc7r80uNpUPN0/bkv2fePc/U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DNgLEdcAAAALAQAADwAAAAAAAAABACAAAAAiAAAAZHJzL2Rvd25yZXYueG1sUEsBAhQA&#10;FAAAAAgAh07iQCxuqIfzAQAA5AMAAA4AAAAAAAAAAQAgAAAAJgEAAGRycy9lMm9Eb2MueG1sUEsF&#10;BgAAAAAGAAYAWQEAAIsFA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76672" behindDoc="0" locked="0" layoutInCell="1" allowOverlap="1">
                <wp:simplePos x="0" y="0"/>
                <wp:positionH relativeFrom="column">
                  <wp:posOffset>2348230</wp:posOffset>
                </wp:positionH>
                <wp:positionV relativeFrom="paragraph">
                  <wp:posOffset>107950</wp:posOffset>
                </wp:positionV>
                <wp:extent cx="958850" cy="0"/>
                <wp:effectExtent l="0" t="0" r="0" b="0"/>
                <wp:wrapNone/>
                <wp:docPr id="16" name="自选图形 25"/>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25" o:spid="_x0000_s1026" o:spt="32" type="#_x0000_t32" style="position:absolute;left:0pt;margin-left:184.9pt;margin-top:8.5pt;height:0pt;width:75.5pt;z-index:251676672;mso-width-relative:page;mso-height-relative:page;" filled="f" stroked="t" coordsize="21600,21600" o:gfxdata="UEsDBAoAAAAAAIdO4kAAAAAAAAAAAAAAAAAEAAAAZHJzL1BLAwQUAAAACACHTuJAIK2LetYAAAAJ&#10;AQAADwAAAGRycy9kb3ducmV2LnhtbE2PwW7CMBBE75X4B2uReqmKnVRQSOMgVKmHHgtIvZp4SVLi&#10;dRQ7hPL13aoHetyZ0eybfH1xrThjHxpPGpKZAoFUettQpWG/e3tcggjRkDWtJ9TwjQHWxeQuN5n1&#10;I33geRsrwSUUMqOhjrHLpAxljc6Eme+Q2Dv63pnIZ19J25uRy10rU6UW0pmG+ENtOnytsTxtB6cB&#10;wzBP1Gblqv37dXz4TK9fY7fT+n6aqBcQES/xFoZffEaHgpkOfiAbRKvhabFi9MjGM2/iwDxVLBz+&#10;BFnk8v+C4gdQSwMEFAAAAAgAh07iQFPr1gfzAQAA5AMAAA4AAABkcnMvZTJvRG9jLnhtbK1TvY4T&#10;MRDukXgHyz3ZJFJOIcrmioSjQRAJeICJ7d215D95fNmko0M8Ax0l7wBvcxL3Foy9uRwcTQq28I49&#10;M9/M93m8vD5Yw/Yqovau5pPRmDPlhJfatTX/+OHmxZwzTOAkGO9UzY8K+fXq+bNlHxZq6jtvpIqM&#10;QBwu+lDzLqWwqCoUnbKAIx+UI2fjo4VE29hWMkJP6NZU0/H4qup9lCF6oRDpdDM4+QkxXgLom0YL&#10;tfHi1iqXBtSoDCSihJ0OyFel26ZRIr1rGlSJmZoT01RWKkL2Lq/VagmLNkLotDi1AJe08ISTBe2o&#10;6BlqAwnYbdT/QFktokffpJHwthqIFEWIxWT8RJv3HQRVuJDUGM6i4/+DFW/328i0pEm44syBpRv/&#10;9fn7/acvd19/3v34xqazrFEfcEGha7eNpx2GbcyED020+U9U2KHoejzrqg6JCTp8OZvPZ6S4eHBV&#10;j3khYnqtvGXZqDmmCLrt0to7R5fn46TICvs3mKgyJT4k5KLGsT7DU5NMAA1jQ0NApg1ECF1bctEb&#10;LW+0MTkDY7tbm8j2kAeifJkf4f4VlotsALshrriGUekUyFdOsnQMpJSjF8JzC1ZJzoyiB5UtAoRF&#10;Am0uiaTSxlEHWeJB1GztvDwWrcs5XX7p8TSoebr+3Jfsx8e5+g1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grYt61gAAAAkBAAAPAAAAAAAAAAEAIAAAACIAAABkcnMvZG93bnJldi54bWxQSwECFAAU&#10;AAAACACHTuJAU+vWB/MBAADkAwAADgAAAAAAAAABACAAAAAlAQAAZHJzL2Uyb0RvYy54bWxQSwUG&#10;AAAAAAYABgBZAQAAigUAAAAA&#10;">
                <v:fill on="f" focussize="0,0"/>
                <v:stroke color="#000000" joinstyle="round"/>
                <v:imagedata o:title=""/>
                <o:lock v:ext="edit" aspectratio="f"/>
              </v:shape>
            </w:pict>
          </mc:Fallback>
        </mc:AlternateContent>
      </w:r>
      <w:r>
        <w:rPr>
          <w:rFonts w:hint="eastAsia"/>
          <w:color w:val="auto"/>
          <w:highlight w:val="none"/>
        </w:rPr>
        <w:t>第五章</w:t>
      </w:r>
    </w:p>
    <w:p>
      <w:pPr>
        <w:pStyle w:val="5"/>
        <w:rPr>
          <w:color w:val="auto"/>
          <w:highlight w:val="none"/>
        </w:rPr>
      </w:pPr>
    </w:p>
    <w:p>
      <w:pPr>
        <w:pStyle w:val="5"/>
        <w:rPr>
          <w:rFonts w:hint="eastAsia"/>
          <w:color w:val="auto"/>
          <w:szCs w:val="44"/>
          <w:highlight w:val="none"/>
        </w:rPr>
      </w:pPr>
      <w:r>
        <w:rPr>
          <w:rFonts w:hint="eastAsia"/>
          <w:color w:val="auto"/>
          <w:szCs w:val="44"/>
          <w:highlight w:val="none"/>
        </w:rPr>
        <w:t>采购需求</w:t>
      </w:r>
      <w:bookmarkEnd w:id="60"/>
    </w:p>
    <w:p>
      <w:pPr>
        <w:pStyle w:val="5"/>
        <w:rPr>
          <w:rFonts w:hint="eastAsia"/>
          <w:color w:val="auto"/>
          <w:szCs w:val="44"/>
          <w:highlight w:val="none"/>
        </w:rPr>
      </w:pPr>
    </w:p>
    <w:p>
      <w:pPr>
        <w:pStyle w:val="5"/>
        <w:rPr>
          <w:rFonts w:hint="eastAsia"/>
          <w:color w:val="auto"/>
          <w:szCs w:val="44"/>
          <w:highlight w:val="none"/>
        </w:rPr>
      </w:pPr>
    </w:p>
    <w:p>
      <w:pPr>
        <w:pStyle w:val="5"/>
        <w:rPr>
          <w:rFonts w:hint="eastAsia"/>
          <w:color w:val="auto"/>
          <w:szCs w:val="44"/>
          <w:highlight w:val="none"/>
        </w:rPr>
      </w:pPr>
    </w:p>
    <w:p>
      <w:pPr>
        <w:pStyle w:val="5"/>
        <w:rPr>
          <w:rFonts w:hint="eastAsia"/>
          <w:color w:val="auto"/>
          <w:szCs w:val="44"/>
          <w:highlight w:val="none"/>
        </w:rPr>
      </w:pPr>
    </w:p>
    <w:p>
      <w:pPr>
        <w:pStyle w:val="5"/>
        <w:rPr>
          <w:rFonts w:hint="eastAsia"/>
          <w:color w:val="auto"/>
          <w:szCs w:val="44"/>
          <w:highlight w:val="none"/>
        </w:rPr>
      </w:pPr>
    </w:p>
    <w:p>
      <w:pPr>
        <w:pStyle w:val="5"/>
        <w:rPr>
          <w:rFonts w:hint="eastAsia"/>
          <w:color w:val="auto"/>
          <w:szCs w:val="44"/>
          <w:highlight w:val="none"/>
        </w:rPr>
      </w:pPr>
    </w:p>
    <w:p>
      <w:pPr>
        <w:pStyle w:val="5"/>
        <w:rPr>
          <w:rFonts w:hint="eastAsia"/>
          <w:color w:val="auto"/>
          <w:szCs w:val="44"/>
          <w:highlight w:val="none"/>
        </w:rPr>
      </w:pPr>
    </w:p>
    <w:p>
      <w:pPr>
        <w:pStyle w:val="5"/>
        <w:rPr>
          <w:rFonts w:hint="eastAsia"/>
          <w:color w:val="auto"/>
          <w:szCs w:val="44"/>
          <w:highlight w:val="none"/>
        </w:rPr>
      </w:pPr>
    </w:p>
    <w:p>
      <w:pPr>
        <w:pStyle w:val="5"/>
        <w:rPr>
          <w:rFonts w:hint="eastAsia"/>
          <w:color w:val="auto"/>
          <w:szCs w:val="44"/>
          <w:highlight w:val="none"/>
        </w:rPr>
      </w:pPr>
    </w:p>
    <w:p>
      <w:pPr>
        <w:pStyle w:val="5"/>
        <w:rPr>
          <w:rFonts w:hint="eastAsia"/>
          <w:color w:val="auto"/>
          <w:szCs w:val="44"/>
          <w:highlight w:val="none"/>
        </w:rPr>
      </w:pPr>
    </w:p>
    <w:p>
      <w:pPr>
        <w:pStyle w:val="5"/>
        <w:jc w:val="both"/>
        <w:rPr>
          <w:rFonts w:hint="eastAsia"/>
          <w:color w:val="auto"/>
          <w:szCs w:val="44"/>
          <w:highlight w:val="none"/>
        </w:rPr>
      </w:pPr>
    </w:p>
    <w:p>
      <w:pPr>
        <w:pStyle w:val="5"/>
        <w:jc w:val="center"/>
        <w:rPr>
          <w:color w:val="auto"/>
          <w:szCs w:val="44"/>
          <w:highlight w:val="none"/>
        </w:rPr>
      </w:pPr>
      <w:r>
        <w:rPr>
          <w:rFonts w:hint="eastAsia"/>
          <w:color w:val="auto"/>
          <w:szCs w:val="44"/>
          <w:highlight w:val="none"/>
        </w:rPr>
        <w:t>技术要求说明</w:t>
      </w:r>
    </w:p>
    <w:p>
      <w:pPr>
        <w:pStyle w:val="6"/>
        <w:rPr>
          <w:rFonts w:asciiTheme="majorEastAsia" w:hAnsiTheme="majorEastAsia" w:eastAsiaTheme="majorEastAsia"/>
          <w:b w:val="0"/>
          <w:color w:val="auto"/>
          <w:sz w:val="28"/>
          <w:szCs w:val="28"/>
          <w:highlight w:val="none"/>
        </w:rPr>
      </w:pPr>
      <w:bookmarkStart w:id="61" w:name="_Toc495915334"/>
      <w:bookmarkStart w:id="62" w:name="_Toc9482"/>
      <w:bookmarkStart w:id="63" w:name="_Toc27481"/>
      <w:bookmarkStart w:id="64" w:name="_Toc13011"/>
      <w:bookmarkStart w:id="65" w:name="_Toc4719"/>
      <w:bookmarkStart w:id="66" w:name="_Toc29871"/>
      <w:bookmarkStart w:id="67" w:name="_Toc3215"/>
      <w:bookmarkStart w:id="68" w:name="_Toc10028"/>
      <w:bookmarkStart w:id="69" w:name="_Toc8717"/>
      <w:bookmarkStart w:id="70" w:name="_Toc499646386"/>
      <w:bookmarkStart w:id="71" w:name="_Toc20689"/>
      <w:bookmarkStart w:id="72" w:name="_Toc14677"/>
      <w:bookmarkStart w:id="73" w:name="_Toc3470"/>
      <w:bookmarkStart w:id="74" w:name="_Toc10599"/>
      <w:bookmarkStart w:id="75" w:name="_Toc17348"/>
      <w:bookmarkStart w:id="76" w:name="_Toc4833"/>
      <w:bookmarkStart w:id="77" w:name="_Toc25033"/>
      <w:bookmarkStart w:id="78" w:name="_Toc15950"/>
      <w:bookmarkStart w:id="79" w:name="_Toc101423159"/>
      <w:r>
        <w:rPr>
          <w:rFonts w:asciiTheme="majorEastAsia" w:hAnsiTheme="majorEastAsia" w:eastAsiaTheme="majorEastAsia"/>
          <w:b w:val="0"/>
          <w:color w:val="auto"/>
          <w:sz w:val="28"/>
          <w:szCs w:val="28"/>
          <w:highlight w:val="none"/>
        </w:rPr>
        <w:t>1</w:t>
      </w:r>
      <w:r>
        <w:rPr>
          <w:rFonts w:hint="eastAsia" w:asciiTheme="majorEastAsia" w:hAnsiTheme="majorEastAsia" w:eastAsiaTheme="majorEastAsia"/>
          <w:b w:val="0"/>
          <w:color w:val="auto"/>
          <w:sz w:val="28"/>
          <w:szCs w:val="28"/>
          <w:highlight w:val="none"/>
        </w:rPr>
        <w:t>建设</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Pr>
          <w:rFonts w:hint="eastAsia" w:asciiTheme="majorEastAsia" w:hAnsiTheme="majorEastAsia" w:eastAsiaTheme="majorEastAsia"/>
          <w:b w:val="0"/>
          <w:color w:val="auto"/>
          <w:sz w:val="28"/>
          <w:szCs w:val="28"/>
          <w:highlight w:val="none"/>
        </w:rPr>
        <w:t>目标</w:t>
      </w:r>
      <w:bookmarkEnd w:id="79"/>
    </w:p>
    <w:p>
      <w:pPr>
        <w:spacing w:line="360" w:lineRule="auto"/>
        <w:ind w:firstLine="560" w:firstLineChars="200"/>
        <w:jc w:val="left"/>
        <w:rPr>
          <w:rFonts w:ascii="仿宋_GB2312" w:hAnsi="宋体" w:eastAsia="仿宋_GB2312"/>
          <w:color w:val="auto"/>
          <w:sz w:val="28"/>
          <w:szCs w:val="28"/>
          <w:highlight w:val="none"/>
        </w:rPr>
      </w:pPr>
      <w:r>
        <w:rPr>
          <w:rFonts w:hint="eastAsia" w:ascii="仿宋_GB2312" w:hAnsi="仿宋_GB2312" w:eastAsia="仿宋_GB2312" w:cs="仿宋_GB2312"/>
          <w:bCs/>
          <w:color w:val="auto"/>
          <w:sz w:val="28"/>
          <w:szCs w:val="28"/>
          <w:highlight w:val="none"/>
          <w:lang w:val="en-US" w:eastAsia="zh-CN"/>
        </w:rPr>
        <w:t>为做好人员进出地下空间或地下负二层空间的管控，拟在进入生产区域的楼梯口与进入负二层的通道位置增加身份认证设备</w:t>
      </w:r>
      <w:r>
        <w:rPr>
          <w:rFonts w:hint="eastAsia" w:ascii="仿宋_GB2312" w:hAnsi="仿宋_GB2312" w:eastAsia="仿宋_GB2312" w:cs="仿宋_GB2312"/>
          <w:bCs/>
          <w:color w:val="auto"/>
          <w:sz w:val="28"/>
          <w:szCs w:val="28"/>
          <w:highlight w:val="none"/>
        </w:rPr>
        <w:t>。</w:t>
      </w:r>
    </w:p>
    <w:p>
      <w:pPr>
        <w:pStyle w:val="6"/>
        <w:rPr>
          <w:rFonts w:asciiTheme="majorEastAsia" w:hAnsiTheme="majorEastAsia" w:eastAsiaTheme="majorEastAsia"/>
          <w:b w:val="0"/>
          <w:color w:val="auto"/>
          <w:sz w:val="28"/>
          <w:szCs w:val="28"/>
          <w:highlight w:val="none"/>
        </w:rPr>
      </w:pPr>
      <w:bookmarkStart w:id="80" w:name="_Toc19162"/>
      <w:bookmarkStart w:id="81" w:name="_Toc3555"/>
      <w:bookmarkStart w:id="82" w:name="_Toc499646389"/>
      <w:bookmarkStart w:id="83" w:name="_Toc13880"/>
      <w:bookmarkStart w:id="84" w:name="_Toc430701020"/>
      <w:bookmarkStart w:id="85" w:name="_Toc15157"/>
      <w:bookmarkStart w:id="86" w:name="_Toc23145"/>
      <w:bookmarkStart w:id="87" w:name="_Toc12764"/>
      <w:bookmarkStart w:id="88" w:name="_Toc12933"/>
      <w:bookmarkStart w:id="89" w:name="_Toc1412"/>
      <w:bookmarkStart w:id="90" w:name="_Toc4029"/>
      <w:bookmarkStart w:id="91" w:name="_Toc495915337"/>
      <w:bookmarkStart w:id="92" w:name="_Toc101423160"/>
      <w:bookmarkStart w:id="93" w:name="_Toc27242"/>
      <w:bookmarkStart w:id="94" w:name="_Toc3384"/>
      <w:bookmarkStart w:id="95" w:name="_Toc20690"/>
      <w:bookmarkStart w:id="96" w:name="_Toc12433"/>
      <w:bookmarkStart w:id="97" w:name="_Toc26054"/>
      <w:bookmarkStart w:id="98" w:name="_Toc12931"/>
      <w:bookmarkStart w:id="99" w:name="_Toc4069"/>
      <w:bookmarkStart w:id="100" w:name="_Toc470514645"/>
      <w:r>
        <w:rPr>
          <w:rFonts w:asciiTheme="majorEastAsia" w:hAnsiTheme="majorEastAsia" w:eastAsiaTheme="majorEastAsia"/>
          <w:b w:val="0"/>
          <w:color w:val="auto"/>
          <w:sz w:val="28"/>
          <w:szCs w:val="28"/>
          <w:highlight w:val="none"/>
        </w:rPr>
        <w:t>2</w:t>
      </w:r>
      <w:r>
        <w:rPr>
          <w:rFonts w:hint="eastAsia" w:asciiTheme="majorEastAsia" w:hAnsiTheme="majorEastAsia" w:eastAsiaTheme="majorEastAsia"/>
          <w:b w:val="0"/>
          <w:color w:val="auto"/>
          <w:sz w:val="28"/>
          <w:szCs w:val="28"/>
          <w:highlight w:val="none"/>
        </w:rPr>
        <w:t>建设内容</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p>
      <w:pPr>
        <w:spacing w:line="360" w:lineRule="auto"/>
        <w:ind w:firstLine="560" w:firstLineChars="200"/>
        <w:jc w:val="left"/>
        <w:rPr>
          <w:rFonts w:hint="eastAsia" w:ascii="仿宋_GB2312" w:hAnsi="仿宋_GB2312" w:eastAsia="仿宋_GB2312" w:cs="仿宋_GB2312"/>
          <w:bCs/>
          <w:color w:val="auto"/>
          <w:sz w:val="28"/>
          <w:szCs w:val="28"/>
          <w:highlight w:val="none"/>
          <w:lang w:val="en-US" w:eastAsia="zh-CN"/>
        </w:rPr>
      </w:pPr>
      <w:bookmarkStart w:id="101" w:name="_Toc29945"/>
      <w:bookmarkStart w:id="102" w:name="_Toc495915409"/>
      <w:bookmarkStart w:id="103" w:name="_Toc101423177"/>
      <w:r>
        <w:rPr>
          <w:rFonts w:hint="eastAsia" w:ascii="仿宋_GB2312" w:hAnsi="仿宋_GB2312" w:eastAsia="仿宋_GB2312" w:cs="仿宋_GB2312"/>
          <w:bCs/>
          <w:color w:val="auto"/>
          <w:sz w:val="28"/>
          <w:szCs w:val="28"/>
          <w:highlight w:val="none"/>
          <w:lang w:val="en-US" w:eastAsia="zh-CN"/>
        </w:rPr>
        <w:t>本项目共计安装46套人脸识别一体主机，门禁道闸13套，需要与已建设的智慧园区系统兼容，接入系统中统一管理。其中需对二期地面9台人脸识别主机一齐接入智慧园区系统，对整个地下生产区域部署人脸门禁，提高园区安全性。</w:t>
      </w:r>
    </w:p>
    <w:p>
      <w:pPr>
        <w:pStyle w:val="25"/>
        <w:ind w:firstLine="560" w:firstLineChars="200"/>
        <w:rPr>
          <w:rFonts w:hint="default" w:ascii="仿宋_GB2312" w:hAnsi="Times New Roman" w:eastAsia="仿宋_GB2312" w:cs="Times New Roman"/>
          <w:b w:val="0"/>
          <w:bCs/>
          <w:color w:val="auto"/>
          <w:kern w:val="2"/>
          <w:sz w:val="28"/>
          <w:szCs w:val="28"/>
          <w:highlight w:val="none"/>
          <w:lang w:val="en-US" w:eastAsia="zh-CN" w:bidi="ar-SA"/>
        </w:rPr>
      </w:pPr>
      <w:r>
        <w:rPr>
          <w:rFonts w:hint="eastAsia" w:ascii="仿宋_GB2312" w:hAnsi="Times New Roman" w:eastAsia="仿宋_GB2312" w:cs="Times New Roman"/>
          <w:b w:val="0"/>
          <w:bCs/>
          <w:color w:val="auto"/>
          <w:kern w:val="2"/>
          <w:sz w:val="28"/>
          <w:szCs w:val="28"/>
          <w:highlight w:val="none"/>
          <w:lang w:val="en-US" w:eastAsia="zh-CN" w:bidi="ar-SA"/>
        </w:rPr>
        <w:t>1）前端系统：前端设备包括</w:t>
      </w:r>
      <w:r>
        <w:rPr>
          <w:rFonts w:hint="eastAsia" w:ascii="仿宋_GB2312" w:cs="Times New Roman"/>
          <w:b w:val="0"/>
          <w:bCs/>
          <w:color w:val="auto"/>
          <w:kern w:val="2"/>
          <w:sz w:val="28"/>
          <w:szCs w:val="28"/>
          <w:highlight w:val="none"/>
          <w:lang w:val="en-US" w:eastAsia="zh-CN" w:bidi="ar-SA"/>
        </w:rPr>
        <w:t>46</w:t>
      </w:r>
      <w:r>
        <w:rPr>
          <w:rFonts w:hint="eastAsia" w:ascii="仿宋_GB2312" w:hAnsi="Times New Roman" w:eastAsia="仿宋_GB2312" w:cs="Times New Roman"/>
          <w:b w:val="0"/>
          <w:bCs/>
          <w:color w:val="auto"/>
          <w:kern w:val="2"/>
          <w:sz w:val="28"/>
          <w:szCs w:val="28"/>
          <w:highlight w:val="none"/>
          <w:lang w:val="en-US" w:eastAsia="zh-CN" w:bidi="ar-SA"/>
        </w:rPr>
        <w:t>个前端采集点，</w:t>
      </w:r>
      <w:r>
        <w:rPr>
          <w:rFonts w:hint="eastAsia" w:ascii="仿宋_GB2312" w:cs="Times New Roman"/>
          <w:b w:val="0"/>
          <w:bCs/>
          <w:color w:val="auto"/>
          <w:kern w:val="2"/>
          <w:sz w:val="28"/>
          <w:szCs w:val="28"/>
          <w:highlight w:val="none"/>
          <w:lang w:val="en-US" w:eastAsia="zh-CN" w:bidi="ar-SA"/>
        </w:rPr>
        <w:t>进入负二层道闸13个。</w:t>
      </w:r>
      <w:r>
        <w:rPr>
          <w:rFonts w:hint="eastAsia" w:ascii="仿宋_GB2312" w:hAnsi="Times New Roman" w:eastAsia="仿宋_GB2312" w:cs="Times New Roman"/>
          <w:b w:val="0"/>
          <w:bCs/>
          <w:color w:val="auto"/>
          <w:kern w:val="2"/>
          <w:sz w:val="28"/>
          <w:szCs w:val="28"/>
          <w:highlight w:val="none"/>
          <w:lang w:val="en-US" w:eastAsia="zh-CN" w:bidi="ar-SA"/>
        </w:rPr>
        <w:t>前端新建内容包括</w:t>
      </w:r>
      <w:r>
        <w:rPr>
          <w:rFonts w:hint="eastAsia" w:ascii="仿宋_GB2312" w:cs="Times New Roman"/>
          <w:b w:val="0"/>
          <w:bCs/>
          <w:color w:val="auto"/>
          <w:kern w:val="2"/>
          <w:sz w:val="28"/>
          <w:szCs w:val="28"/>
          <w:highlight w:val="none"/>
          <w:lang w:val="en-US" w:eastAsia="zh-CN" w:bidi="ar-SA"/>
        </w:rPr>
        <w:t>人脸识别一体机</w:t>
      </w:r>
      <w:r>
        <w:rPr>
          <w:rFonts w:hint="eastAsia" w:ascii="仿宋_GB2312" w:hAnsi="Times New Roman" w:eastAsia="仿宋_GB2312" w:cs="Times New Roman"/>
          <w:b w:val="0"/>
          <w:bCs/>
          <w:color w:val="auto"/>
          <w:kern w:val="2"/>
          <w:sz w:val="28"/>
          <w:szCs w:val="28"/>
          <w:highlight w:val="none"/>
          <w:lang w:val="en-US" w:eastAsia="zh-CN" w:bidi="ar-SA"/>
        </w:rPr>
        <w:t>、设备箱、电源、管线铺设和调试工作，以及相关基础工作。</w:t>
      </w:r>
    </w:p>
    <w:p>
      <w:pPr>
        <w:pStyle w:val="25"/>
        <w:ind w:firstLine="560" w:firstLineChars="200"/>
        <w:rPr>
          <w:rFonts w:hint="eastAsia" w:ascii="仿宋_GB2312" w:hAnsi="Times New Roman" w:eastAsia="仿宋_GB2312" w:cs="Times New Roman"/>
          <w:b w:val="0"/>
          <w:bCs/>
          <w:color w:val="auto"/>
          <w:kern w:val="2"/>
          <w:sz w:val="28"/>
          <w:szCs w:val="28"/>
          <w:highlight w:val="none"/>
          <w:lang w:val="en-US" w:eastAsia="zh-CN" w:bidi="ar-SA"/>
        </w:rPr>
      </w:pPr>
      <w:r>
        <w:rPr>
          <w:rFonts w:hint="eastAsia" w:ascii="仿宋_GB2312" w:hAnsi="Times New Roman" w:eastAsia="仿宋_GB2312" w:cs="Times New Roman"/>
          <w:b w:val="0"/>
          <w:bCs/>
          <w:color w:val="auto"/>
          <w:kern w:val="2"/>
          <w:sz w:val="28"/>
          <w:szCs w:val="28"/>
          <w:highlight w:val="none"/>
          <w:lang w:val="en-US" w:eastAsia="zh-CN" w:bidi="ar-SA"/>
        </w:rPr>
        <w:t>2）传输网络</w:t>
      </w:r>
    </w:p>
    <w:p>
      <w:pPr>
        <w:pStyle w:val="25"/>
        <w:ind w:firstLine="560" w:firstLineChars="200"/>
        <w:rPr>
          <w:rFonts w:hint="eastAsia" w:ascii="仿宋_GB2312" w:hAnsi="Times New Roman" w:eastAsia="仿宋_GB2312" w:cs="Times New Roman"/>
          <w:b w:val="0"/>
          <w:bCs/>
          <w:color w:val="auto"/>
          <w:kern w:val="2"/>
          <w:sz w:val="28"/>
          <w:szCs w:val="28"/>
          <w:highlight w:val="none"/>
          <w:lang w:val="en-US" w:eastAsia="zh-CN" w:bidi="ar-SA"/>
        </w:rPr>
      </w:pPr>
      <w:r>
        <w:rPr>
          <w:rFonts w:hint="eastAsia" w:ascii="仿宋_GB2312" w:hAnsi="Times New Roman" w:eastAsia="仿宋_GB2312" w:cs="Times New Roman"/>
          <w:b w:val="0"/>
          <w:bCs/>
          <w:color w:val="auto"/>
          <w:kern w:val="2"/>
          <w:sz w:val="28"/>
          <w:szCs w:val="28"/>
          <w:highlight w:val="none"/>
          <w:lang w:val="en-US" w:eastAsia="zh-CN" w:bidi="ar-SA"/>
        </w:rPr>
        <w:t>本项目传输网络建设主要</w:t>
      </w:r>
      <w:r>
        <w:rPr>
          <w:rFonts w:hint="eastAsia" w:ascii="仿宋_GB2312" w:cs="Times New Roman"/>
          <w:b w:val="0"/>
          <w:bCs/>
          <w:color w:val="auto"/>
          <w:kern w:val="2"/>
          <w:sz w:val="28"/>
          <w:szCs w:val="28"/>
          <w:highlight w:val="none"/>
          <w:lang w:val="en-US" w:eastAsia="zh-CN" w:bidi="ar-SA"/>
        </w:rPr>
        <w:t>为</w:t>
      </w:r>
      <w:r>
        <w:rPr>
          <w:rFonts w:hint="eastAsia" w:ascii="仿宋_GB2312" w:hAnsi="Times New Roman" w:eastAsia="仿宋_GB2312" w:cs="Times New Roman"/>
          <w:b w:val="0"/>
          <w:bCs/>
          <w:color w:val="auto"/>
          <w:kern w:val="2"/>
          <w:sz w:val="28"/>
          <w:szCs w:val="28"/>
          <w:highlight w:val="none"/>
          <w:lang w:val="en-US" w:eastAsia="zh-CN" w:bidi="ar-SA"/>
        </w:rPr>
        <w:t>前端</w:t>
      </w:r>
      <w:r>
        <w:rPr>
          <w:rFonts w:hint="eastAsia" w:ascii="仿宋_GB2312" w:cs="Times New Roman"/>
          <w:b w:val="0"/>
          <w:bCs/>
          <w:color w:val="auto"/>
          <w:kern w:val="2"/>
          <w:sz w:val="28"/>
          <w:szCs w:val="28"/>
          <w:highlight w:val="none"/>
          <w:lang w:val="en-US" w:eastAsia="zh-CN" w:bidi="ar-SA"/>
        </w:rPr>
        <w:t>设备</w:t>
      </w:r>
      <w:r>
        <w:rPr>
          <w:rFonts w:hint="eastAsia" w:ascii="仿宋_GB2312" w:hAnsi="Times New Roman" w:eastAsia="仿宋_GB2312" w:cs="Times New Roman"/>
          <w:b w:val="0"/>
          <w:bCs/>
          <w:color w:val="auto"/>
          <w:kern w:val="2"/>
          <w:sz w:val="28"/>
          <w:szCs w:val="28"/>
          <w:highlight w:val="none"/>
          <w:lang w:val="en-US" w:eastAsia="zh-CN" w:bidi="ar-SA"/>
        </w:rPr>
        <w:t>到石井净分公司中控室的传输线路。</w:t>
      </w:r>
    </w:p>
    <w:p>
      <w:pPr>
        <w:pStyle w:val="25"/>
        <w:ind w:firstLine="560" w:firstLineChars="200"/>
        <w:rPr>
          <w:rFonts w:hint="eastAsia" w:ascii="仿宋_GB2312" w:hAnsi="Times New Roman" w:eastAsia="仿宋_GB2312" w:cs="Times New Roman"/>
          <w:b w:val="0"/>
          <w:bCs/>
          <w:color w:val="auto"/>
          <w:kern w:val="2"/>
          <w:sz w:val="28"/>
          <w:szCs w:val="28"/>
          <w:highlight w:val="none"/>
          <w:lang w:val="en-US" w:eastAsia="zh-CN" w:bidi="ar-SA"/>
        </w:rPr>
      </w:pPr>
      <w:r>
        <w:rPr>
          <w:rFonts w:hint="eastAsia" w:ascii="仿宋_GB2312" w:hAnsi="Times New Roman" w:eastAsia="仿宋_GB2312" w:cs="Times New Roman"/>
          <w:b w:val="0"/>
          <w:bCs/>
          <w:color w:val="auto"/>
          <w:kern w:val="2"/>
          <w:sz w:val="28"/>
          <w:szCs w:val="28"/>
          <w:highlight w:val="none"/>
          <w:lang w:val="en-US" w:eastAsia="zh-CN" w:bidi="ar-SA"/>
        </w:rPr>
        <w:t>3）后端系统</w:t>
      </w:r>
    </w:p>
    <w:p>
      <w:pPr>
        <w:pStyle w:val="25"/>
        <w:ind w:firstLine="560" w:firstLineChars="200"/>
        <w:rPr>
          <w:rFonts w:hint="eastAsia" w:ascii="仿宋_GB2312" w:hAnsi="Times New Roman" w:eastAsia="仿宋_GB2312" w:cs="Times New Roman"/>
          <w:b w:val="0"/>
          <w:bCs/>
          <w:color w:val="auto"/>
          <w:kern w:val="2"/>
          <w:sz w:val="28"/>
          <w:szCs w:val="28"/>
          <w:highlight w:val="none"/>
          <w:lang w:val="en-US" w:eastAsia="zh-CN" w:bidi="ar-SA"/>
        </w:rPr>
      </w:pPr>
      <w:r>
        <w:rPr>
          <w:rFonts w:hint="eastAsia" w:ascii="仿宋_GB2312" w:cs="Times New Roman"/>
          <w:b w:val="0"/>
          <w:bCs/>
          <w:color w:val="auto"/>
          <w:kern w:val="2"/>
          <w:sz w:val="28"/>
          <w:szCs w:val="28"/>
          <w:highlight w:val="none"/>
          <w:lang w:val="en-US" w:eastAsia="zh-CN" w:bidi="ar-SA"/>
        </w:rPr>
        <w:t>并入原有智慧园区</w:t>
      </w:r>
      <w:r>
        <w:rPr>
          <w:rFonts w:hint="eastAsia" w:ascii="仿宋_GB2312" w:hAnsi="Times New Roman" w:eastAsia="仿宋_GB2312" w:cs="Times New Roman"/>
          <w:b w:val="0"/>
          <w:bCs/>
          <w:color w:val="auto"/>
          <w:kern w:val="2"/>
          <w:sz w:val="28"/>
          <w:szCs w:val="28"/>
          <w:highlight w:val="none"/>
          <w:lang w:val="en-US" w:eastAsia="zh-CN" w:bidi="ar-SA"/>
        </w:rPr>
        <w:t>平台、存储设备、服务器、交换机以及其它辅助设备的安装和调试，实现本项目新</w:t>
      </w:r>
      <w:r>
        <w:rPr>
          <w:rFonts w:hint="eastAsia" w:ascii="仿宋_GB2312" w:cs="Times New Roman"/>
          <w:b w:val="0"/>
          <w:bCs/>
          <w:color w:val="auto"/>
          <w:kern w:val="2"/>
          <w:sz w:val="28"/>
          <w:szCs w:val="28"/>
          <w:highlight w:val="none"/>
          <w:lang w:val="en-US" w:eastAsia="zh-CN" w:bidi="ar-SA"/>
        </w:rPr>
        <w:t>增</w:t>
      </w:r>
      <w:r>
        <w:rPr>
          <w:rFonts w:hint="eastAsia" w:ascii="仿宋_GB2312" w:hAnsi="Times New Roman" w:eastAsia="仿宋_GB2312" w:cs="Times New Roman"/>
          <w:b w:val="0"/>
          <w:bCs/>
          <w:color w:val="auto"/>
          <w:kern w:val="2"/>
          <w:sz w:val="28"/>
          <w:szCs w:val="28"/>
          <w:highlight w:val="none"/>
          <w:lang w:val="en-US" w:eastAsia="zh-CN" w:bidi="ar-SA"/>
        </w:rPr>
        <w:t>的</w:t>
      </w:r>
      <w:r>
        <w:rPr>
          <w:rFonts w:hint="eastAsia" w:ascii="仿宋_GB2312" w:cs="Times New Roman"/>
          <w:b w:val="0"/>
          <w:bCs/>
          <w:color w:val="auto"/>
          <w:kern w:val="2"/>
          <w:sz w:val="28"/>
          <w:szCs w:val="28"/>
          <w:highlight w:val="none"/>
          <w:lang w:val="en-US" w:eastAsia="zh-CN" w:bidi="ar-SA"/>
        </w:rPr>
        <w:t>人脸识别设备</w:t>
      </w:r>
      <w:r>
        <w:rPr>
          <w:rFonts w:hint="eastAsia" w:ascii="仿宋_GB2312" w:hAnsi="Times New Roman" w:eastAsia="仿宋_GB2312" w:cs="Times New Roman"/>
          <w:b w:val="0"/>
          <w:bCs/>
          <w:color w:val="auto"/>
          <w:kern w:val="2"/>
          <w:sz w:val="28"/>
          <w:szCs w:val="28"/>
          <w:highlight w:val="none"/>
          <w:lang w:val="en-US" w:eastAsia="zh-CN" w:bidi="ar-SA"/>
        </w:rPr>
        <w:t>接入</w:t>
      </w:r>
      <w:r>
        <w:rPr>
          <w:rFonts w:hint="eastAsia" w:ascii="仿宋_GB2312" w:cs="Times New Roman"/>
          <w:b w:val="0"/>
          <w:bCs/>
          <w:color w:val="auto"/>
          <w:kern w:val="2"/>
          <w:sz w:val="28"/>
          <w:szCs w:val="28"/>
          <w:highlight w:val="none"/>
          <w:lang w:val="en-US" w:eastAsia="zh-CN" w:bidi="ar-SA"/>
        </w:rPr>
        <w:t>智慧园区系统</w:t>
      </w:r>
      <w:r>
        <w:rPr>
          <w:rFonts w:hint="eastAsia" w:ascii="仿宋_GB2312" w:hAnsi="Times New Roman" w:eastAsia="仿宋_GB2312" w:cs="Times New Roman"/>
          <w:b w:val="0"/>
          <w:bCs/>
          <w:color w:val="auto"/>
          <w:kern w:val="2"/>
          <w:sz w:val="28"/>
          <w:szCs w:val="28"/>
          <w:highlight w:val="none"/>
          <w:lang w:val="en-US" w:eastAsia="zh-CN" w:bidi="ar-SA"/>
        </w:rPr>
        <w:t>，</w:t>
      </w:r>
      <w:r>
        <w:rPr>
          <w:rFonts w:hint="eastAsia" w:ascii="仿宋_GB2312" w:cs="Times New Roman"/>
          <w:b w:val="0"/>
          <w:bCs/>
          <w:color w:val="auto"/>
          <w:kern w:val="2"/>
          <w:sz w:val="28"/>
          <w:szCs w:val="28"/>
          <w:highlight w:val="none"/>
          <w:lang w:val="en-US" w:eastAsia="zh-CN" w:bidi="ar-SA"/>
        </w:rPr>
        <w:t>并对10s内未正常关闭的门有预警提示到平台，</w:t>
      </w:r>
      <w:r>
        <w:rPr>
          <w:rFonts w:hint="eastAsia" w:ascii="仿宋_GB2312" w:hAnsi="Times New Roman" w:eastAsia="仿宋_GB2312" w:cs="Times New Roman"/>
          <w:b w:val="0"/>
          <w:bCs/>
          <w:color w:val="auto"/>
          <w:kern w:val="2"/>
          <w:sz w:val="28"/>
          <w:szCs w:val="28"/>
          <w:highlight w:val="none"/>
          <w:lang w:val="en-US" w:eastAsia="zh-CN" w:bidi="ar-SA"/>
        </w:rPr>
        <w:t>实现</w:t>
      </w:r>
      <w:r>
        <w:rPr>
          <w:rFonts w:hint="eastAsia" w:ascii="仿宋_GB2312" w:cs="Times New Roman"/>
          <w:b w:val="0"/>
          <w:bCs/>
          <w:color w:val="auto"/>
          <w:kern w:val="2"/>
          <w:sz w:val="28"/>
          <w:szCs w:val="28"/>
          <w:highlight w:val="none"/>
          <w:lang w:val="en-US" w:eastAsia="zh-CN" w:bidi="ar-SA"/>
        </w:rPr>
        <w:t>安防的</w:t>
      </w:r>
      <w:r>
        <w:rPr>
          <w:rFonts w:hint="eastAsia" w:ascii="仿宋_GB2312" w:hAnsi="Times New Roman" w:eastAsia="仿宋_GB2312" w:cs="Times New Roman"/>
          <w:b w:val="0"/>
          <w:bCs/>
          <w:color w:val="auto"/>
          <w:kern w:val="2"/>
          <w:sz w:val="28"/>
          <w:szCs w:val="28"/>
          <w:highlight w:val="none"/>
          <w:lang w:val="en-US" w:eastAsia="zh-CN" w:bidi="ar-SA"/>
        </w:rPr>
        <w:t>统一管理。</w:t>
      </w:r>
    </w:p>
    <w:p>
      <w:pPr>
        <w:pStyle w:val="25"/>
        <w:rPr>
          <w:rFonts w:hint="eastAsia"/>
          <w:color w:val="auto"/>
          <w:highlight w:val="none"/>
          <w:lang w:val="en-US" w:eastAsia="zh-CN"/>
        </w:rPr>
      </w:pPr>
    </w:p>
    <w:p>
      <w:pPr>
        <w:spacing w:line="360" w:lineRule="auto"/>
        <w:ind w:firstLine="560" w:firstLineChars="200"/>
        <w:jc w:val="left"/>
        <w:rPr>
          <w:rFonts w:hint="eastAsia"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lang w:val="en-US" w:eastAsia="zh-CN"/>
        </w:rPr>
        <w:t>工程量清单</w:t>
      </w:r>
      <w:r>
        <w:rPr>
          <w:rFonts w:hint="eastAsia" w:ascii="仿宋_GB2312" w:hAnsi="仿宋_GB2312" w:eastAsia="仿宋_GB2312" w:cs="仿宋_GB2312"/>
          <w:bCs/>
          <w:color w:val="auto"/>
          <w:sz w:val="28"/>
          <w:szCs w:val="28"/>
          <w:highlight w:val="none"/>
        </w:rPr>
        <w:t>：</w:t>
      </w:r>
    </w:p>
    <w:tbl>
      <w:tblPr>
        <w:tblStyle w:val="21"/>
        <w:tblW w:w="868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56"/>
        <w:gridCol w:w="2160"/>
        <w:gridCol w:w="3300"/>
        <w:gridCol w:w="1104"/>
        <w:gridCol w:w="12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0" w:hRule="atLeast"/>
        </w:trPr>
        <w:tc>
          <w:tcPr>
            <w:tcW w:w="856" w:type="dxa"/>
            <w:vMerge w:val="restart"/>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序号</w:t>
            </w:r>
          </w:p>
        </w:tc>
        <w:tc>
          <w:tcPr>
            <w:tcW w:w="2160"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项目名称</w:t>
            </w:r>
          </w:p>
        </w:tc>
        <w:tc>
          <w:tcPr>
            <w:tcW w:w="3300"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项目特征描述</w:t>
            </w:r>
          </w:p>
        </w:tc>
        <w:tc>
          <w:tcPr>
            <w:tcW w:w="1104"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计量单位</w:t>
            </w:r>
          </w:p>
        </w:tc>
        <w:tc>
          <w:tcPr>
            <w:tcW w:w="1269"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工程量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856" w:type="dxa"/>
            <w:vMerge w:val="continue"/>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2160"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3300"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104"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269"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856" w:type="dxa"/>
            <w:vMerge w:val="continue"/>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2160"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3300"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104"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269"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85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21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双目动态人脸识别机</w:t>
            </w:r>
          </w:p>
        </w:tc>
        <w:tc>
          <w:tcPr>
            <w:tcW w:w="33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1.名称:人体生物特征识别</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2.规格：符合设计要求</w:t>
            </w:r>
          </w:p>
        </w:tc>
        <w:tc>
          <w:tcPr>
            <w:tcW w:w="11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126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85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w:t>
            </w:r>
          </w:p>
        </w:tc>
        <w:tc>
          <w:tcPr>
            <w:tcW w:w="21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4口POE交换机</w:t>
            </w:r>
          </w:p>
        </w:tc>
        <w:tc>
          <w:tcPr>
            <w:tcW w:w="33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1.名称:4口POE交换机</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2.功能:带POE供电</w:t>
            </w:r>
          </w:p>
        </w:tc>
        <w:tc>
          <w:tcPr>
            <w:tcW w:w="11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126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85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w:t>
            </w:r>
          </w:p>
        </w:tc>
        <w:tc>
          <w:tcPr>
            <w:tcW w:w="21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门锁安装</w:t>
            </w:r>
          </w:p>
        </w:tc>
        <w:tc>
          <w:tcPr>
            <w:tcW w:w="33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1.名称:门锁</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2.规格:280KG电磁吸力锁</w:t>
            </w:r>
          </w:p>
        </w:tc>
        <w:tc>
          <w:tcPr>
            <w:tcW w:w="11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126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85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w:t>
            </w:r>
          </w:p>
        </w:tc>
        <w:tc>
          <w:tcPr>
            <w:tcW w:w="21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门禁开关</w:t>
            </w:r>
          </w:p>
        </w:tc>
        <w:tc>
          <w:tcPr>
            <w:tcW w:w="33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1.名称:门禁按钮</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2.规格:符合设计要求</w:t>
            </w:r>
          </w:p>
        </w:tc>
        <w:tc>
          <w:tcPr>
            <w:tcW w:w="11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个</w:t>
            </w:r>
          </w:p>
        </w:tc>
        <w:tc>
          <w:tcPr>
            <w:tcW w:w="126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570" w:hRule="atLeast"/>
        </w:trPr>
        <w:tc>
          <w:tcPr>
            <w:tcW w:w="85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w:t>
            </w:r>
          </w:p>
        </w:tc>
        <w:tc>
          <w:tcPr>
            <w:tcW w:w="21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门禁电源</w:t>
            </w:r>
          </w:p>
        </w:tc>
        <w:tc>
          <w:tcPr>
            <w:tcW w:w="33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1.名称:门禁电源</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2.规格:符合设计要求</w:t>
            </w:r>
          </w:p>
        </w:tc>
        <w:tc>
          <w:tcPr>
            <w:tcW w:w="11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126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825" w:hRule="atLeast"/>
        </w:trPr>
        <w:tc>
          <w:tcPr>
            <w:tcW w:w="85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6</w:t>
            </w:r>
          </w:p>
        </w:tc>
        <w:tc>
          <w:tcPr>
            <w:tcW w:w="21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自动平移人行道闸</w:t>
            </w:r>
          </w:p>
        </w:tc>
        <w:tc>
          <w:tcPr>
            <w:tcW w:w="33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1.名称:自动平移人行道闸</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2.规格:宽：1150cm;高：1150cm</w:t>
            </w:r>
          </w:p>
        </w:tc>
        <w:tc>
          <w:tcPr>
            <w:tcW w:w="11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126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7</w:t>
            </w:r>
          </w:p>
        </w:tc>
        <w:tc>
          <w:tcPr>
            <w:tcW w:w="21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配管</w:t>
            </w:r>
          </w:p>
        </w:tc>
        <w:tc>
          <w:tcPr>
            <w:tcW w:w="33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1.名称:镀锌电线管</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2.规格:DN20</w:t>
            </w:r>
          </w:p>
        </w:tc>
        <w:tc>
          <w:tcPr>
            <w:tcW w:w="11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m</w:t>
            </w:r>
          </w:p>
        </w:tc>
        <w:tc>
          <w:tcPr>
            <w:tcW w:w="126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590" w:hRule="atLeast"/>
        </w:trPr>
        <w:tc>
          <w:tcPr>
            <w:tcW w:w="85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8</w:t>
            </w:r>
          </w:p>
        </w:tc>
        <w:tc>
          <w:tcPr>
            <w:tcW w:w="21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超五类网线</w:t>
            </w:r>
          </w:p>
        </w:tc>
        <w:tc>
          <w:tcPr>
            <w:tcW w:w="33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1.名称:双绞线缆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2.规格及型号:符合设计要求</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3.线缆敷设、水晶头制安、标记、卡接</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4.测试</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5.其他:符合规范要求</w:t>
            </w:r>
          </w:p>
        </w:tc>
        <w:tc>
          <w:tcPr>
            <w:tcW w:w="11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m</w:t>
            </w:r>
          </w:p>
        </w:tc>
        <w:tc>
          <w:tcPr>
            <w:tcW w:w="126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85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9</w:t>
            </w:r>
          </w:p>
        </w:tc>
        <w:tc>
          <w:tcPr>
            <w:tcW w:w="21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双绞线缆测试</w:t>
            </w:r>
          </w:p>
        </w:tc>
        <w:tc>
          <w:tcPr>
            <w:tcW w:w="33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1.测试类别:双绞线缆测试</w:t>
            </w:r>
          </w:p>
        </w:tc>
        <w:tc>
          <w:tcPr>
            <w:tcW w:w="11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链路</w:t>
            </w:r>
          </w:p>
        </w:tc>
        <w:tc>
          <w:tcPr>
            <w:tcW w:w="126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w:t>
            </w:r>
          </w:p>
        </w:tc>
        <w:tc>
          <w:tcPr>
            <w:tcW w:w="21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路面切割</w:t>
            </w:r>
          </w:p>
        </w:tc>
        <w:tc>
          <w:tcPr>
            <w:tcW w:w="33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1.面层:沥青混凝土</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2.厚度:5cm</w:t>
            </w:r>
          </w:p>
        </w:tc>
        <w:tc>
          <w:tcPr>
            <w:tcW w:w="11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m</w:t>
            </w:r>
          </w:p>
        </w:tc>
        <w:tc>
          <w:tcPr>
            <w:tcW w:w="126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25" w:hRule="atLeast"/>
        </w:trPr>
        <w:tc>
          <w:tcPr>
            <w:tcW w:w="85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11</w:t>
            </w:r>
          </w:p>
        </w:tc>
        <w:tc>
          <w:tcPr>
            <w:tcW w:w="21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沥青贯入式</w:t>
            </w:r>
          </w:p>
        </w:tc>
        <w:tc>
          <w:tcPr>
            <w:tcW w:w="33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1.名称:路面恢复</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2.用料:符合设计要求沥青</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3.厚度:5cm</w:t>
            </w:r>
          </w:p>
        </w:tc>
        <w:tc>
          <w:tcPr>
            <w:tcW w:w="11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m2</w:t>
            </w:r>
          </w:p>
        </w:tc>
        <w:tc>
          <w:tcPr>
            <w:tcW w:w="126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0" w:hRule="atLeast"/>
        </w:trPr>
        <w:tc>
          <w:tcPr>
            <w:tcW w:w="85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12</w:t>
            </w:r>
          </w:p>
        </w:tc>
        <w:tc>
          <w:tcPr>
            <w:tcW w:w="21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系统调试</w:t>
            </w:r>
          </w:p>
        </w:tc>
        <w:tc>
          <w:tcPr>
            <w:tcW w:w="33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1.名称:安全防范分系统调试</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2.通道数:符合设计要求</w:t>
            </w:r>
          </w:p>
        </w:tc>
        <w:tc>
          <w:tcPr>
            <w:tcW w:w="11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系统</w:t>
            </w:r>
          </w:p>
        </w:tc>
        <w:tc>
          <w:tcPr>
            <w:tcW w:w="126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856"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13</w:t>
            </w:r>
          </w:p>
        </w:tc>
        <w:tc>
          <w:tcPr>
            <w:tcW w:w="216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拆除路面</w:t>
            </w:r>
          </w:p>
        </w:tc>
        <w:tc>
          <w:tcPr>
            <w:tcW w:w="330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1.材质:混凝土路面拆除</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2.厚度:5cm</w:t>
            </w:r>
          </w:p>
        </w:tc>
        <w:tc>
          <w:tcPr>
            <w:tcW w:w="110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m2</w:t>
            </w:r>
          </w:p>
        </w:tc>
        <w:tc>
          <w:tcPr>
            <w:tcW w:w="1269"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0.7</w:t>
            </w:r>
          </w:p>
        </w:tc>
      </w:tr>
    </w:tbl>
    <w:p>
      <w:pPr>
        <w:pStyle w:val="25"/>
        <w:jc w:val="center"/>
        <w:rPr>
          <w:rFonts w:hint="eastAsia" w:ascii="仿宋" w:hAnsi="仿宋" w:eastAsia="仿宋"/>
          <w:color w:val="auto"/>
          <w:sz w:val="30"/>
          <w:szCs w:val="30"/>
          <w:highlight w:val="none"/>
        </w:rPr>
      </w:pPr>
    </w:p>
    <w:p>
      <w:pPr>
        <w:pStyle w:val="2"/>
        <w:rPr>
          <w:rFonts w:hint="eastAsia" w:ascii="仿宋_GB2312" w:hAnsi="宋体" w:eastAsia="仿宋_GB2312" w:cs="宋体"/>
          <w:bCs/>
          <w:color w:val="auto"/>
          <w:kern w:val="0"/>
          <w:sz w:val="28"/>
          <w:szCs w:val="28"/>
          <w:highlight w:val="none"/>
        </w:rPr>
      </w:pPr>
      <w:r>
        <w:rPr>
          <w:rFonts w:asciiTheme="majorEastAsia" w:hAnsiTheme="majorEastAsia" w:eastAsiaTheme="majorEastAsia"/>
          <w:b w:val="0"/>
          <w:color w:val="auto"/>
          <w:sz w:val="28"/>
          <w:szCs w:val="28"/>
          <w:highlight w:val="none"/>
        </w:rPr>
        <w:t>6</w:t>
      </w:r>
      <w:bookmarkEnd w:id="101"/>
      <w:bookmarkEnd w:id="102"/>
      <w:bookmarkEnd w:id="103"/>
      <w:r>
        <w:rPr>
          <w:rFonts w:hint="eastAsia" w:cs="Times New Roman" w:asciiTheme="majorEastAsia" w:hAnsiTheme="majorEastAsia" w:eastAsiaTheme="majorEastAsia"/>
          <w:b w:val="0"/>
          <w:bCs/>
          <w:color w:val="auto"/>
          <w:kern w:val="2"/>
          <w:sz w:val="28"/>
          <w:szCs w:val="28"/>
          <w:highlight w:val="none"/>
          <w:lang w:val="en-US" w:eastAsia="zh-CN" w:bidi="ar-SA"/>
        </w:rPr>
        <w:t>项目其它要求</w:t>
      </w:r>
    </w:p>
    <w:p>
      <w:pPr>
        <w:pStyle w:val="2"/>
        <w:ind w:left="0" w:leftChars="0" w:firstLine="560" w:firstLineChars="200"/>
        <w:rPr>
          <w:rFonts w:hint="eastAsia" w:ascii="仿宋_GB2312" w:hAnsi="宋体" w:eastAsia="仿宋_GB2312" w:cs="宋体"/>
          <w:bCs/>
          <w:color w:val="auto"/>
          <w:kern w:val="0"/>
          <w:sz w:val="28"/>
          <w:szCs w:val="28"/>
          <w:highlight w:val="none"/>
        </w:rPr>
      </w:pPr>
      <w:r>
        <w:rPr>
          <w:rFonts w:hint="eastAsia" w:ascii="仿宋_GB2312" w:hAnsi="宋体" w:eastAsia="仿宋_GB2312" w:cs="宋体"/>
          <w:bCs/>
          <w:color w:val="auto"/>
          <w:kern w:val="0"/>
          <w:sz w:val="28"/>
          <w:szCs w:val="28"/>
          <w:highlight w:val="none"/>
        </w:rPr>
        <w:t>1.主要材料使用要求</w:t>
      </w:r>
    </w:p>
    <w:p>
      <w:pPr>
        <w:pStyle w:val="2"/>
        <w:ind w:left="0" w:leftChars="0" w:firstLine="560" w:firstLineChars="200"/>
        <w:rPr>
          <w:rFonts w:hint="eastAsia" w:ascii="仿宋_GB2312" w:hAnsi="宋体" w:eastAsia="仿宋_GB2312" w:cs="宋体"/>
          <w:bCs/>
          <w:color w:val="auto"/>
          <w:kern w:val="0"/>
          <w:sz w:val="28"/>
          <w:szCs w:val="28"/>
          <w:highlight w:val="none"/>
        </w:rPr>
      </w:pPr>
      <w:r>
        <w:rPr>
          <w:rFonts w:hint="eastAsia" w:ascii="仿宋_GB2312" w:hAnsi="宋体" w:eastAsia="仿宋_GB2312" w:cs="宋体"/>
          <w:bCs/>
          <w:color w:val="auto"/>
          <w:kern w:val="0"/>
          <w:sz w:val="28"/>
          <w:szCs w:val="28"/>
          <w:highlight w:val="none"/>
        </w:rPr>
        <w:t>采购货物必须是全新、质量合格的产品，需提供原厂说明书。</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仿宋_GB2312" w:hAnsi="宋体" w:eastAsia="仿宋_GB2312" w:cs="宋体"/>
          <w:bCs/>
          <w:color w:val="auto"/>
          <w:kern w:val="0"/>
          <w:sz w:val="28"/>
          <w:szCs w:val="28"/>
          <w:highlight w:val="none"/>
          <w:lang w:val="en-US" w:eastAsia="zh-CN" w:bidi="ar-SA"/>
        </w:rPr>
      </w:pPr>
      <w:r>
        <w:rPr>
          <w:rFonts w:hint="default" w:ascii="仿宋_GB2312" w:hAnsi="宋体" w:eastAsia="仿宋_GB2312" w:cs="宋体"/>
          <w:bCs/>
          <w:color w:val="auto"/>
          <w:kern w:val="0"/>
          <w:sz w:val="28"/>
          <w:szCs w:val="28"/>
          <w:highlight w:val="none"/>
          <w:lang w:val="en-US" w:eastAsia="zh-CN" w:bidi="ar-SA"/>
        </w:rPr>
        <w:t>2.货物在质保期（自货物安装调试验收合格之日起1年。）内如有质量问题或未能适配原有设备时，供应商必须24小时内立即响应。</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仿宋_GB2312" w:hAnsi="宋体" w:eastAsia="仿宋_GB2312" w:cs="宋体"/>
          <w:bCs/>
          <w:color w:val="auto"/>
          <w:kern w:val="0"/>
          <w:sz w:val="28"/>
          <w:szCs w:val="28"/>
          <w:highlight w:val="none"/>
          <w:lang w:val="en-US" w:eastAsia="zh-CN" w:bidi="ar-SA"/>
        </w:rPr>
      </w:pPr>
      <w:r>
        <w:rPr>
          <w:rFonts w:hint="eastAsia" w:ascii="仿宋_GB2312" w:hAnsi="宋体" w:eastAsia="仿宋_GB2312" w:cs="宋体"/>
          <w:bCs/>
          <w:color w:val="auto"/>
          <w:kern w:val="0"/>
          <w:sz w:val="28"/>
          <w:szCs w:val="28"/>
          <w:highlight w:val="none"/>
          <w:lang w:val="en-US" w:eastAsia="zh-CN" w:bidi="ar-SA"/>
        </w:rPr>
        <w:t>3.</w:t>
      </w:r>
      <w:r>
        <w:rPr>
          <w:rFonts w:hint="default" w:ascii="仿宋_GB2312" w:hAnsi="宋体" w:eastAsia="仿宋_GB2312" w:cs="宋体"/>
          <w:bCs/>
          <w:color w:val="auto"/>
          <w:kern w:val="0"/>
          <w:sz w:val="28"/>
          <w:szCs w:val="28"/>
          <w:highlight w:val="none"/>
          <w:lang w:val="en-US" w:eastAsia="zh-CN" w:bidi="ar-SA"/>
        </w:rPr>
        <w:t>付款方式：采用网银支付。</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both"/>
        <w:textAlignment w:val="auto"/>
        <w:rPr>
          <w:rFonts w:hint="default" w:ascii="仿宋_GB2312" w:hAnsi="宋体" w:eastAsia="仿宋_GB2312" w:cs="宋体"/>
          <w:bCs/>
          <w:color w:val="auto"/>
          <w:kern w:val="0"/>
          <w:sz w:val="28"/>
          <w:szCs w:val="28"/>
          <w:highlight w:val="none"/>
          <w:lang w:val="en-US" w:eastAsia="zh-CN" w:bidi="ar-SA"/>
        </w:rPr>
      </w:pPr>
      <w:r>
        <w:rPr>
          <w:rFonts w:hint="eastAsia" w:ascii="仿宋_GB2312" w:hAnsi="宋体" w:eastAsia="仿宋_GB2312" w:cs="宋体"/>
          <w:bCs/>
          <w:color w:val="auto"/>
          <w:kern w:val="0"/>
          <w:sz w:val="28"/>
          <w:szCs w:val="28"/>
          <w:highlight w:val="none"/>
          <w:lang w:val="en-US" w:eastAsia="zh-CN" w:bidi="ar-SA"/>
        </w:rPr>
        <w:t>4.</w:t>
      </w:r>
      <w:r>
        <w:rPr>
          <w:rFonts w:hint="default" w:ascii="仿宋_GB2312" w:hAnsi="宋体" w:eastAsia="仿宋_GB2312" w:cs="宋体"/>
          <w:bCs/>
          <w:color w:val="auto"/>
          <w:kern w:val="0"/>
          <w:sz w:val="28"/>
          <w:szCs w:val="28"/>
          <w:highlight w:val="none"/>
          <w:lang w:val="en-US" w:eastAsia="zh-CN" w:bidi="ar-SA"/>
        </w:rPr>
        <w:t>自供应商履行完合同义务之日起15个工作日内组织验收，审定供应商供货的货物合格情况，进行结算审核。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560" w:firstLineChars="200"/>
        <w:jc w:val="left"/>
        <w:textAlignment w:val="auto"/>
        <w:rPr>
          <w:rFonts w:hint="default" w:ascii="仿宋_GB2312" w:hAnsi="宋体" w:eastAsia="仿宋_GB2312" w:cs="宋体"/>
          <w:bCs/>
          <w:color w:val="auto"/>
          <w:kern w:val="0"/>
          <w:sz w:val="28"/>
          <w:szCs w:val="28"/>
          <w:highlight w:val="none"/>
          <w:lang w:val="en-US" w:eastAsia="zh-CN" w:bidi="ar-SA"/>
        </w:rPr>
      </w:pPr>
      <w:r>
        <w:rPr>
          <w:rFonts w:hint="eastAsia" w:ascii="仿宋_GB2312" w:hAnsi="宋体" w:eastAsia="仿宋_GB2312" w:cs="宋体"/>
          <w:bCs/>
          <w:color w:val="auto"/>
          <w:kern w:val="0"/>
          <w:sz w:val="28"/>
          <w:szCs w:val="28"/>
          <w:highlight w:val="none"/>
          <w:lang w:val="en-US" w:eastAsia="zh-CN" w:bidi="ar-SA"/>
        </w:rPr>
        <w:t>5.</w:t>
      </w:r>
      <w:r>
        <w:rPr>
          <w:rFonts w:hint="default" w:ascii="仿宋_GB2312" w:hAnsi="宋体" w:eastAsia="仿宋_GB2312" w:cs="宋体"/>
          <w:bCs/>
          <w:color w:val="auto"/>
          <w:kern w:val="0"/>
          <w:sz w:val="28"/>
          <w:szCs w:val="28"/>
          <w:highlight w:val="none"/>
          <w:lang w:val="en-US" w:eastAsia="zh-CN" w:bidi="ar-SA"/>
        </w:rPr>
        <w:t>承包方式：单价包干。</w:t>
      </w: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4"/>
        <w:rPr>
          <w:color w:val="auto"/>
          <w:highlight w:val="none"/>
        </w:rPr>
      </w:pPr>
      <w:bookmarkStart w:id="104" w:name="_Toc18538"/>
      <w:bookmarkStart w:id="105" w:name="_Toc1284"/>
      <w:bookmarkStart w:id="106" w:name="_Toc537"/>
      <w:bookmarkStart w:id="107" w:name="_Toc15570"/>
      <w:bookmarkStart w:id="108" w:name="_Toc23330"/>
      <w:bookmarkStart w:id="109" w:name="_Toc23353"/>
      <w:bookmarkStart w:id="110" w:name="_Toc4680"/>
      <w:bookmarkStart w:id="111" w:name="_Toc25925"/>
      <w:bookmarkStart w:id="112" w:name="_Toc12135"/>
      <w:bookmarkStart w:id="113" w:name="_Toc1496"/>
      <w:bookmarkStart w:id="114" w:name="_Toc29835"/>
      <w:r>
        <w:rPr>
          <w:color w:val="auto"/>
          <w:highlight w:val="none"/>
        </w:rPr>
        <mc:AlternateContent>
          <mc:Choice Requires="wps">
            <w:drawing>
              <wp:anchor distT="0" distB="0" distL="114300" distR="114300" simplePos="0" relativeHeight="251667456" behindDoc="0" locked="0" layoutInCell="1" allowOverlap="1">
                <wp:simplePos x="0" y="0"/>
                <wp:positionH relativeFrom="column">
                  <wp:posOffset>2306320</wp:posOffset>
                </wp:positionH>
                <wp:positionV relativeFrom="paragraph">
                  <wp:posOffset>720090</wp:posOffset>
                </wp:positionV>
                <wp:extent cx="958850" cy="0"/>
                <wp:effectExtent l="0" t="0" r="0" b="0"/>
                <wp:wrapNone/>
                <wp:docPr id="7" name="自选图形 9"/>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9" o:spid="_x0000_s1026" o:spt="32" type="#_x0000_t32" style="position:absolute;left:0pt;margin-left:181.6pt;margin-top:56.7pt;height:0pt;width:75.5pt;z-index:251667456;mso-width-relative:page;mso-height-relative:page;" filled="f" stroked="t" coordsize="21600,21600" o:gfxdata="UEsDBAoAAAAAAIdO4kAAAAAAAAAAAAAAAAAEAAAAZHJzL1BLAwQUAAAACACHTuJANWbC+tcAAAAL&#10;AQAADwAAAGRycy9kb3ducmV2LnhtbE2PwU7DMBBE70j8g7VIXBC1nbQVhDgVQuLAkbYSVzdekkC8&#10;jmKnKf16FgkJjjvzNDtTbk6+F0ccYxfIgF4oEEh1cB01Bva759s7EDFZcrYPhAa+MMKmurwobeHC&#10;TK943KZGcAjFwhpoUxoKKWPdordxEQYk9t7D6G3ic2ykG+3M4b6XmVJr6W1H/KG1Az61WH9uJ28A&#10;47TS6vHeN/uX83zzlp0/5mFnzPWVVg8gEp7SHww/9bk6VNzpECZyUfQG8nWeMcqGzpcgmFjpJSuH&#10;X0VWpfy/ofoGUEsDBBQAAAAIAIdO4kDP6Him8gEAAOIDAAAOAAAAZHJzL2Uyb0RvYy54bWytU0uO&#10;EzEQ3SNxB8t70kmkQKaVziwShg2CSMABKra725J/cnny2bFDnIEdS+4AtxkJbkHZncnAsMmCXrjL&#10;rqpX9Z7Li+uDNWynImrvGj4ZjTlTTnipXdfwD+9vns05wwROgvFONfyokF8vnz5Z7EOtpr73RqrI&#10;CMRhvQ8N71MKdVWh6JUFHPmgHDlbHy0k2saukhH2hG5NNR2Pn1d7H2WIXihEOl0PTn5CjJcA+rbV&#10;Qq29uLXKpQE1KgOJKGGvA/Jl6bZtlUhv2xZVYqbhxDSVlYqQvc1rtVxA3UUIvRanFuCSFh5xsqAd&#10;FT1DrSEBu436HyirRfTo2zQS3lYDkaIIsZiMH2nzroegCheSGsNZdPx/sOLNbhOZlg1/wZkDSxf+&#10;89O3Xx8/3335cff9K7vKCu0D1hS4cpt42mHYxEz30Eab/0SEHYqqx7Oq6pCYoMOr2Xw+I73Fvat6&#10;yAsR0yvlLctGwzFF0F2fVt45ujofJ0VU2L3GRJUp8T4hFzWO7TP8dEbgQKPY0giQaQPRQdeVXPRG&#10;yxttTM7A2G1XJrId5HEoX+ZHuH+F5SJrwH6IK65hUHoF8qWTLB0DCeXoffDcglWSM6PoOWWLAKFO&#10;oM0lkVTaOOogSzyImq2tl8eidTmnqy89nsY0z9af+5L98DSX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A1ZsL61wAAAAsBAAAPAAAAAAAAAAEAIAAAACIAAABkcnMvZG93bnJldi54bWxQSwECFAAU&#10;AAAACACHTuJAz+h4pvIBAADiAwAADgAAAAAAAAABACAAAAAmAQAAZHJzL2Uyb0RvYy54bWxQSwUG&#10;AAAAAAYABgBZAQAAigU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66432" behindDoc="0" locked="0" layoutInCell="1" allowOverlap="1">
                <wp:simplePos x="0" y="0"/>
                <wp:positionH relativeFrom="column">
                  <wp:posOffset>2325370</wp:posOffset>
                </wp:positionH>
                <wp:positionV relativeFrom="paragraph">
                  <wp:posOffset>270510</wp:posOffset>
                </wp:positionV>
                <wp:extent cx="958850" cy="0"/>
                <wp:effectExtent l="0" t="0" r="0" b="0"/>
                <wp:wrapNone/>
                <wp:docPr id="6" name="自选图形 8"/>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8" o:spid="_x0000_s1026" o:spt="32" type="#_x0000_t32" style="position:absolute;left:0pt;margin-left:183.1pt;margin-top:21.3pt;height:0pt;width:75.5pt;z-index:251666432;mso-width-relative:page;mso-height-relative:page;" filled="f" stroked="t" coordsize="21600,21600" o:gfxdata="UEsDBAoAAAAAAIdO4kAAAAAAAAAAAAAAAAAEAAAAZHJzL1BLAwQUAAAACACHTuJAnw64ENcAAAAJ&#10;AQAADwAAAGRycy9kb3ducmV2LnhtbE2PwU7DMAyG70i8Q2QkLoglLaxA13RCSBw4sk3aNWtMW9Y4&#10;VZOuY0+PEYft6N+ffn8ulkfXiQMOofWkIZkpEEiVty3VGjbr9/tnECEasqbzhBp+MMCyvL4qTG79&#10;RJ94WMVacAmF3GhoYuxzKUPVoDNh5nsk3n35wZnI41BLO5iJy10nU6Uy6UxLfKExPb41WO1Xo9OA&#10;YZwn6vXF1ZuP03S3TU/fU7/W+vYmUQsQEY/xDMOfPqtDyU47P5INotPwkGUpoxoe0wwEA/PkiYPd&#10;fyDLQl5+UP4CUEsDBBQAAAAIAIdO4kBeeAMX8gEAAOIDAAAOAAAAZHJzL2Uyb0RvYy54bWytU72O&#10;EzEQ7pF4B8s92SRSTiHK5oqEo0EQCXiAie3dteQ/eXzZpKNDPAMdJe8Ab3MS9xaMvbkcHE0KtvCO&#10;PTPfzPd5vLw+WMP2KqL2ruaT0Zgz5YSX2rU1//jh5sWcM0zgJBjvVM2PCvn16vmzZR8Wauo7b6SK&#10;jEAcLvpQ8y6lsKgqFJ2ygCMflCNn46OFRNvYVjJCT+jWVNPx+KrqfZQheqEQ6XQzOPkJMV4C6JtG&#10;C7Xx4tYqlwbUqAwkooSdDshXpdumUSK9axpUiZmaE9NUVipC9i6v1WoJizZC6LQ4tQCXtPCEkwXt&#10;qOgZagMJ2G3U/0BZLaJH36SR8LYaiBRFiMVk/ESb9x0EVbiQ1BjOouP/gxVv99vItKz5FWcOLF34&#10;r8/f7z99ufv68+7HNzbPCvUBFxS4dtt42mHYxkz30ESb/0SEHYqqx7Oq6pCYoMOXs/l8RnqLB1f1&#10;mBciptfKW5aNmmOKoNsurb1zdHU+ToqosH+DiSpT4kNCLmoc6zP8dEbgQKPY0AiQaQPRQdeWXPRG&#10;yxttTM7A2O7WJrI95HEoX+ZHuH+F5SIbwG6IK65hUDoF8pWTLB0DCeXoffDcglWSM6PoOWWLAGGR&#10;QJtLIqm0cdRBlngQNVs7L49F63JOV196PI1pnq0/9yX78Wmu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fDrgQ1wAAAAkBAAAPAAAAAAAAAAEAIAAAACIAAABkcnMvZG93bnJldi54bWxQSwECFAAU&#10;AAAACACHTuJAXngDF/IBAADiAwAADgAAAAAAAAABACAAAAAmAQAAZHJzL2Uyb0RvYy54bWxQSwUG&#10;AAAAAAYABgBZAQAAigUAAAAA&#10;">
                <v:fill on="f" focussize="0,0"/>
                <v:stroke color="#000000" joinstyle="round"/>
                <v:imagedata o:title=""/>
                <o:lock v:ext="edit" aspectratio="f"/>
              </v:shape>
            </w:pict>
          </mc:Fallback>
        </mc:AlternateContent>
      </w:r>
      <w:r>
        <w:rPr>
          <w:rFonts w:hint="eastAsia"/>
          <w:color w:val="auto"/>
          <w:highlight w:val="none"/>
        </w:rPr>
        <w:t>第六章</w:t>
      </w:r>
      <w:bookmarkEnd w:id="104"/>
      <w:bookmarkEnd w:id="105"/>
      <w:bookmarkEnd w:id="106"/>
      <w:bookmarkEnd w:id="107"/>
      <w:bookmarkEnd w:id="108"/>
      <w:bookmarkEnd w:id="109"/>
      <w:bookmarkEnd w:id="110"/>
      <w:bookmarkEnd w:id="111"/>
      <w:bookmarkEnd w:id="112"/>
      <w:bookmarkEnd w:id="113"/>
      <w:bookmarkEnd w:id="114"/>
    </w:p>
    <w:p>
      <w:pPr>
        <w:pStyle w:val="34"/>
        <w:rPr>
          <w:color w:val="auto"/>
          <w:highlight w:val="none"/>
        </w:rPr>
      </w:pPr>
    </w:p>
    <w:p>
      <w:pPr>
        <w:pStyle w:val="4"/>
        <w:rPr>
          <w:color w:val="auto"/>
          <w:highlight w:val="none"/>
        </w:rPr>
      </w:pPr>
      <w:bookmarkStart w:id="115" w:name="_Toc22501"/>
      <w:bookmarkStart w:id="116" w:name="_Toc13309"/>
      <w:bookmarkStart w:id="117" w:name="_Toc19088"/>
      <w:bookmarkStart w:id="118" w:name="_Toc12968"/>
      <w:bookmarkStart w:id="119" w:name="_Toc12721"/>
      <w:bookmarkStart w:id="120" w:name="_Toc8183"/>
      <w:bookmarkStart w:id="121" w:name="_Toc87616386"/>
      <w:bookmarkStart w:id="122" w:name="_Toc1375"/>
      <w:bookmarkStart w:id="123" w:name="_Toc88209949"/>
      <w:bookmarkStart w:id="124" w:name="_Toc19686"/>
      <w:bookmarkStart w:id="125" w:name="_Toc323"/>
      <w:bookmarkStart w:id="126" w:name="_Toc22797"/>
      <w:bookmarkStart w:id="127" w:name="_Toc12980"/>
      <w:r>
        <w:rPr>
          <w:rFonts w:hint="eastAsia"/>
          <w:color w:val="auto"/>
          <w:highlight w:val="none"/>
        </w:rPr>
        <w:t>合同</w:t>
      </w:r>
      <w:bookmarkEnd w:id="115"/>
      <w:bookmarkEnd w:id="116"/>
      <w:bookmarkEnd w:id="117"/>
      <w:bookmarkEnd w:id="118"/>
      <w:bookmarkEnd w:id="119"/>
      <w:bookmarkEnd w:id="120"/>
      <w:bookmarkEnd w:id="121"/>
      <w:bookmarkEnd w:id="122"/>
      <w:bookmarkEnd w:id="123"/>
      <w:bookmarkEnd w:id="124"/>
      <w:bookmarkEnd w:id="125"/>
      <w:bookmarkEnd w:id="126"/>
      <w:bookmarkEnd w:id="127"/>
    </w:p>
    <w:p>
      <w:pPr>
        <w:adjustRightInd w:val="0"/>
        <w:snapToGrid w:val="0"/>
        <w:spacing w:before="156" w:beforeLines="50" w:after="156" w:afterLines="50" w:line="600" w:lineRule="exact"/>
        <w:jc w:val="center"/>
        <w:rPr>
          <w:rFonts w:ascii="方正小标宋简体" w:eastAsia="方正小标宋简体"/>
          <w:color w:val="auto"/>
          <w:sz w:val="44"/>
          <w:szCs w:val="44"/>
          <w:highlight w:val="none"/>
        </w:rPr>
      </w:pPr>
    </w:p>
    <w:p>
      <w:pPr>
        <w:adjustRightInd w:val="0"/>
        <w:snapToGrid w:val="0"/>
        <w:spacing w:before="156" w:beforeLines="50" w:after="156" w:afterLines="50" w:line="600" w:lineRule="exact"/>
        <w:jc w:val="center"/>
        <w:rPr>
          <w:rFonts w:ascii="方正小标宋简体" w:eastAsia="方正小标宋简体"/>
          <w:color w:val="auto"/>
          <w:sz w:val="28"/>
          <w:szCs w:val="28"/>
          <w:highlight w:val="none"/>
        </w:rPr>
      </w:pPr>
    </w:p>
    <w:p>
      <w:pPr>
        <w:adjustRightInd w:val="0"/>
        <w:snapToGrid w:val="0"/>
        <w:spacing w:before="156" w:beforeLines="50" w:after="156" w:afterLines="50" w:line="600" w:lineRule="exact"/>
        <w:jc w:val="center"/>
        <w:rPr>
          <w:rFonts w:ascii="方正小标宋简体" w:eastAsia="方正小标宋简体"/>
          <w:color w:val="auto"/>
          <w:sz w:val="28"/>
          <w:szCs w:val="28"/>
          <w:highlight w:val="none"/>
        </w:rPr>
      </w:pPr>
    </w:p>
    <w:p>
      <w:pPr>
        <w:adjustRightInd w:val="0"/>
        <w:snapToGrid w:val="0"/>
        <w:spacing w:before="156" w:beforeLines="50" w:after="156" w:afterLines="50" w:line="600" w:lineRule="exact"/>
        <w:jc w:val="center"/>
        <w:rPr>
          <w:rFonts w:ascii="方正小标宋简体" w:eastAsia="方正小标宋简体"/>
          <w:color w:val="auto"/>
          <w:sz w:val="28"/>
          <w:szCs w:val="28"/>
          <w:highlight w:val="none"/>
        </w:rPr>
      </w:pPr>
    </w:p>
    <w:p>
      <w:pPr>
        <w:adjustRightInd w:val="0"/>
        <w:snapToGrid w:val="0"/>
        <w:spacing w:before="156" w:beforeLines="50" w:after="156" w:afterLines="50" w:line="600" w:lineRule="exact"/>
        <w:jc w:val="center"/>
        <w:rPr>
          <w:rFonts w:ascii="方正小标宋简体" w:eastAsia="方正小标宋简体"/>
          <w:color w:val="auto"/>
          <w:sz w:val="28"/>
          <w:szCs w:val="28"/>
          <w:highlight w:val="none"/>
        </w:rPr>
      </w:pPr>
    </w:p>
    <w:p>
      <w:pPr>
        <w:adjustRightInd w:val="0"/>
        <w:snapToGrid w:val="0"/>
        <w:spacing w:before="156" w:beforeLines="50" w:after="156" w:afterLines="50" w:line="600" w:lineRule="exact"/>
        <w:jc w:val="center"/>
        <w:rPr>
          <w:rFonts w:ascii="方正小标宋简体" w:eastAsia="方正小标宋简体"/>
          <w:color w:val="auto"/>
          <w:sz w:val="28"/>
          <w:szCs w:val="28"/>
          <w:highlight w:val="none"/>
        </w:rPr>
      </w:pPr>
    </w:p>
    <w:p>
      <w:pPr>
        <w:adjustRightInd w:val="0"/>
        <w:snapToGrid w:val="0"/>
        <w:spacing w:before="156" w:beforeLines="50" w:after="156" w:afterLines="50" w:line="600" w:lineRule="exact"/>
        <w:jc w:val="center"/>
        <w:rPr>
          <w:rFonts w:ascii="方正小标宋简体" w:eastAsia="方正小标宋简体"/>
          <w:color w:val="auto"/>
          <w:sz w:val="28"/>
          <w:szCs w:val="28"/>
          <w:highlight w:val="none"/>
        </w:rPr>
      </w:pPr>
    </w:p>
    <w:p>
      <w:pPr>
        <w:adjustRightInd w:val="0"/>
        <w:snapToGrid w:val="0"/>
        <w:spacing w:before="156" w:beforeLines="50" w:after="156" w:afterLines="50" w:line="600" w:lineRule="exact"/>
        <w:jc w:val="center"/>
        <w:rPr>
          <w:rFonts w:ascii="方正小标宋简体" w:eastAsia="方正小标宋简体"/>
          <w:color w:val="auto"/>
          <w:sz w:val="28"/>
          <w:szCs w:val="28"/>
          <w:highlight w:val="none"/>
        </w:rPr>
      </w:pPr>
    </w:p>
    <w:p>
      <w:pPr>
        <w:adjustRightInd w:val="0"/>
        <w:snapToGrid w:val="0"/>
        <w:spacing w:before="156" w:beforeLines="50" w:after="156" w:afterLines="50" w:line="600" w:lineRule="exact"/>
        <w:jc w:val="both"/>
        <w:rPr>
          <w:rFonts w:ascii="方正小标宋简体" w:eastAsia="方正小标宋简体"/>
          <w:color w:val="auto"/>
          <w:sz w:val="28"/>
          <w:szCs w:val="28"/>
          <w:highlight w:val="none"/>
        </w:rPr>
      </w:pPr>
    </w:p>
    <w:p>
      <w:pPr>
        <w:adjustRightInd w:val="0"/>
        <w:snapToGrid w:val="0"/>
        <w:spacing w:before="156" w:beforeLines="50" w:after="156" w:afterLines="50" w:line="600" w:lineRule="exact"/>
        <w:jc w:val="center"/>
        <w:rPr>
          <w:rFonts w:ascii="方正小标宋简体" w:eastAsia="方正小标宋简体"/>
          <w:color w:val="auto"/>
          <w:sz w:val="28"/>
          <w:szCs w:val="28"/>
          <w:highlight w:val="none"/>
        </w:rPr>
      </w:pPr>
    </w:p>
    <w:p>
      <w:pPr>
        <w:pStyle w:val="2"/>
        <w:ind w:left="0" w:leftChars="0" w:firstLine="0" w:firstLineChars="0"/>
        <w:rPr>
          <w:rFonts w:eastAsia="仿宋_GB2312" w:cs="仿宋_GB2312" w:asciiTheme="majorHAnsi" w:hAnsiTheme="majorHAnsi"/>
          <w:color w:val="auto"/>
          <w:sz w:val="52"/>
          <w:szCs w:val="52"/>
          <w:highlight w:val="none"/>
        </w:rPr>
      </w:pPr>
    </w:p>
    <w:p>
      <w:pPr>
        <w:spacing w:line="400" w:lineRule="atLeast"/>
        <w:jc w:val="center"/>
        <w:rPr>
          <w:rFonts w:ascii="宋体" w:hAnsi="宋体" w:eastAsia="宋体" w:cs="宋体"/>
          <w:b/>
          <w:bCs/>
          <w:color w:val="auto"/>
          <w:sz w:val="48"/>
          <w:szCs w:val="48"/>
          <w:highlight w:val="none"/>
        </w:rPr>
      </w:pPr>
      <w:r>
        <w:rPr>
          <w:rFonts w:hint="eastAsia" w:ascii="宋体" w:hAnsi="宋体" w:eastAsia="宋体" w:cs="宋体"/>
          <w:b/>
          <w:bCs/>
          <w:color w:val="auto"/>
          <w:sz w:val="48"/>
          <w:szCs w:val="48"/>
          <w:highlight w:val="none"/>
        </w:rPr>
        <w:t>广州市净水有限公司</w:t>
      </w:r>
    </w:p>
    <w:p>
      <w:pPr>
        <w:spacing w:line="400" w:lineRule="atLeast"/>
        <w:jc w:val="center"/>
        <w:rPr>
          <w:rFonts w:cs="Times New Roman" w:asciiTheme="majorHAnsi" w:hAnsiTheme="majorHAnsi" w:eastAsiaTheme="majorEastAsia"/>
          <w:b/>
          <w:bCs/>
          <w:color w:val="auto"/>
          <w:sz w:val="52"/>
          <w:szCs w:val="52"/>
          <w:highlight w:val="none"/>
        </w:rPr>
      </w:pPr>
      <w:r>
        <w:rPr>
          <w:rFonts w:hint="eastAsia" w:ascii="宋体" w:hAnsi="宋体" w:eastAsia="宋体" w:cs="宋体"/>
          <w:b/>
          <w:bCs/>
          <w:color w:val="auto"/>
          <w:sz w:val="48"/>
          <w:szCs w:val="48"/>
          <w:highlight w:val="none"/>
        </w:rPr>
        <w:t>设备维修维护/技改项目合同</w:t>
      </w:r>
    </w:p>
    <w:p>
      <w:pPr>
        <w:spacing w:line="400" w:lineRule="atLeast"/>
        <w:jc w:val="center"/>
        <w:rPr>
          <w:rFonts w:ascii="宋体" w:hAnsi="宋体" w:eastAsia="宋体" w:cs="Times New Roman"/>
          <w:b/>
          <w:color w:val="auto"/>
          <w:sz w:val="28"/>
          <w:szCs w:val="24"/>
          <w:highlight w:val="none"/>
        </w:rPr>
      </w:pPr>
    </w:p>
    <w:p>
      <w:pPr>
        <w:spacing w:line="400" w:lineRule="atLeast"/>
        <w:jc w:val="center"/>
        <w:rPr>
          <w:rFonts w:ascii="宋体" w:hAnsi="宋体" w:eastAsia="宋体" w:cs="Times New Roman"/>
          <w:b/>
          <w:color w:val="auto"/>
          <w:sz w:val="28"/>
          <w:szCs w:val="24"/>
          <w:highlight w:val="none"/>
        </w:rPr>
      </w:pPr>
    </w:p>
    <w:p>
      <w:pPr>
        <w:spacing w:line="0" w:lineRule="atLeast"/>
        <w:rPr>
          <w:rFonts w:ascii="宋体" w:hAnsi="宋体" w:eastAsia="宋体" w:cs="Times New Roman"/>
          <w:b/>
          <w:color w:val="auto"/>
          <w:sz w:val="30"/>
          <w:szCs w:val="24"/>
          <w:highlight w:val="none"/>
        </w:rPr>
      </w:pPr>
    </w:p>
    <w:p>
      <w:pPr>
        <w:spacing w:line="0" w:lineRule="atLeast"/>
        <w:rPr>
          <w:rFonts w:ascii="仿宋_GB2312" w:hAnsi="宋体" w:eastAsia="仿宋_GB2312" w:cs="Times New Roman"/>
          <w:b/>
          <w:color w:val="auto"/>
          <w:sz w:val="30"/>
          <w:szCs w:val="30"/>
          <w:highlight w:val="none"/>
        </w:rPr>
      </w:pPr>
    </w:p>
    <w:p>
      <w:pPr>
        <w:spacing w:line="0" w:lineRule="atLeast"/>
        <w:ind w:left="1506" w:hanging="1506" w:hangingChars="500"/>
        <w:rPr>
          <w:rFonts w:hint="eastAsia" w:ascii="宋体" w:hAnsi="宋体" w:eastAsia="宋体" w:cs="宋体"/>
          <w:b/>
          <w:color w:val="auto"/>
          <w:sz w:val="30"/>
          <w:szCs w:val="30"/>
          <w:highlight w:val="none"/>
          <w:u w:val="single"/>
          <w:lang w:eastAsia="zh-CN"/>
        </w:rPr>
      </w:pPr>
      <w:r>
        <w:rPr>
          <w:rFonts w:hint="eastAsia" w:ascii="宋体" w:hAnsi="宋体" w:eastAsia="宋体" w:cs="宋体"/>
          <w:b/>
          <w:color w:val="auto"/>
          <w:sz w:val="30"/>
          <w:szCs w:val="30"/>
          <w:highlight w:val="none"/>
        </w:rPr>
        <w:t>项目名称:</w:t>
      </w:r>
    </w:p>
    <w:p>
      <w:pPr>
        <w:autoSpaceDE w:val="0"/>
        <w:autoSpaceDN w:val="0"/>
        <w:adjustRightInd w:val="0"/>
        <w:jc w:val="left"/>
        <w:rPr>
          <w:rFonts w:ascii="宋体" w:hAnsi="宋体" w:eastAsia="宋体" w:cs="宋体"/>
          <w:color w:val="auto"/>
          <w:kern w:val="0"/>
          <w:sz w:val="24"/>
          <w:szCs w:val="24"/>
          <w:highlight w:val="none"/>
        </w:rPr>
      </w:pPr>
      <w:r>
        <w:rPr>
          <w:rFonts w:hint="eastAsia" w:ascii="宋体" w:hAnsi="宋体" w:eastAsia="宋体" w:cs="宋体"/>
          <w:b/>
          <w:color w:val="auto"/>
          <w:sz w:val="30"/>
          <w:szCs w:val="30"/>
          <w:highlight w:val="none"/>
        </w:rPr>
        <w:t>项目</w:t>
      </w:r>
      <w:r>
        <w:rPr>
          <w:rFonts w:hint="eastAsia" w:ascii="宋体" w:hAnsi="宋体" w:eastAsia="宋体" w:cs="宋体"/>
          <w:b/>
          <w:color w:val="auto"/>
          <w:kern w:val="0"/>
          <w:sz w:val="30"/>
          <w:szCs w:val="30"/>
          <w:highlight w:val="none"/>
        </w:rPr>
        <w:t>编号</w:t>
      </w:r>
      <w:r>
        <w:rPr>
          <w:rFonts w:hint="eastAsia" w:ascii="宋体" w:hAnsi="宋体" w:eastAsia="宋体" w:cs="宋体"/>
          <w:b/>
          <w:color w:val="auto"/>
          <w:sz w:val="30"/>
          <w:szCs w:val="30"/>
          <w:highlight w:val="none"/>
        </w:rPr>
        <w:t>:</w:t>
      </w:r>
    </w:p>
    <w:p>
      <w:pPr>
        <w:spacing w:line="400" w:lineRule="atLeast"/>
        <w:rPr>
          <w:rFonts w:ascii="宋体" w:hAnsi="宋体" w:eastAsia="宋体" w:cs="宋体"/>
          <w:b/>
          <w:color w:val="auto"/>
          <w:sz w:val="30"/>
          <w:szCs w:val="30"/>
          <w:highlight w:val="none"/>
        </w:rPr>
      </w:pPr>
    </w:p>
    <w:p>
      <w:pPr>
        <w:spacing w:line="400" w:lineRule="atLeast"/>
        <w:rPr>
          <w:rFonts w:ascii="宋体" w:hAnsi="宋体" w:eastAsia="宋体" w:cs="宋体"/>
          <w:b/>
          <w:color w:val="auto"/>
          <w:sz w:val="30"/>
          <w:szCs w:val="30"/>
          <w:highlight w:val="none"/>
        </w:rPr>
      </w:pPr>
    </w:p>
    <w:p>
      <w:pPr>
        <w:spacing w:line="480" w:lineRule="auto"/>
        <w:rPr>
          <w:rFonts w:ascii="宋体" w:hAnsi="宋体" w:eastAsia="宋体" w:cs="宋体"/>
          <w:b/>
          <w:bCs/>
          <w:color w:val="auto"/>
          <w:sz w:val="30"/>
          <w:szCs w:val="30"/>
          <w:highlight w:val="none"/>
        </w:rPr>
      </w:pPr>
      <w:r>
        <w:rPr>
          <w:rFonts w:hint="eastAsia" w:ascii="宋体" w:hAnsi="宋体" w:eastAsia="宋体" w:cs="宋体"/>
          <w:b/>
          <w:color w:val="auto"/>
          <w:sz w:val="30"/>
          <w:szCs w:val="30"/>
          <w:highlight w:val="none"/>
        </w:rPr>
        <w:t>合同编号：</w:t>
      </w:r>
      <w:r>
        <w:rPr>
          <w:rFonts w:hint="eastAsia" w:ascii="宋体" w:hAnsi="宋体" w:eastAsia="宋体" w:cs="宋体"/>
          <w:b/>
          <w:bCs/>
          <w:color w:val="auto"/>
          <w:sz w:val="30"/>
          <w:szCs w:val="30"/>
          <w:highlight w:val="none"/>
        </w:rPr>
        <w:t>穗净水合[     ]    号</w:t>
      </w:r>
    </w:p>
    <w:p>
      <w:pPr>
        <w:spacing w:line="400" w:lineRule="atLeast"/>
        <w:rPr>
          <w:rFonts w:ascii="宋体" w:hAnsi="宋体" w:eastAsia="宋体" w:cs="宋体"/>
          <w:b/>
          <w:color w:val="auto"/>
          <w:sz w:val="30"/>
          <w:szCs w:val="30"/>
          <w:highlight w:val="none"/>
        </w:rPr>
      </w:pPr>
    </w:p>
    <w:p>
      <w:pPr>
        <w:spacing w:line="400" w:lineRule="atLeast"/>
        <w:rPr>
          <w:rFonts w:ascii="宋体" w:hAnsi="宋体" w:eastAsia="宋体" w:cs="宋体"/>
          <w:b/>
          <w:color w:val="auto"/>
          <w:sz w:val="30"/>
          <w:szCs w:val="30"/>
          <w:highlight w:val="none"/>
        </w:rPr>
      </w:pPr>
      <w:r>
        <w:rPr>
          <w:rFonts w:hint="eastAsia" w:ascii="宋体" w:hAnsi="宋体" w:eastAsia="宋体" w:cs="宋体"/>
          <w:b/>
          <w:color w:val="auto"/>
          <w:sz w:val="30"/>
          <w:szCs w:val="30"/>
          <w:highlight w:val="none"/>
        </w:rPr>
        <w:t>甲方： 广州市净水有限公司</w:t>
      </w:r>
    </w:p>
    <w:p>
      <w:pPr>
        <w:spacing w:line="400" w:lineRule="atLeast"/>
        <w:rPr>
          <w:rFonts w:ascii="宋体" w:hAnsi="宋体" w:eastAsia="宋体" w:cs="宋体"/>
          <w:b/>
          <w:color w:val="auto"/>
          <w:sz w:val="30"/>
          <w:szCs w:val="30"/>
          <w:highlight w:val="none"/>
        </w:rPr>
      </w:pPr>
    </w:p>
    <w:p>
      <w:pPr>
        <w:spacing w:line="400" w:lineRule="atLeast"/>
        <w:rPr>
          <w:rFonts w:ascii="宋体" w:hAnsi="宋体" w:eastAsia="宋体" w:cs="宋体"/>
          <w:b/>
          <w:color w:val="auto"/>
          <w:sz w:val="30"/>
          <w:szCs w:val="30"/>
          <w:highlight w:val="none"/>
        </w:rPr>
      </w:pPr>
      <w:r>
        <w:rPr>
          <w:rFonts w:hint="eastAsia" w:ascii="宋体" w:hAnsi="宋体" w:eastAsia="宋体" w:cs="宋体"/>
          <w:b/>
          <w:color w:val="auto"/>
          <w:sz w:val="30"/>
          <w:szCs w:val="30"/>
          <w:highlight w:val="none"/>
        </w:rPr>
        <w:t>乙方</w:t>
      </w:r>
      <w:r>
        <w:rPr>
          <w:rFonts w:hint="eastAsia" w:ascii="宋体" w:hAnsi="宋体" w:eastAsia="宋体" w:cs="宋体"/>
          <w:color w:val="auto"/>
          <w:sz w:val="30"/>
          <w:szCs w:val="30"/>
          <w:highlight w:val="none"/>
        </w:rPr>
        <w:t>：</w:t>
      </w:r>
    </w:p>
    <w:p>
      <w:pPr>
        <w:spacing w:line="400" w:lineRule="atLeast"/>
        <w:rPr>
          <w:rFonts w:ascii="宋体" w:hAnsi="宋体" w:eastAsia="宋体" w:cs="宋体"/>
          <w:b/>
          <w:color w:val="auto"/>
          <w:sz w:val="30"/>
          <w:szCs w:val="30"/>
          <w:highlight w:val="none"/>
        </w:rPr>
      </w:pPr>
    </w:p>
    <w:p>
      <w:pPr>
        <w:spacing w:line="400" w:lineRule="atLeast"/>
        <w:rPr>
          <w:rFonts w:ascii="宋体" w:hAnsi="宋体" w:eastAsia="宋体" w:cs="宋体"/>
          <w:b/>
          <w:color w:val="auto"/>
          <w:sz w:val="30"/>
          <w:szCs w:val="30"/>
          <w:highlight w:val="none"/>
        </w:rPr>
      </w:pPr>
      <w:r>
        <w:rPr>
          <w:rFonts w:hint="eastAsia" w:ascii="宋体" w:hAnsi="宋体" w:eastAsia="宋体" w:cs="宋体"/>
          <w:b/>
          <w:color w:val="auto"/>
          <w:sz w:val="30"/>
          <w:szCs w:val="30"/>
          <w:highlight w:val="none"/>
        </w:rPr>
        <w:t xml:space="preserve">签订日期：       年   月   日       </w:t>
      </w:r>
    </w:p>
    <w:p>
      <w:pPr>
        <w:spacing w:line="400" w:lineRule="atLeast"/>
        <w:rPr>
          <w:rFonts w:ascii="宋体" w:hAnsi="宋体" w:eastAsia="宋体" w:cs="宋体"/>
          <w:b/>
          <w:color w:val="auto"/>
          <w:sz w:val="30"/>
          <w:szCs w:val="24"/>
          <w:highlight w:val="none"/>
        </w:rPr>
      </w:pPr>
      <w:r>
        <w:rPr>
          <w:rFonts w:hint="eastAsia" w:ascii="宋体" w:hAnsi="宋体" w:eastAsia="宋体" w:cs="宋体"/>
          <w:b/>
          <w:color w:val="auto"/>
          <w:sz w:val="30"/>
          <w:szCs w:val="24"/>
          <w:highlight w:val="none"/>
        </w:rPr>
        <w:t>签约地点：广州市</w:t>
      </w:r>
    </w:p>
    <w:p>
      <w:pPr>
        <w:spacing w:before="93" w:beforeLines="30" w:line="384" w:lineRule="auto"/>
        <w:ind w:left="210" w:leftChars="100" w:firstLine="600" w:firstLineChars="250"/>
        <w:rPr>
          <w:rFonts w:hint="eastAsia" w:ascii="宋体" w:hAnsi="宋体" w:eastAsia="宋体" w:cs="宋体"/>
          <w:color w:val="auto"/>
          <w:sz w:val="24"/>
          <w:szCs w:val="24"/>
          <w:highlight w:val="none"/>
        </w:rPr>
      </w:pPr>
    </w:p>
    <w:p>
      <w:pPr>
        <w:pStyle w:val="2"/>
        <w:rPr>
          <w:rFonts w:hint="eastAsia"/>
        </w:rPr>
      </w:pPr>
    </w:p>
    <w:p>
      <w:pPr>
        <w:spacing w:before="93" w:beforeLines="30" w:line="384" w:lineRule="auto"/>
        <w:ind w:left="0" w:leftChars="0"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根据《中华人民共和国民法典》及其他有关法律、行政法规，</w:t>
      </w:r>
      <w:r>
        <w:rPr>
          <w:rFonts w:hint="eastAsia" w:ascii="宋体" w:hAnsi="宋体" w:eastAsia="宋体" w:cs="宋体"/>
          <w:color w:val="auto"/>
          <w:sz w:val="24"/>
          <w:szCs w:val="24"/>
          <w:highlight w:val="none"/>
          <w:u w:val="single"/>
        </w:rPr>
        <w:t>广州市净水有限公司</w:t>
      </w:r>
      <w:r>
        <w:rPr>
          <w:rFonts w:hint="eastAsia" w:ascii="宋体" w:hAnsi="宋体" w:eastAsia="宋体" w:cs="宋体"/>
          <w:color w:val="auto"/>
          <w:sz w:val="24"/>
          <w:szCs w:val="24"/>
          <w:highlight w:val="none"/>
        </w:rPr>
        <w:t xml:space="preserve"> （以下简称“甲方”）与 </w:t>
      </w:r>
      <w:r>
        <w:rPr>
          <w:rFonts w:hint="eastAsia" w:ascii="宋体" w:hAnsi="宋体" w:eastAsia="宋体" w:cs="宋体"/>
          <w:color w:val="auto"/>
          <w:sz w:val="24"/>
          <w:szCs w:val="24"/>
          <w:highlight w:val="none"/>
          <w:u w:val="single"/>
        </w:rPr>
        <w:t>…</w:t>
      </w:r>
      <w:r>
        <w:rPr>
          <w:rFonts w:hint="eastAsia" w:ascii="宋体" w:hAnsi="宋体" w:eastAsia="宋体" w:cs="宋体"/>
          <w:color w:val="auto"/>
          <w:sz w:val="24"/>
          <w:szCs w:val="24"/>
          <w:highlight w:val="none"/>
        </w:rPr>
        <w:t>（以下简称“乙方”）就 项目承接工作事宜，遵循平等、自愿、公平和诚实信用的原则，双方协商一致，订立本合同。</w:t>
      </w:r>
    </w:p>
    <w:p>
      <w:pPr>
        <w:spacing w:before="93" w:beforeLines="30" w:line="384" w:lineRule="auto"/>
        <w:ind w:left="210" w:leftChars="100" w:firstLine="482" w:firstLineChars="200"/>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第一条 组成合同的文件及优先顺序</w:t>
      </w:r>
    </w:p>
    <w:p>
      <w:pPr>
        <w:spacing w:line="384" w:lineRule="auto"/>
        <w:ind w:firstLine="482"/>
        <w:rPr>
          <w:rFonts w:ascii="宋体" w:hAnsi="宋体" w:eastAsia="宋体" w:cs="宋体"/>
          <w:bCs/>
          <w:color w:val="auto"/>
          <w:sz w:val="24"/>
          <w:szCs w:val="24"/>
          <w:highlight w:val="none"/>
        </w:rPr>
      </w:pPr>
      <w:r>
        <w:rPr>
          <w:rFonts w:hint="eastAsia" w:ascii="Times New Roman" w:hAnsi="宋体" w:eastAsia="宋体" w:cs="宋体"/>
          <w:bCs/>
          <w:color w:val="auto"/>
          <w:sz w:val="24"/>
          <w:szCs w:val="24"/>
          <w:highlight w:val="none"/>
        </w:rPr>
        <w:t>下列文件（如有）均为本合同的组成部分，可视为能相互说明和补充的，如果合同文件存在歧义或相矛盾的地方，则根据以下次序判断：</w:t>
      </w:r>
    </w:p>
    <w:p>
      <w:pPr>
        <w:spacing w:line="384" w:lineRule="auto"/>
        <w:ind w:firstLine="482"/>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 xml:space="preserve">⑴ </w:t>
      </w:r>
      <w:r>
        <w:rPr>
          <w:rFonts w:hint="eastAsia" w:ascii="宋体" w:hAnsi="宋体" w:eastAsia="宋体" w:cs="宋体"/>
          <w:color w:val="auto"/>
          <w:sz w:val="24"/>
          <w:szCs w:val="24"/>
          <w:highlight w:val="none"/>
        </w:rPr>
        <w:t>在本合同实施过程双方签署的补充与修正文件</w:t>
      </w:r>
      <w:r>
        <w:rPr>
          <w:rFonts w:hint="eastAsia" w:ascii="宋体" w:hAnsi="宋体" w:eastAsia="宋体" w:cs="宋体"/>
          <w:bCs/>
          <w:color w:val="auto"/>
          <w:sz w:val="24"/>
          <w:szCs w:val="24"/>
          <w:highlight w:val="none"/>
        </w:rPr>
        <w:t>；</w:t>
      </w:r>
    </w:p>
    <w:p>
      <w:pPr>
        <w:spacing w:line="384" w:lineRule="auto"/>
        <w:ind w:firstLine="482"/>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⑵ 本合同书；</w:t>
      </w:r>
    </w:p>
    <w:p>
      <w:pPr>
        <w:spacing w:line="384" w:lineRule="auto"/>
        <w:ind w:firstLine="482"/>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⑶ 中标通知书/发包通知书/成交通知书/委托函；</w:t>
      </w:r>
    </w:p>
    <w:p>
      <w:pPr>
        <w:spacing w:line="384" w:lineRule="auto"/>
        <w:ind w:firstLine="482"/>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⑷ 招标文件/询价文件；</w:t>
      </w:r>
    </w:p>
    <w:p>
      <w:pPr>
        <w:spacing w:line="384" w:lineRule="auto"/>
        <w:ind w:firstLine="482"/>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⑸ 投标文件/响应文件；</w:t>
      </w:r>
    </w:p>
    <w:p>
      <w:pPr>
        <w:spacing w:line="384" w:lineRule="auto"/>
        <w:ind w:firstLine="482"/>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⑹ 标准、规范及有关技术性文件；</w:t>
      </w:r>
    </w:p>
    <w:p>
      <w:pPr>
        <w:spacing w:line="384" w:lineRule="auto"/>
        <w:ind w:firstLine="482"/>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⑺ 图纸；</w:t>
      </w:r>
    </w:p>
    <w:p>
      <w:pPr>
        <w:spacing w:line="384" w:lineRule="auto"/>
        <w:ind w:firstLine="482"/>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⑻ 工程量清单/</w:t>
      </w:r>
      <w:r>
        <w:rPr>
          <w:rFonts w:hint="eastAsia" w:ascii="宋体" w:hAnsi="宋体" w:eastAsia="宋体" w:cs="宋体"/>
          <w:color w:val="auto"/>
          <w:sz w:val="24"/>
          <w:szCs w:val="24"/>
          <w:highlight w:val="none"/>
        </w:rPr>
        <w:t>工程报价单或预算书；</w:t>
      </w:r>
    </w:p>
    <w:p>
      <w:pPr>
        <w:spacing w:line="384" w:lineRule="auto"/>
        <w:ind w:firstLine="482"/>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⑼ 本合同其他附件；</w:t>
      </w:r>
    </w:p>
    <w:p>
      <w:pPr>
        <w:spacing w:line="384" w:lineRule="auto"/>
        <w:ind w:firstLine="482"/>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第二条 项目概况、项目承包范围</w:t>
      </w:r>
    </w:p>
    <w:p>
      <w:pPr>
        <w:spacing w:line="384" w:lineRule="auto"/>
        <w:ind w:firstLine="480" w:firstLineChars="200"/>
        <w:rPr>
          <w:rFonts w:hint="eastAsia" w:ascii="宋体" w:hAnsi="宋体" w:eastAsia="宋体" w:cs="宋体"/>
          <w:color w:val="auto"/>
          <w:sz w:val="24"/>
          <w:szCs w:val="24"/>
          <w:highlight w:val="none"/>
          <w:u w:val="single"/>
          <w:lang w:val="en-US" w:eastAsia="zh-CN"/>
        </w:rPr>
      </w:pPr>
      <w:r>
        <w:rPr>
          <w:rFonts w:hint="eastAsia" w:ascii="宋体" w:hAnsi="宋体" w:eastAsia="宋体" w:cs="宋体"/>
          <w:color w:val="auto"/>
          <w:sz w:val="24"/>
          <w:szCs w:val="24"/>
          <w:highlight w:val="none"/>
        </w:rPr>
        <w:t>2.1项目名称：</w:t>
      </w:r>
      <w:r>
        <w:rPr>
          <w:rFonts w:hint="eastAsia" w:ascii="宋体" w:hAnsi="宋体" w:eastAsia="宋体" w:cs="宋体"/>
          <w:color w:val="auto"/>
          <w:sz w:val="24"/>
          <w:szCs w:val="24"/>
          <w:highlight w:val="none"/>
          <w:u w:val="single"/>
          <w:lang w:val="en-US" w:eastAsia="zh-CN"/>
        </w:rPr>
        <w:t>广州市净水有限公司石井净水分公司生产区域道闸采购项目（第二次）</w:t>
      </w:r>
      <w:r>
        <w:rPr>
          <w:rFonts w:hint="eastAsia" w:ascii="宋体" w:hAnsi="宋体" w:eastAsia="宋体" w:cs="宋体"/>
          <w:color w:val="auto"/>
          <w:sz w:val="24"/>
          <w:szCs w:val="24"/>
          <w:highlight w:val="none"/>
          <w:u w:val="single"/>
          <w:lang w:eastAsia="zh-CN"/>
        </w:rPr>
        <w:t>。</w:t>
      </w:r>
    </w:p>
    <w:p>
      <w:pPr>
        <w:spacing w:line="384" w:lineRule="auto"/>
        <w:ind w:firstLine="480" w:firstLineChars="200"/>
        <w:rPr>
          <w:rFonts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2.2项目地点：</w:t>
      </w:r>
      <w:r>
        <w:rPr>
          <w:rFonts w:hint="eastAsia" w:ascii="宋体" w:hAnsi="宋体" w:eastAsia="宋体" w:cs="宋体"/>
          <w:color w:val="auto"/>
          <w:sz w:val="24"/>
          <w:szCs w:val="24"/>
          <w:highlight w:val="none"/>
          <w:u w:val="single"/>
        </w:rPr>
        <w:t xml:space="preserve"> 广州市区。</w:t>
      </w:r>
    </w:p>
    <w:p>
      <w:pPr>
        <w:spacing w:line="384" w:lineRule="auto"/>
        <w:ind w:firstLine="480" w:firstLineChars="200"/>
        <w:rPr>
          <w:rFonts w:ascii="宋体" w:hAnsi="宋体" w:eastAsia="宋体" w:cs="宋体"/>
          <w:color w:val="auto"/>
          <w:spacing w:val="8"/>
          <w:sz w:val="24"/>
          <w:szCs w:val="24"/>
          <w:highlight w:val="none"/>
        </w:rPr>
      </w:pPr>
      <w:r>
        <w:rPr>
          <w:rFonts w:hint="eastAsia" w:ascii="宋体" w:hAnsi="宋体" w:eastAsia="宋体" w:cs="宋体"/>
          <w:color w:val="auto"/>
          <w:sz w:val="24"/>
          <w:szCs w:val="24"/>
          <w:highlight w:val="none"/>
        </w:rPr>
        <w:t>2.3项目内容：</w:t>
      </w:r>
      <w:r>
        <w:rPr>
          <w:rFonts w:hint="eastAsia" w:ascii="宋体" w:hAnsi="宋体" w:eastAsia="宋体" w:cs="宋体"/>
          <w:color w:val="auto"/>
          <w:sz w:val="24"/>
          <w:szCs w:val="24"/>
          <w:highlight w:val="none"/>
          <w:u w:val="single"/>
          <w:lang w:val="en-US" w:eastAsia="zh-CN"/>
        </w:rPr>
        <w:t xml:space="preserve">本项目共计安装46套人脸识别一体主机，门禁道闸13套，需要与已建设的智慧园区系统兼容，接入系统中统一管理。详见附件清单  </w:t>
      </w:r>
      <w:r>
        <w:rPr>
          <w:rFonts w:hint="eastAsia" w:ascii="仿宋_GB2312" w:eastAsia="仿宋_GB2312"/>
          <w:color w:val="auto"/>
          <w:sz w:val="28"/>
          <w:szCs w:val="28"/>
          <w:highlight w:val="none"/>
          <w:u w:val="single"/>
        </w:rPr>
        <w:t>。</w:t>
      </w:r>
    </w:p>
    <w:p>
      <w:pPr>
        <w:spacing w:line="384"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2.4项目承包范围：包括提供所有需要的材料、机械、人工、设施、完成合同约定的工作和服务。按照甲方审核同意的方案、图纸所包括的实施范围和内容进行施工并在质量保修期内承担项目质量保修责任。（如需可附表）</w:t>
      </w:r>
    </w:p>
    <w:p>
      <w:pPr>
        <w:pStyle w:val="2"/>
        <w:rPr>
          <w:color w:val="auto"/>
          <w:highlight w:val="none"/>
        </w:rPr>
      </w:pPr>
    </w:p>
    <w:tbl>
      <w:tblPr>
        <w:tblStyle w:val="21"/>
        <w:tblW w:w="1003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41"/>
        <w:gridCol w:w="3478"/>
        <w:gridCol w:w="3544"/>
        <w:gridCol w:w="1305"/>
        <w:gridCol w:w="9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6" w:hRule="exact"/>
          <w:jc w:val="center"/>
        </w:trPr>
        <w:tc>
          <w:tcPr>
            <w:tcW w:w="741" w:type="dxa"/>
            <w:tcBorders>
              <w:right w:val="single" w:color="auto" w:sz="4" w:space="0"/>
            </w:tcBorders>
            <w:vAlign w:val="center"/>
          </w:tcPr>
          <w:p>
            <w:pPr>
              <w:spacing w:line="384"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序号</w:t>
            </w:r>
          </w:p>
        </w:tc>
        <w:tc>
          <w:tcPr>
            <w:tcW w:w="3478" w:type="dxa"/>
            <w:tcBorders>
              <w:left w:val="single" w:color="auto" w:sz="4" w:space="0"/>
              <w:right w:val="single" w:color="auto" w:sz="4" w:space="0"/>
            </w:tcBorders>
            <w:vAlign w:val="center"/>
          </w:tcPr>
          <w:p>
            <w:pPr>
              <w:spacing w:line="384"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名称</w:t>
            </w:r>
          </w:p>
        </w:tc>
        <w:tc>
          <w:tcPr>
            <w:tcW w:w="3544" w:type="dxa"/>
            <w:tcBorders>
              <w:left w:val="single" w:color="auto" w:sz="4" w:space="0"/>
            </w:tcBorders>
            <w:vAlign w:val="center"/>
          </w:tcPr>
          <w:p>
            <w:pPr>
              <w:widowControl/>
              <w:spacing w:line="384"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参数要求</w:t>
            </w:r>
          </w:p>
        </w:tc>
        <w:tc>
          <w:tcPr>
            <w:tcW w:w="1305" w:type="dxa"/>
            <w:tcBorders>
              <w:right w:val="single" w:color="auto" w:sz="4" w:space="0"/>
            </w:tcBorders>
            <w:vAlign w:val="center"/>
          </w:tcPr>
          <w:p>
            <w:pPr>
              <w:spacing w:line="384"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数量</w:t>
            </w:r>
          </w:p>
        </w:tc>
        <w:tc>
          <w:tcPr>
            <w:tcW w:w="963" w:type="dxa"/>
            <w:tcBorders>
              <w:left w:val="single" w:color="auto" w:sz="4" w:space="0"/>
            </w:tcBorders>
            <w:vAlign w:val="center"/>
          </w:tcPr>
          <w:p>
            <w:pPr>
              <w:spacing w:line="384" w:lineRule="auto"/>
              <w:jc w:val="cente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5" w:hRule="exact"/>
          <w:jc w:val="center"/>
        </w:trPr>
        <w:tc>
          <w:tcPr>
            <w:tcW w:w="741" w:type="dxa"/>
            <w:tcBorders>
              <w:right w:val="single" w:color="auto" w:sz="4" w:space="0"/>
            </w:tcBorders>
            <w:vAlign w:val="center"/>
          </w:tcPr>
          <w:p>
            <w:pPr>
              <w:spacing w:line="384" w:lineRule="auto"/>
              <w:jc w:val="center"/>
              <w:rPr>
                <w:rFonts w:ascii="宋体" w:hAnsi="宋体" w:eastAsia="宋体" w:cs="宋体"/>
                <w:bCs/>
                <w:color w:val="auto"/>
                <w:sz w:val="24"/>
                <w:szCs w:val="24"/>
                <w:highlight w:val="none"/>
              </w:rPr>
            </w:pPr>
          </w:p>
        </w:tc>
        <w:tc>
          <w:tcPr>
            <w:tcW w:w="3478" w:type="dxa"/>
            <w:tcBorders>
              <w:left w:val="single" w:color="auto" w:sz="4" w:space="0"/>
              <w:right w:val="single" w:color="auto" w:sz="4" w:space="0"/>
            </w:tcBorders>
            <w:vAlign w:val="center"/>
          </w:tcPr>
          <w:p>
            <w:pPr>
              <w:spacing w:line="384" w:lineRule="auto"/>
              <w:jc w:val="center"/>
              <w:rPr>
                <w:rFonts w:ascii="宋体" w:hAnsi="宋体" w:eastAsia="宋体" w:cs="宋体"/>
                <w:bCs/>
                <w:color w:val="auto"/>
                <w:sz w:val="24"/>
                <w:szCs w:val="24"/>
                <w:highlight w:val="none"/>
              </w:rPr>
            </w:pPr>
          </w:p>
        </w:tc>
        <w:tc>
          <w:tcPr>
            <w:tcW w:w="3544" w:type="dxa"/>
            <w:tcBorders>
              <w:left w:val="single" w:color="auto" w:sz="4" w:space="0"/>
            </w:tcBorders>
            <w:vAlign w:val="center"/>
          </w:tcPr>
          <w:p>
            <w:pPr>
              <w:spacing w:line="384" w:lineRule="auto"/>
              <w:jc w:val="center"/>
              <w:rPr>
                <w:rFonts w:ascii="宋体" w:hAnsi="宋体" w:eastAsia="宋体" w:cs="宋体"/>
                <w:bCs/>
                <w:color w:val="auto"/>
                <w:sz w:val="24"/>
                <w:szCs w:val="24"/>
                <w:highlight w:val="none"/>
              </w:rPr>
            </w:pPr>
          </w:p>
        </w:tc>
        <w:tc>
          <w:tcPr>
            <w:tcW w:w="1305" w:type="dxa"/>
            <w:tcBorders>
              <w:right w:val="single" w:color="auto" w:sz="4" w:space="0"/>
            </w:tcBorders>
            <w:vAlign w:val="center"/>
          </w:tcPr>
          <w:p>
            <w:pPr>
              <w:spacing w:line="384" w:lineRule="auto"/>
              <w:jc w:val="center"/>
              <w:rPr>
                <w:rFonts w:ascii="宋体" w:hAnsi="宋体" w:eastAsia="宋体" w:cs="宋体"/>
                <w:bCs/>
                <w:color w:val="auto"/>
                <w:sz w:val="24"/>
                <w:szCs w:val="24"/>
                <w:highlight w:val="none"/>
              </w:rPr>
            </w:pPr>
          </w:p>
        </w:tc>
        <w:tc>
          <w:tcPr>
            <w:tcW w:w="963" w:type="dxa"/>
            <w:tcBorders>
              <w:left w:val="single" w:color="auto" w:sz="4" w:space="0"/>
            </w:tcBorders>
            <w:vAlign w:val="center"/>
          </w:tcPr>
          <w:p>
            <w:pPr>
              <w:spacing w:line="384" w:lineRule="auto"/>
              <w:jc w:val="center"/>
              <w:rPr>
                <w:rFonts w:ascii="宋体" w:hAnsi="宋体" w:eastAsia="宋体" w:cs="宋体"/>
                <w:bCs/>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6" w:hRule="exact"/>
          <w:jc w:val="center"/>
        </w:trPr>
        <w:tc>
          <w:tcPr>
            <w:tcW w:w="741" w:type="dxa"/>
            <w:tcBorders>
              <w:right w:val="single" w:color="auto" w:sz="4" w:space="0"/>
            </w:tcBorders>
            <w:vAlign w:val="center"/>
          </w:tcPr>
          <w:p>
            <w:pPr>
              <w:spacing w:line="384" w:lineRule="auto"/>
              <w:jc w:val="center"/>
              <w:rPr>
                <w:rFonts w:ascii="宋体" w:hAnsi="宋体" w:eastAsia="宋体" w:cs="宋体"/>
                <w:bCs/>
                <w:color w:val="auto"/>
                <w:sz w:val="24"/>
                <w:szCs w:val="24"/>
                <w:highlight w:val="none"/>
              </w:rPr>
            </w:pPr>
          </w:p>
        </w:tc>
        <w:tc>
          <w:tcPr>
            <w:tcW w:w="3478" w:type="dxa"/>
            <w:tcBorders>
              <w:left w:val="single" w:color="auto" w:sz="4" w:space="0"/>
              <w:right w:val="single" w:color="auto" w:sz="4" w:space="0"/>
            </w:tcBorders>
            <w:vAlign w:val="center"/>
          </w:tcPr>
          <w:p>
            <w:pPr>
              <w:spacing w:line="384" w:lineRule="auto"/>
              <w:jc w:val="center"/>
              <w:rPr>
                <w:rFonts w:ascii="宋体" w:hAnsi="宋体" w:eastAsia="宋体" w:cs="宋体"/>
                <w:bCs/>
                <w:color w:val="auto"/>
                <w:sz w:val="24"/>
                <w:szCs w:val="24"/>
                <w:highlight w:val="none"/>
              </w:rPr>
            </w:pPr>
          </w:p>
        </w:tc>
        <w:tc>
          <w:tcPr>
            <w:tcW w:w="3544" w:type="dxa"/>
            <w:tcBorders>
              <w:left w:val="single" w:color="auto" w:sz="4" w:space="0"/>
            </w:tcBorders>
            <w:vAlign w:val="center"/>
          </w:tcPr>
          <w:p>
            <w:pPr>
              <w:spacing w:line="384" w:lineRule="auto"/>
              <w:jc w:val="center"/>
              <w:rPr>
                <w:rFonts w:ascii="宋体" w:hAnsi="宋体" w:eastAsia="宋体" w:cs="宋体"/>
                <w:bCs/>
                <w:color w:val="auto"/>
                <w:sz w:val="24"/>
                <w:szCs w:val="24"/>
                <w:highlight w:val="none"/>
              </w:rPr>
            </w:pPr>
          </w:p>
        </w:tc>
        <w:tc>
          <w:tcPr>
            <w:tcW w:w="1305" w:type="dxa"/>
            <w:tcBorders>
              <w:right w:val="single" w:color="auto" w:sz="4" w:space="0"/>
            </w:tcBorders>
            <w:vAlign w:val="center"/>
          </w:tcPr>
          <w:p>
            <w:pPr>
              <w:spacing w:line="384" w:lineRule="auto"/>
              <w:jc w:val="center"/>
              <w:rPr>
                <w:rFonts w:ascii="宋体" w:hAnsi="宋体" w:eastAsia="宋体" w:cs="宋体"/>
                <w:bCs/>
                <w:color w:val="auto"/>
                <w:sz w:val="24"/>
                <w:szCs w:val="24"/>
                <w:highlight w:val="none"/>
              </w:rPr>
            </w:pPr>
          </w:p>
        </w:tc>
        <w:tc>
          <w:tcPr>
            <w:tcW w:w="963" w:type="dxa"/>
            <w:tcBorders>
              <w:left w:val="single" w:color="auto" w:sz="4" w:space="0"/>
            </w:tcBorders>
            <w:vAlign w:val="center"/>
          </w:tcPr>
          <w:p>
            <w:pPr>
              <w:spacing w:line="384" w:lineRule="auto"/>
              <w:jc w:val="center"/>
              <w:rPr>
                <w:rFonts w:ascii="宋体" w:hAnsi="宋体" w:eastAsia="宋体" w:cs="宋体"/>
                <w:bCs/>
                <w:color w:val="auto"/>
                <w:sz w:val="24"/>
                <w:szCs w:val="24"/>
                <w:highlight w:val="none"/>
              </w:rPr>
            </w:pPr>
          </w:p>
        </w:tc>
      </w:tr>
    </w:tbl>
    <w:p>
      <w:pPr>
        <w:spacing w:line="384" w:lineRule="auto"/>
        <w:ind w:firstLine="482" w:firstLineChars="200"/>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第三条 项目承包方式</w:t>
      </w:r>
    </w:p>
    <w:p>
      <w:pPr>
        <w:spacing w:line="384" w:lineRule="auto"/>
        <w:ind w:firstLine="420" w:firstLineChars="200"/>
        <w:rPr>
          <w:rFonts w:ascii="宋体" w:hAnsi="宋体" w:eastAsia="宋体" w:cs="宋体"/>
          <w:color w:val="auto"/>
          <w:sz w:val="24"/>
          <w:szCs w:val="24"/>
          <w:highlight w:val="none"/>
        </w:rPr>
      </w:pPr>
      <w:r>
        <w:rPr>
          <w:rFonts w:hint="eastAsia" w:ascii="宋体" w:hAnsi="宋体" w:eastAsia="宋体" w:cs="宋体"/>
          <w:color w:val="auto"/>
          <w:szCs w:val="21"/>
          <w:highlight w:val="none"/>
        </w:rPr>
        <w:sym w:font="Wingdings 2" w:char="0052"/>
      </w:r>
      <w:r>
        <w:rPr>
          <w:rFonts w:hint="eastAsia" w:ascii="宋体" w:hAnsi="宋体" w:eastAsia="宋体" w:cs="宋体"/>
          <w:color w:val="auto"/>
          <w:sz w:val="24"/>
          <w:szCs w:val="24"/>
          <w:highlight w:val="none"/>
        </w:rPr>
        <w:t>包工、包料、包工期、包质量、包安全、包文明施工。综合单价包干、项目措施费包干。（单价包干要求附工程量报价</w:t>
      </w:r>
      <w:r>
        <w:rPr>
          <w:rFonts w:ascii="宋体" w:hAnsi="宋体" w:eastAsia="宋体" w:cs="宋体"/>
          <w:color w:val="auto"/>
          <w:sz w:val="24"/>
          <w:szCs w:val="24"/>
          <w:highlight w:val="none"/>
        </w:rPr>
        <w:t>/</w:t>
      </w:r>
      <w:r>
        <w:rPr>
          <w:rFonts w:hint="eastAsia" w:ascii="宋体" w:hAnsi="宋体" w:eastAsia="宋体" w:cs="宋体"/>
          <w:color w:val="auto"/>
          <w:sz w:val="24"/>
          <w:szCs w:val="24"/>
          <w:highlight w:val="none"/>
        </w:rPr>
        <w:t>工程预算书）</w:t>
      </w:r>
    </w:p>
    <w:p>
      <w:pPr>
        <w:spacing w:line="384" w:lineRule="auto"/>
        <w:ind w:firstLine="480" w:firstLineChars="200"/>
        <w:rPr>
          <w:rFonts w:ascii="宋体" w:hAnsi="宋体" w:eastAsia="宋体" w:cs="宋体"/>
          <w:color w:val="auto"/>
          <w:sz w:val="24"/>
          <w:szCs w:val="24"/>
          <w:highlight w:val="none"/>
        </w:rPr>
      </w:pPr>
      <w:r>
        <w:rPr>
          <w:rFonts w:ascii="宋体" w:hAnsi="宋体" w:eastAsia="宋体" w:cs="宋体"/>
          <w:bCs/>
          <w:color w:val="auto"/>
          <w:sz w:val="24"/>
          <w:highlight w:val="none"/>
        </w:rPr>
        <w:sym w:font="Wingdings" w:char="00A8"/>
      </w:r>
      <w:r>
        <w:rPr>
          <w:rFonts w:hint="eastAsia" w:ascii="宋体" w:hAnsi="宋体" w:eastAsia="宋体" w:cs="宋体"/>
          <w:color w:val="auto"/>
          <w:sz w:val="24"/>
          <w:szCs w:val="24"/>
          <w:highlight w:val="none"/>
        </w:rPr>
        <w:t>包工、包料、包质量、包工期、包安全、包文明施工、包设计、包调试、包验收的施工图纸，以总价包干形式。</w:t>
      </w:r>
    </w:p>
    <w:p>
      <w:pPr>
        <w:spacing w:line="384" w:lineRule="auto"/>
        <w:ind w:firstLine="482" w:firstLineChars="200"/>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第四条合同价款</w:t>
      </w:r>
    </w:p>
    <w:p>
      <w:pPr>
        <w:spacing w:line="384" w:lineRule="auto"/>
        <w:ind w:firstLine="480" w:firstLineChars="200"/>
        <w:rPr>
          <w:rFonts w:ascii="宋体" w:hAnsi="宋体" w:eastAsia="宋体" w:cs="宋体"/>
          <w:bCs/>
          <w:color w:val="auto"/>
          <w:sz w:val="24"/>
          <w:szCs w:val="24"/>
          <w:highlight w:val="none"/>
          <w:bdr w:val="single" w:color="auto" w:sz="4" w:space="0"/>
        </w:rPr>
      </w:pPr>
      <w:r>
        <w:rPr>
          <w:rFonts w:ascii="宋体" w:hAnsi="宋体" w:eastAsia="宋体" w:cs="宋体"/>
          <w:color w:val="auto"/>
          <w:sz w:val="24"/>
          <w:szCs w:val="24"/>
          <w:highlight w:val="none"/>
        </w:rPr>
        <w:t>4.1</w:t>
      </w:r>
      <w:r>
        <w:rPr>
          <w:rFonts w:hint="eastAsia" w:ascii="宋体" w:hAnsi="宋体" w:eastAsia="宋体" w:cs="宋体"/>
          <w:color w:val="auto"/>
          <w:sz w:val="24"/>
          <w:szCs w:val="24"/>
          <w:highlight w:val="none"/>
        </w:rPr>
        <w:t>合同价款按以下（</w:t>
      </w:r>
      <w:r>
        <w:rPr>
          <w:rFonts w:hint="eastAsia" w:ascii="宋体" w:hAnsi="宋体" w:eastAsia="宋体" w:cs="宋体"/>
          <w:color w:val="auto"/>
          <w:sz w:val="24"/>
          <w:szCs w:val="24"/>
          <w:highlight w:val="none"/>
          <w:lang w:val="en-US" w:eastAsia="zh-CN"/>
        </w:rPr>
        <w:t>1</w:t>
      </w:r>
      <w:r>
        <w:rPr>
          <w:rFonts w:hint="eastAsia" w:ascii="宋体" w:hAnsi="宋体" w:eastAsia="宋体" w:cs="宋体"/>
          <w:color w:val="auto"/>
          <w:sz w:val="24"/>
          <w:szCs w:val="24"/>
          <w:highlight w:val="none"/>
        </w:rPr>
        <w:t>）执行。</w:t>
      </w:r>
    </w:p>
    <w:p>
      <w:pPr>
        <w:spacing w:line="384" w:lineRule="auto"/>
        <w:ind w:firstLine="480" w:firstLineChars="200"/>
        <w:rPr>
          <w:rFonts w:ascii="宋体" w:hAnsi="宋体" w:eastAsia="宋体" w:cs="宋体"/>
          <w:color w:val="auto"/>
          <w:sz w:val="24"/>
          <w:szCs w:val="24"/>
          <w:highlight w:val="none"/>
        </w:rPr>
      </w:pPr>
      <w:r>
        <w:rPr>
          <w:rFonts w:hint="eastAsia" w:ascii="宋体" w:hAnsi="宋体" w:eastAsia="宋体" w:cs="宋体"/>
          <w:bCs/>
          <w:color w:val="auto"/>
          <w:sz w:val="24"/>
          <w:szCs w:val="24"/>
          <w:highlight w:val="none"/>
        </w:rPr>
        <w:t>（</w:t>
      </w:r>
      <w:r>
        <w:rPr>
          <w:rFonts w:ascii="宋体" w:hAnsi="宋体" w:eastAsia="宋体" w:cs="宋体"/>
          <w:bCs/>
          <w:color w:val="auto"/>
          <w:sz w:val="24"/>
          <w:szCs w:val="24"/>
          <w:highlight w:val="none"/>
        </w:rPr>
        <w:t>1</w:t>
      </w:r>
      <w:r>
        <w:rPr>
          <w:rFonts w:hint="eastAsia" w:ascii="宋体" w:hAnsi="宋体" w:eastAsia="宋体" w:cs="宋体"/>
          <w:bCs/>
          <w:color w:val="auto"/>
          <w:sz w:val="24"/>
          <w:szCs w:val="24"/>
          <w:highlight w:val="none"/>
        </w:rPr>
        <w:t>）</w:t>
      </w:r>
      <w:r>
        <w:rPr>
          <w:rFonts w:hint="eastAsia" w:ascii="宋体" w:hAnsi="宋体" w:eastAsia="宋体" w:cs="宋体"/>
          <w:color w:val="auto"/>
          <w:sz w:val="24"/>
          <w:szCs w:val="24"/>
          <w:highlight w:val="none"/>
        </w:rPr>
        <w:t>合同暂定总价为：</w:t>
      </w:r>
      <w:r>
        <w:rPr>
          <w:rFonts w:hint="eastAsia" w:ascii="宋体" w:hAnsi="宋体" w:eastAsia="宋体" w:cs="宋体"/>
          <w:b/>
          <w:color w:val="auto"/>
          <w:sz w:val="24"/>
          <w:szCs w:val="24"/>
          <w:highlight w:val="none"/>
          <w:u w:val="single"/>
        </w:rPr>
        <w:t>人民币…元</w:t>
      </w:r>
      <w:r>
        <w:rPr>
          <w:rFonts w:hint="eastAsia" w:ascii="宋体" w:hAnsi="宋体" w:eastAsia="宋体" w:cs="宋体"/>
          <w:color w:val="auto"/>
          <w:sz w:val="24"/>
          <w:szCs w:val="24"/>
          <w:highlight w:val="none"/>
        </w:rPr>
        <w:t>（大写</w:t>
      </w:r>
      <w:r>
        <w:rPr>
          <w:rFonts w:ascii="宋体" w:hAnsi="宋体" w:eastAsia="宋体" w:cs="宋体"/>
          <w:color w:val="auto"/>
          <w:sz w:val="24"/>
          <w:szCs w:val="24"/>
          <w:highlight w:val="none"/>
        </w:rPr>
        <w:t>:</w:t>
      </w:r>
      <w:r>
        <w:rPr>
          <w:rFonts w:hint="eastAsia" w:ascii="宋体" w:hAnsi="宋体" w:eastAsia="宋体" w:cs="宋体"/>
          <w:color w:val="auto"/>
          <w:sz w:val="24"/>
          <w:szCs w:val="24"/>
          <w:highlight w:val="none"/>
        </w:rPr>
        <w:t>）。经甲方或甲方委托有资质第三方机构审核后，审核价作为合同结算价。若合同结算价超合同暂定总价，双方另行签订补充协议。</w:t>
      </w:r>
    </w:p>
    <w:p>
      <w:pPr>
        <w:spacing w:line="384"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综合单价为：</w:t>
      </w:r>
      <w:r>
        <w:rPr>
          <w:rFonts w:hint="eastAsia" w:ascii="宋体" w:hAnsi="宋体" w:eastAsia="宋体" w:cs="宋体"/>
          <w:color w:val="auto"/>
          <w:sz w:val="24"/>
          <w:szCs w:val="24"/>
          <w:highlight w:val="none"/>
          <w:u w:val="single"/>
        </w:rPr>
        <w:t>人民币…元</w:t>
      </w:r>
      <w:r>
        <w:rPr>
          <w:rFonts w:ascii="宋体" w:hAnsi="宋体" w:eastAsia="宋体" w:cs="宋体"/>
          <w:color w:val="auto"/>
          <w:sz w:val="24"/>
          <w:szCs w:val="24"/>
          <w:highlight w:val="none"/>
          <w:u w:val="single"/>
        </w:rPr>
        <w:t>/m</w:t>
      </w:r>
      <w:r>
        <w:rPr>
          <w:rFonts w:ascii="宋体" w:hAnsi="宋体" w:eastAsia="宋体" w:cs="宋体"/>
          <w:color w:val="auto"/>
          <w:sz w:val="24"/>
          <w:szCs w:val="24"/>
          <w:highlight w:val="none"/>
          <w:u w:val="single"/>
          <w:vertAlign w:val="superscript"/>
        </w:rPr>
        <w:t>3</w:t>
      </w:r>
      <w:r>
        <w:rPr>
          <w:rFonts w:ascii="宋体" w:hAnsi="宋体" w:eastAsia="宋体" w:cs="宋体"/>
          <w:color w:val="auto"/>
          <w:sz w:val="24"/>
          <w:szCs w:val="24"/>
          <w:highlight w:val="none"/>
          <w:u w:val="single"/>
        </w:rPr>
        <w:t>(</w:t>
      </w:r>
      <w:r>
        <w:rPr>
          <w:rFonts w:hint="eastAsia" w:ascii="宋体" w:hAnsi="宋体" w:eastAsia="宋体" w:cs="宋体"/>
          <w:color w:val="auto"/>
          <w:sz w:val="24"/>
          <w:szCs w:val="24"/>
          <w:highlight w:val="none"/>
          <w:u w:val="single"/>
        </w:rPr>
        <w:t>大写：…</w:t>
      </w:r>
      <w:r>
        <w:rPr>
          <w:rFonts w:ascii="宋体" w:hAnsi="宋体" w:eastAsia="宋体" w:cs="宋体"/>
          <w:color w:val="auto"/>
          <w:sz w:val="24"/>
          <w:szCs w:val="24"/>
          <w:highlight w:val="none"/>
          <w:u w:val="single"/>
        </w:rPr>
        <w:t>)</w:t>
      </w:r>
      <w:r>
        <w:rPr>
          <w:rFonts w:hint="eastAsia" w:ascii="宋体" w:hAnsi="宋体" w:eastAsia="宋体" w:cs="宋体"/>
          <w:color w:val="auto"/>
          <w:sz w:val="24"/>
          <w:szCs w:val="24"/>
          <w:highlight w:val="none"/>
        </w:rPr>
        <w:t>。</w:t>
      </w:r>
    </w:p>
    <w:p>
      <w:pPr>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合同单价在合同有效期内为不变价。乙方已经充分考虑本合同履行期间的市场风险和国家政策性调整风险系数并已计入报价，因此合同单价在合同有效期内不因任何因素而作调整。</w:t>
      </w:r>
    </w:p>
    <w:p>
      <w:pPr>
        <w:autoSpaceDE w:val="0"/>
        <w:autoSpaceDN w:val="0"/>
        <w:adjustRightInd w:val="0"/>
        <w:spacing w:line="384" w:lineRule="auto"/>
        <w:ind w:firstLine="480" w:firstLineChars="200"/>
        <w:rPr>
          <w:rFonts w:ascii="宋体" w:hAnsi="宋体" w:eastAsia="宋体" w:cs="宋体"/>
          <w:color w:val="auto"/>
          <w:sz w:val="24"/>
          <w:szCs w:val="24"/>
          <w:highlight w:val="none"/>
        </w:rPr>
      </w:pPr>
    </w:p>
    <w:p>
      <w:pPr>
        <w:spacing w:line="384" w:lineRule="auto"/>
        <w:ind w:firstLine="480" w:firstLineChars="200"/>
        <w:rPr>
          <w:rFonts w:ascii="宋体" w:hAnsi="宋体" w:eastAsia="宋体" w:cs="宋体"/>
          <w:color w:val="auto"/>
          <w:sz w:val="24"/>
          <w:szCs w:val="24"/>
          <w:highlight w:val="none"/>
        </w:rPr>
      </w:pPr>
      <w:r>
        <w:rPr>
          <w:rFonts w:hint="eastAsia" w:ascii="宋体" w:hAnsi="宋体" w:eastAsia="宋体" w:cs="宋体"/>
          <w:bCs/>
          <w:color w:val="auto"/>
          <w:sz w:val="24"/>
          <w:szCs w:val="24"/>
          <w:highlight w:val="none"/>
        </w:rPr>
        <w:t>（</w:t>
      </w:r>
      <w:r>
        <w:rPr>
          <w:rFonts w:ascii="宋体" w:hAnsi="宋体" w:eastAsia="宋体" w:cs="宋体"/>
          <w:bCs/>
          <w:color w:val="auto"/>
          <w:sz w:val="24"/>
          <w:szCs w:val="24"/>
          <w:highlight w:val="none"/>
        </w:rPr>
        <w:t>2</w:t>
      </w:r>
      <w:r>
        <w:rPr>
          <w:rFonts w:hint="eastAsia" w:ascii="宋体" w:hAnsi="宋体" w:eastAsia="宋体" w:cs="宋体"/>
          <w:bCs/>
          <w:color w:val="auto"/>
          <w:sz w:val="24"/>
          <w:szCs w:val="24"/>
          <w:highlight w:val="none"/>
        </w:rPr>
        <w:t>）</w:t>
      </w:r>
      <w:r>
        <w:rPr>
          <w:rFonts w:hint="eastAsia" w:ascii="宋体" w:hAnsi="宋体" w:eastAsia="宋体" w:cs="宋体"/>
          <w:color w:val="auto"/>
          <w:sz w:val="24"/>
          <w:szCs w:val="24"/>
          <w:highlight w:val="none"/>
        </w:rPr>
        <w:t>合同以总价包干形式，合同暂定总价为：</w:t>
      </w:r>
      <w:r>
        <w:rPr>
          <w:rFonts w:hint="eastAsia" w:ascii="宋体" w:hAnsi="宋体" w:eastAsia="宋体" w:cs="宋体"/>
          <w:b/>
          <w:color w:val="auto"/>
          <w:sz w:val="24"/>
          <w:szCs w:val="24"/>
          <w:highlight w:val="none"/>
          <w:u w:val="single"/>
        </w:rPr>
        <w:t>人民币</w:t>
      </w:r>
      <w:r>
        <w:rPr>
          <w:rFonts w:hint="eastAsia" w:ascii="宋体" w:hAnsi="宋体" w:eastAsia="宋体" w:cs="宋体"/>
          <w:b/>
          <w:color w:val="auto"/>
          <w:sz w:val="24"/>
          <w:szCs w:val="24"/>
          <w:highlight w:val="none"/>
          <w:u w:val="single"/>
          <w:lang w:val="en-US" w:eastAsia="zh-CN"/>
        </w:rPr>
        <w:t xml:space="preserve">   </w:t>
      </w:r>
      <w:r>
        <w:rPr>
          <w:rFonts w:hint="eastAsia" w:ascii="宋体" w:hAnsi="宋体" w:eastAsia="宋体" w:cs="宋体"/>
          <w:b/>
          <w:color w:val="auto"/>
          <w:sz w:val="24"/>
          <w:szCs w:val="24"/>
          <w:highlight w:val="none"/>
          <w:u w:val="single"/>
        </w:rPr>
        <w:t>万元</w:t>
      </w:r>
      <w:r>
        <w:rPr>
          <w:rFonts w:hint="eastAsia" w:ascii="宋体" w:hAnsi="宋体" w:eastAsia="宋体" w:cs="宋体"/>
          <w:color w:val="auto"/>
          <w:sz w:val="24"/>
          <w:szCs w:val="24"/>
          <w:highlight w:val="none"/>
        </w:rPr>
        <w:t>（大写</w:t>
      </w:r>
      <w:r>
        <w:rPr>
          <w:rFonts w:ascii="宋体" w:hAnsi="宋体" w:eastAsia="宋体" w:cs="宋体"/>
          <w:color w:val="auto"/>
          <w:sz w:val="24"/>
          <w:szCs w:val="24"/>
          <w:highlight w:val="none"/>
        </w:rPr>
        <w:t>:</w:t>
      </w:r>
      <w:r>
        <w:rPr>
          <w:rFonts w:hint="eastAsia" w:ascii="宋体" w:hAnsi="宋体" w:eastAsia="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元）。经甲方或甲方委托有资质第三方机构审核后，若结算审核价比合同暂定总价低，则以结算审核价作为合同结算价，否则以合同暂定总价为合同结算价。</w:t>
      </w:r>
    </w:p>
    <w:p>
      <w:pPr>
        <w:tabs>
          <w:tab w:val="left" w:pos="851"/>
        </w:tabs>
        <w:adjustRightInd w:val="0"/>
        <w:snapToGrid w:val="0"/>
        <w:spacing w:line="384" w:lineRule="auto"/>
        <w:ind w:firstLine="480" w:firstLineChars="200"/>
        <w:rPr>
          <w:rFonts w:ascii="宋体" w:hAnsi="宋体" w:eastAsia="宋体" w:cs="宋体"/>
          <w:color w:val="auto"/>
          <w:sz w:val="24"/>
          <w:szCs w:val="24"/>
          <w:highlight w:val="none"/>
        </w:rPr>
      </w:pPr>
      <w:r>
        <w:rPr>
          <w:rFonts w:ascii="宋体" w:hAnsi="宋体" w:eastAsia="宋体" w:cs="宋体"/>
          <w:color w:val="auto"/>
          <w:kern w:val="0"/>
          <w:sz w:val="24"/>
          <w:szCs w:val="24"/>
          <w:highlight w:val="none"/>
          <w:lang w:val="zh-CN"/>
        </w:rPr>
        <w:t>4.2</w:t>
      </w:r>
      <w:r>
        <w:rPr>
          <w:rFonts w:hint="eastAsia" w:ascii="宋体" w:hAnsi="宋体" w:eastAsia="宋体" w:cs="宋体"/>
          <w:color w:val="auto"/>
          <w:kern w:val="0"/>
          <w:sz w:val="24"/>
          <w:szCs w:val="24"/>
          <w:highlight w:val="none"/>
        </w:rPr>
        <w:t>本合同约定的价格为含税价价格</w:t>
      </w:r>
      <w:r>
        <w:rPr>
          <w:rFonts w:hint="eastAsia" w:ascii="宋体" w:hAnsi="宋体" w:eastAsia="宋体" w:cs="宋体"/>
          <w:color w:val="auto"/>
          <w:sz w:val="24"/>
          <w:szCs w:val="24"/>
          <w:highlight w:val="none"/>
        </w:rPr>
        <w:t>（税率</w:t>
      </w:r>
      <w:r>
        <w:rPr>
          <w:rFonts w:hint="eastAsia" w:ascii="宋体" w:hAnsi="宋体" w:eastAsia="宋体" w:cs="宋体"/>
          <w:color w:val="auto"/>
          <w:sz w:val="24"/>
          <w:szCs w:val="24"/>
          <w:highlight w:val="none"/>
          <w:u w:val="single"/>
        </w:rPr>
        <w:t>9</w:t>
      </w:r>
      <w:r>
        <w:rPr>
          <w:rFonts w:ascii="宋体" w:hAnsi="宋体" w:eastAsia="宋体" w:cs="宋体"/>
          <w:color w:val="auto"/>
          <w:sz w:val="24"/>
          <w:szCs w:val="24"/>
          <w:highlight w:val="none"/>
          <w:u w:val="single"/>
        </w:rPr>
        <w:t>%</w:t>
      </w:r>
      <w:r>
        <w:rPr>
          <w:rFonts w:hint="eastAsia" w:ascii="宋体" w:hAnsi="宋体" w:eastAsia="宋体" w:cs="宋体"/>
          <w:color w:val="auto"/>
          <w:sz w:val="24"/>
          <w:szCs w:val="24"/>
          <w:highlight w:val="none"/>
        </w:rPr>
        <w:t>），合同履行期间国家税率调整或乙方开票的实际税率与前述税率不一致的，不含税价不变，价税合计按实际税率相应调整，以开具发票时间为准。</w:t>
      </w:r>
    </w:p>
    <w:p>
      <w:pPr>
        <w:tabs>
          <w:tab w:val="left" w:pos="0"/>
        </w:tabs>
        <w:adjustRightInd w:val="0"/>
        <w:snapToGrid w:val="0"/>
        <w:spacing w:line="360" w:lineRule="auto"/>
        <w:ind w:firstLine="480" w:firstLineChars="200"/>
        <w:jc w:val="left"/>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4.3</w:t>
      </w:r>
      <w:r>
        <w:rPr>
          <w:rFonts w:hint="eastAsia" w:ascii="宋体" w:hAnsi="宋体" w:eastAsia="宋体" w:cs="宋体"/>
          <w:color w:val="auto"/>
          <w:kern w:val="0"/>
          <w:sz w:val="24"/>
          <w:szCs w:val="24"/>
          <w:highlight w:val="none"/>
        </w:rPr>
        <w:t>因非乙方原因引起工程量报价清单中工程量发生增减，且单个子目工程量变化幅度在25%以内（含）时，按工程量报价清单中列明的子目单价结算。否则，按新增单价执行。</w:t>
      </w:r>
    </w:p>
    <w:p>
      <w:pPr>
        <w:spacing w:line="56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4.4合同中没有适用于变更工程项目的单价的，按新增单价执行。</w:t>
      </w:r>
    </w:p>
    <w:p>
      <w:pPr>
        <w:spacing w:line="56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新增单价计价原则：</w:t>
      </w:r>
    </w:p>
    <w:p>
      <w:pPr>
        <w:spacing w:line="56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执行《建设工程工程量清单计价规范》（GB50500-2013）及相应的各清单专业的国标工程量计算规范，套用《广东省建设工程计价依据（2018）》、《广东省房屋建筑和市政修缮工程综合定额（2012）》或其他由建设、造价主管部门发布的工程承包合同签订时广州地区适用的定额进行组价。</w:t>
      </w:r>
    </w:p>
    <w:p>
      <w:pPr>
        <w:spacing w:line="560" w:lineRule="exact"/>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2.项目计价材料、设备价格的控制：按以下顺序作为降序优先级依次采用工程开工报告中开工日期当月的下列价格：</w:t>
      </w:r>
    </w:p>
    <w:p>
      <w:pPr>
        <w:spacing w:line="560" w:lineRule="exact"/>
        <w:ind w:firstLine="240" w:firstLineChars="1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（1）《广州地区建设工程常用材料税前综合价格》（下称综合价格）。</w:t>
      </w:r>
    </w:p>
    <w:p>
      <w:pPr>
        <w:spacing w:line="560" w:lineRule="exact"/>
        <w:ind w:firstLine="240" w:firstLineChars="1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（2）《广州地区建设工程材料（设备）厂商价格信息》（下称厂商价格）下浮10-20%。</w:t>
      </w:r>
    </w:p>
    <w:p>
      <w:pPr>
        <w:spacing w:line="560" w:lineRule="exact"/>
        <w:ind w:firstLine="240" w:firstLineChars="1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（3）综合价格、厂商价格中缺项的，采用由北京瑞恒达建筑咨询有限公司提供服务的“慧讯网”中查到的相应材料、设备价格的工程价。</w:t>
      </w:r>
    </w:p>
    <w:p>
      <w:pPr>
        <w:autoSpaceDE w:val="0"/>
        <w:autoSpaceDN w:val="0"/>
        <w:adjustRightInd w:val="0"/>
        <w:jc w:val="left"/>
        <w:rPr>
          <w:rFonts w:ascii="宋体" w:hAnsi="Times New Roman"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  </w:t>
      </w:r>
      <w:r>
        <w:rPr>
          <w:rFonts w:ascii="宋体" w:hAnsi="宋体" w:eastAsia="宋体" w:cs="宋体"/>
          <w:color w:val="auto"/>
          <w:kern w:val="0"/>
          <w:sz w:val="24"/>
          <w:szCs w:val="24"/>
          <w:highlight w:val="none"/>
        </w:rPr>
        <w:t>（4）通过市场询价双方协商确定。</w:t>
      </w:r>
    </w:p>
    <w:p>
      <w:pPr>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3.按1、2组价后下浮5%计取。</w:t>
      </w:r>
    </w:p>
    <w:p>
      <w:pPr>
        <w:tabs>
          <w:tab w:val="left" w:pos="851"/>
        </w:tabs>
        <w:adjustRightInd w:val="0"/>
        <w:snapToGrid w:val="0"/>
        <w:spacing w:line="384" w:lineRule="auto"/>
        <w:ind w:firstLine="480" w:firstLineChars="200"/>
        <w:rPr>
          <w:rFonts w:ascii="宋体" w:hAnsi="宋体" w:eastAsia="宋体" w:cs="宋体"/>
          <w:color w:val="auto"/>
          <w:sz w:val="24"/>
          <w:szCs w:val="24"/>
          <w:highlight w:val="none"/>
        </w:rPr>
      </w:pPr>
    </w:p>
    <w:p>
      <w:pPr>
        <w:widowControl/>
        <w:tabs>
          <w:tab w:val="left" w:pos="851"/>
        </w:tabs>
        <w:adjustRightInd w:val="0"/>
        <w:snapToGrid w:val="0"/>
        <w:spacing w:line="384" w:lineRule="auto"/>
        <w:ind w:firstLine="482" w:firstLineChars="200"/>
        <w:jc w:val="left"/>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第五条工期及要求</w:t>
      </w:r>
    </w:p>
    <w:p>
      <w:pPr>
        <w:widowControl/>
        <w:spacing w:line="384" w:lineRule="auto"/>
        <w:ind w:firstLine="480" w:firstLineChars="200"/>
        <w:jc w:val="left"/>
        <w:rPr>
          <w:rFonts w:ascii="宋体" w:hAnsi="宋体" w:eastAsia="宋体" w:cs="宋体"/>
          <w:color w:val="auto"/>
          <w:sz w:val="24"/>
          <w:szCs w:val="24"/>
          <w:highlight w:val="none"/>
        </w:rPr>
      </w:pPr>
      <w:r>
        <w:rPr>
          <w:rFonts w:ascii="宋体" w:hAnsi="宋体" w:eastAsia="宋体" w:cs="宋体"/>
          <w:color w:val="auto"/>
          <w:sz w:val="24"/>
          <w:szCs w:val="24"/>
          <w:highlight w:val="none"/>
        </w:rPr>
        <w:t>5.1</w:t>
      </w:r>
      <w:r>
        <w:rPr>
          <w:rFonts w:hint="eastAsia" w:ascii="宋体" w:hAnsi="宋体" w:eastAsia="宋体" w:cs="宋体"/>
          <w:color w:val="auto"/>
          <w:sz w:val="24"/>
          <w:szCs w:val="24"/>
          <w:highlight w:val="none"/>
        </w:rPr>
        <w:t>开工日期暂定为：</w:t>
      </w:r>
      <w:r>
        <w:rPr>
          <w:rFonts w:hint="eastAsia" w:ascii="宋体" w:hAnsi="宋体" w:eastAsia="宋体" w:cs="宋体"/>
          <w:color w:val="auto"/>
          <w:sz w:val="24"/>
          <w:szCs w:val="24"/>
          <w:highlight w:val="none"/>
          <w:u w:val="single"/>
        </w:rPr>
        <w:t>…年…月…日</w:t>
      </w:r>
      <w:r>
        <w:rPr>
          <w:rFonts w:hint="eastAsia" w:ascii="宋体" w:hAnsi="宋体" w:eastAsia="宋体" w:cs="宋体"/>
          <w:color w:val="auto"/>
          <w:sz w:val="24"/>
          <w:szCs w:val="24"/>
          <w:highlight w:val="none"/>
        </w:rPr>
        <w:t>，具体日期以甲方发出的开工报告</w:t>
      </w:r>
      <w:r>
        <w:rPr>
          <w:rFonts w:ascii="宋体" w:hAnsi="宋体" w:eastAsia="宋体" w:cs="宋体"/>
          <w:color w:val="auto"/>
          <w:sz w:val="24"/>
          <w:szCs w:val="24"/>
          <w:highlight w:val="none"/>
        </w:rPr>
        <w:t>/</w:t>
      </w:r>
      <w:r>
        <w:rPr>
          <w:rFonts w:hint="eastAsia" w:ascii="宋体" w:hAnsi="宋体" w:eastAsia="宋体" w:cs="宋体"/>
          <w:color w:val="auto"/>
          <w:sz w:val="24"/>
          <w:szCs w:val="24"/>
          <w:highlight w:val="none"/>
        </w:rPr>
        <w:t>通知为准。乙方不能按时开工，应当于开工报告</w:t>
      </w:r>
      <w:r>
        <w:rPr>
          <w:rFonts w:ascii="宋体" w:hAnsi="宋体" w:eastAsia="宋体" w:cs="宋体"/>
          <w:color w:val="auto"/>
          <w:sz w:val="24"/>
          <w:szCs w:val="24"/>
          <w:highlight w:val="none"/>
        </w:rPr>
        <w:t>/</w:t>
      </w:r>
      <w:r>
        <w:rPr>
          <w:rFonts w:hint="eastAsia" w:ascii="宋体" w:hAnsi="宋体" w:eastAsia="宋体" w:cs="宋体"/>
          <w:color w:val="auto"/>
          <w:sz w:val="24"/>
          <w:szCs w:val="24"/>
          <w:highlight w:val="none"/>
        </w:rPr>
        <w:t>通知载明的开工日期</w:t>
      </w:r>
      <w:r>
        <w:rPr>
          <w:rFonts w:ascii="宋体" w:hAnsi="宋体" w:eastAsia="宋体" w:cs="宋体"/>
          <w:color w:val="auto"/>
          <w:sz w:val="24"/>
          <w:szCs w:val="24"/>
          <w:highlight w:val="none"/>
        </w:rPr>
        <w:t>7</w:t>
      </w:r>
      <w:r>
        <w:rPr>
          <w:rFonts w:hint="eastAsia" w:ascii="宋体" w:hAnsi="宋体" w:eastAsia="宋体" w:cs="宋体"/>
          <w:color w:val="auto"/>
          <w:sz w:val="24"/>
          <w:szCs w:val="24"/>
          <w:highlight w:val="none"/>
        </w:rPr>
        <w:t>天前，以书面形式向甲方提出延期开工的理由。甲方应当在接到延期开工申请后的</w:t>
      </w:r>
      <w:r>
        <w:rPr>
          <w:rFonts w:ascii="宋体" w:hAnsi="宋体" w:eastAsia="宋体" w:cs="宋体"/>
          <w:color w:val="auto"/>
          <w:sz w:val="24"/>
          <w:szCs w:val="24"/>
          <w:highlight w:val="none"/>
        </w:rPr>
        <w:t>48</w:t>
      </w:r>
      <w:r>
        <w:rPr>
          <w:rFonts w:hint="eastAsia" w:ascii="宋体" w:hAnsi="宋体" w:eastAsia="宋体" w:cs="宋体"/>
          <w:color w:val="auto"/>
          <w:sz w:val="24"/>
          <w:szCs w:val="24"/>
          <w:highlight w:val="none"/>
        </w:rPr>
        <w:t>小时内以书面形式答复乙方。甲方在接到延期开工申请后</w:t>
      </w:r>
      <w:r>
        <w:rPr>
          <w:rFonts w:ascii="宋体" w:hAnsi="宋体" w:eastAsia="宋体" w:cs="宋体"/>
          <w:color w:val="auto"/>
          <w:sz w:val="24"/>
          <w:szCs w:val="24"/>
          <w:highlight w:val="none"/>
        </w:rPr>
        <w:t>48</w:t>
      </w:r>
      <w:r>
        <w:rPr>
          <w:rFonts w:hint="eastAsia" w:ascii="宋体" w:hAnsi="宋体" w:eastAsia="宋体" w:cs="宋体"/>
          <w:color w:val="auto"/>
          <w:sz w:val="24"/>
          <w:szCs w:val="24"/>
          <w:highlight w:val="none"/>
        </w:rPr>
        <w:t>小时内不答复，视为同意乙方要求，工期相应顺延。甲方不同意延期要求或乙方未在规定时间内提出延期开工，工期不予顺延。合同工期总日历天数</w:t>
      </w:r>
      <w:r>
        <w:rPr>
          <w:rFonts w:hint="eastAsia" w:ascii="宋体" w:hAnsi="宋体" w:eastAsia="宋体" w:cs="宋体"/>
          <w:color w:val="auto"/>
          <w:sz w:val="24"/>
          <w:szCs w:val="24"/>
          <w:highlight w:val="none"/>
          <w:lang w:val="en-US" w:eastAsia="zh-CN"/>
        </w:rPr>
        <w:t>90</w:t>
      </w:r>
      <w:r>
        <w:rPr>
          <w:rFonts w:hint="eastAsia" w:ascii="宋体" w:hAnsi="宋体" w:eastAsia="宋体" w:cs="宋体"/>
          <w:color w:val="auto"/>
          <w:sz w:val="24"/>
          <w:szCs w:val="24"/>
          <w:highlight w:val="none"/>
        </w:rPr>
        <w:t>天。乙方未能按合同工期竣工验收的，每逾期一天，甲方有权要求乙方按</w:t>
      </w:r>
      <w:r>
        <w:rPr>
          <w:rFonts w:hint="eastAsia" w:ascii="宋体" w:hAnsi="宋体" w:eastAsia="宋体" w:cs="宋体"/>
          <w:color w:val="auto"/>
          <w:sz w:val="24"/>
          <w:szCs w:val="24"/>
          <w:highlight w:val="none"/>
          <w:u w:val="single"/>
        </w:rPr>
        <w:t>合同暂定总价的</w:t>
      </w:r>
      <w:r>
        <w:rPr>
          <w:rFonts w:ascii="宋体" w:hAnsi="宋体" w:eastAsia="宋体" w:cs="宋体"/>
          <w:color w:val="auto"/>
          <w:sz w:val="24"/>
          <w:szCs w:val="24"/>
          <w:highlight w:val="none"/>
          <w:u w:val="single"/>
        </w:rPr>
        <w:t xml:space="preserve"> 1%</w:t>
      </w:r>
      <w:r>
        <w:rPr>
          <w:rFonts w:hint="eastAsia" w:ascii="宋体" w:hAnsi="宋体" w:eastAsia="宋体" w:cs="宋体"/>
          <w:color w:val="auto"/>
          <w:sz w:val="24"/>
          <w:szCs w:val="24"/>
          <w:highlight w:val="none"/>
        </w:rPr>
        <w:t>支付违约金，逾期达到</w:t>
      </w:r>
      <w:r>
        <w:rPr>
          <w:rFonts w:hint="eastAsia" w:ascii="宋体" w:hAnsi="宋体" w:eastAsia="宋体" w:cs="宋体"/>
          <w:color w:val="auto"/>
          <w:sz w:val="24"/>
          <w:szCs w:val="24"/>
          <w:highlight w:val="none"/>
          <w:u w:val="single"/>
        </w:rPr>
        <w:t xml:space="preserve">  3</w:t>
      </w:r>
      <w:r>
        <w:rPr>
          <w:rFonts w:ascii="宋体" w:hAnsi="宋体" w:eastAsia="宋体" w:cs="宋体"/>
          <w:color w:val="auto"/>
          <w:sz w:val="24"/>
          <w:szCs w:val="24"/>
          <w:highlight w:val="none"/>
          <w:u w:val="single"/>
        </w:rPr>
        <w:t>0</w:t>
      </w:r>
      <w:r>
        <w:rPr>
          <w:rFonts w:hint="eastAsia" w:ascii="宋体" w:hAnsi="宋体" w:eastAsia="宋体" w:cs="宋体"/>
          <w:color w:val="auto"/>
          <w:sz w:val="24"/>
          <w:szCs w:val="24"/>
          <w:highlight w:val="none"/>
        </w:rPr>
        <w:t>天及以上的，甲方有权解除合同并要求乙方支付</w:t>
      </w:r>
      <w:r>
        <w:rPr>
          <w:rFonts w:hint="eastAsia" w:ascii="宋体" w:hAnsi="宋体" w:eastAsia="宋体" w:cs="宋体"/>
          <w:color w:val="auto"/>
          <w:sz w:val="24"/>
          <w:szCs w:val="24"/>
          <w:highlight w:val="none"/>
          <w:u w:val="single"/>
        </w:rPr>
        <w:t>合同暂定总价的</w:t>
      </w:r>
      <w:r>
        <w:rPr>
          <w:rFonts w:ascii="宋体" w:hAnsi="宋体" w:eastAsia="宋体" w:cs="宋体"/>
          <w:color w:val="auto"/>
          <w:sz w:val="24"/>
          <w:szCs w:val="24"/>
          <w:highlight w:val="none"/>
          <w:u w:val="single"/>
        </w:rPr>
        <w:t>20%</w:t>
      </w:r>
      <w:r>
        <w:rPr>
          <w:rFonts w:ascii="宋体" w:hAnsi="宋体" w:eastAsia="宋体" w:cs="宋体"/>
          <w:color w:val="auto"/>
          <w:sz w:val="24"/>
          <w:szCs w:val="24"/>
          <w:highlight w:val="none"/>
        </w:rPr>
        <w:t>作为违约金。</w:t>
      </w:r>
    </w:p>
    <w:p>
      <w:pPr>
        <w:widowControl/>
        <w:spacing w:line="384" w:lineRule="auto"/>
        <w:ind w:firstLine="480" w:firstLineChars="200"/>
        <w:jc w:val="left"/>
        <w:rPr>
          <w:rFonts w:ascii="宋体" w:hAnsi="宋体" w:eastAsia="宋体" w:cs="宋体"/>
          <w:bCs/>
          <w:color w:val="auto"/>
          <w:sz w:val="24"/>
          <w:szCs w:val="24"/>
          <w:highlight w:val="none"/>
        </w:rPr>
      </w:pPr>
      <w:r>
        <w:rPr>
          <w:rFonts w:ascii="宋体" w:hAnsi="宋体" w:eastAsia="宋体" w:cs="宋体"/>
          <w:bCs/>
          <w:color w:val="auto"/>
          <w:sz w:val="24"/>
          <w:szCs w:val="24"/>
          <w:highlight w:val="none"/>
        </w:rPr>
        <w:t>5.2</w:t>
      </w:r>
      <w:r>
        <w:rPr>
          <w:rFonts w:hint="eastAsia" w:ascii="宋体" w:hAnsi="宋体" w:eastAsia="宋体" w:cs="宋体"/>
          <w:bCs/>
          <w:color w:val="auto"/>
          <w:sz w:val="24"/>
          <w:szCs w:val="24"/>
          <w:highlight w:val="none"/>
        </w:rPr>
        <w:t>乙方在施工期间应严格遵守《中华人民共和国安全生产法》、《建设工程安全生产管理条例》等法律法规以及文明施工、深夜施工、环卫和城管等规定，建立规章制度和防护措施并向甲方报备。如甲方或相关职能部门在施工过程中发现安全问题或者发出整改通知书，乙方应立即停工整改。如果逾期不整改或者整改不符合合同约定，甲方有权要求乙方支付</w:t>
      </w:r>
      <w:r>
        <w:rPr>
          <w:rFonts w:hint="eastAsia" w:ascii="宋体" w:hAnsi="宋体" w:eastAsia="宋体" w:cs="宋体"/>
          <w:bCs/>
          <w:color w:val="auto"/>
          <w:sz w:val="24"/>
          <w:szCs w:val="24"/>
          <w:highlight w:val="none"/>
          <w:u w:val="single"/>
        </w:rPr>
        <w:t>合同暂定总价的</w:t>
      </w:r>
      <w:r>
        <w:rPr>
          <w:rFonts w:ascii="宋体" w:hAnsi="宋体" w:eastAsia="宋体" w:cs="宋体"/>
          <w:bCs/>
          <w:color w:val="auto"/>
          <w:sz w:val="24"/>
          <w:szCs w:val="24"/>
          <w:highlight w:val="none"/>
          <w:u w:val="single"/>
        </w:rPr>
        <w:t>5%/</w:t>
      </w:r>
      <w:r>
        <w:rPr>
          <w:rFonts w:hint="eastAsia" w:ascii="宋体" w:hAnsi="宋体" w:eastAsia="宋体" w:cs="宋体"/>
          <w:bCs/>
          <w:color w:val="auto"/>
          <w:sz w:val="24"/>
          <w:szCs w:val="24"/>
          <w:highlight w:val="none"/>
          <w:u w:val="single"/>
        </w:rPr>
        <w:t>次</w:t>
      </w:r>
      <w:r>
        <w:rPr>
          <w:rFonts w:hint="eastAsia" w:ascii="宋体" w:hAnsi="宋体" w:eastAsia="宋体" w:cs="宋体"/>
          <w:bCs/>
          <w:color w:val="auto"/>
          <w:sz w:val="24"/>
          <w:szCs w:val="24"/>
          <w:highlight w:val="none"/>
        </w:rPr>
        <w:t>作为违约金，超过三次（含三次）的，甲方有权解除合同，要求乙方支付</w:t>
      </w:r>
      <w:r>
        <w:rPr>
          <w:rFonts w:hint="eastAsia" w:ascii="宋体" w:hAnsi="宋体" w:eastAsia="宋体" w:cs="宋体"/>
          <w:bCs/>
          <w:color w:val="auto"/>
          <w:sz w:val="24"/>
          <w:szCs w:val="24"/>
          <w:highlight w:val="none"/>
          <w:u w:val="single"/>
        </w:rPr>
        <w:t>合同暂定总价的</w:t>
      </w:r>
      <w:r>
        <w:rPr>
          <w:rFonts w:ascii="宋体" w:hAnsi="宋体" w:eastAsia="宋体" w:cs="宋体"/>
          <w:bCs/>
          <w:color w:val="auto"/>
          <w:sz w:val="24"/>
          <w:szCs w:val="24"/>
          <w:highlight w:val="none"/>
          <w:u w:val="single"/>
        </w:rPr>
        <w:t>20%</w:t>
      </w:r>
      <w:r>
        <w:rPr>
          <w:rFonts w:hint="eastAsia" w:ascii="宋体" w:hAnsi="宋体" w:eastAsia="宋体" w:cs="宋体"/>
          <w:bCs/>
          <w:color w:val="auto"/>
          <w:sz w:val="24"/>
          <w:szCs w:val="24"/>
          <w:highlight w:val="none"/>
        </w:rPr>
        <w:t>作为违约金。由此造成的经济和法律责任，均由乙方负责。</w:t>
      </w:r>
    </w:p>
    <w:p>
      <w:pPr>
        <w:widowControl/>
        <w:spacing w:line="384" w:lineRule="auto"/>
        <w:ind w:left="1" w:firstLine="480" w:firstLineChars="200"/>
        <w:jc w:val="left"/>
        <w:rPr>
          <w:rFonts w:ascii="宋体" w:hAnsi="宋体" w:eastAsia="宋体" w:cs="宋体"/>
          <w:bCs/>
          <w:color w:val="auto"/>
          <w:sz w:val="24"/>
          <w:szCs w:val="24"/>
          <w:highlight w:val="none"/>
        </w:rPr>
      </w:pPr>
      <w:r>
        <w:rPr>
          <w:rFonts w:ascii="宋体" w:hAnsi="宋体" w:eastAsia="宋体" w:cs="宋体"/>
          <w:bCs/>
          <w:color w:val="auto"/>
          <w:sz w:val="24"/>
          <w:szCs w:val="24"/>
          <w:highlight w:val="none"/>
        </w:rPr>
        <w:t>5.3</w:t>
      </w:r>
      <w:r>
        <w:rPr>
          <w:rFonts w:hint="eastAsia" w:ascii="宋体" w:hAnsi="宋体" w:eastAsia="宋体" w:cs="宋体"/>
          <w:bCs/>
          <w:color w:val="auto"/>
          <w:sz w:val="24"/>
          <w:szCs w:val="24"/>
          <w:highlight w:val="none"/>
        </w:rPr>
        <w:t>乙方应按合同及甲方提供的技术文件要求进行本项目实施和安装。乙方未经甲方同意，不得将本项目图纸泄露或转给第三人。除乙方存档需要的图纸外，乙方应于项目质量保修期满后日内将全部图纸退还给甲方。</w:t>
      </w:r>
    </w:p>
    <w:p>
      <w:pPr>
        <w:widowControl/>
        <w:spacing w:line="384" w:lineRule="auto"/>
        <w:ind w:left="1" w:firstLine="480" w:firstLineChars="200"/>
        <w:jc w:val="left"/>
        <w:rPr>
          <w:rFonts w:ascii="宋体" w:hAnsi="宋体" w:eastAsia="宋体" w:cs="宋体"/>
          <w:bCs/>
          <w:color w:val="auto"/>
          <w:sz w:val="24"/>
          <w:szCs w:val="24"/>
          <w:highlight w:val="none"/>
        </w:rPr>
      </w:pPr>
      <w:r>
        <w:rPr>
          <w:rFonts w:ascii="宋体" w:hAnsi="宋体" w:eastAsia="宋体" w:cs="宋体"/>
          <w:bCs/>
          <w:color w:val="auto"/>
          <w:sz w:val="24"/>
          <w:szCs w:val="24"/>
          <w:highlight w:val="none"/>
        </w:rPr>
        <w:t>5.4</w:t>
      </w:r>
      <w:r>
        <w:rPr>
          <w:rFonts w:hint="eastAsia" w:ascii="宋体" w:hAnsi="宋体" w:eastAsia="宋体" w:cs="宋体"/>
          <w:bCs/>
          <w:color w:val="auto"/>
          <w:sz w:val="24"/>
          <w:szCs w:val="24"/>
          <w:highlight w:val="none"/>
        </w:rPr>
        <w:t>合同约定的项目，乙方不得转包、分包。否则，甲方有权单方面终止合同，并令其立即退场，由此而造成的经济损失由乙方负责赔偿。</w:t>
      </w:r>
    </w:p>
    <w:p>
      <w:pPr>
        <w:widowControl/>
        <w:spacing w:line="384" w:lineRule="auto"/>
        <w:ind w:left="1" w:firstLine="480" w:firstLineChars="200"/>
        <w:jc w:val="left"/>
        <w:rPr>
          <w:rFonts w:ascii="宋体" w:hAnsi="宋体" w:eastAsia="宋体" w:cs="宋体"/>
          <w:bCs/>
          <w:color w:val="auto"/>
          <w:sz w:val="24"/>
          <w:szCs w:val="24"/>
          <w:highlight w:val="none"/>
        </w:rPr>
      </w:pPr>
      <w:r>
        <w:rPr>
          <w:rFonts w:ascii="宋体" w:hAnsi="宋体" w:eastAsia="宋体" w:cs="宋体"/>
          <w:bCs/>
          <w:color w:val="auto"/>
          <w:sz w:val="24"/>
          <w:szCs w:val="24"/>
          <w:highlight w:val="none"/>
        </w:rPr>
        <w:t>5.5乙方不履行合同义务、或履行合同义务不符合合同约定、或违反国家、省、市行业标准的，甲方有权要求乙方限期整改。乙方逾期未完成整改的，每项每超过1日支付违约金人民币</w:t>
      </w:r>
      <w:r>
        <w:rPr>
          <w:rFonts w:ascii="宋体" w:hAnsi="宋体" w:eastAsia="宋体" w:cs="宋体"/>
          <w:bCs/>
          <w:color w:val="auto"/>
          <w:sz w:val="24"/>
          <w:szCs w:val="24"/>
          <w:highlight w:val="none"/>
          <w:u w:val="single"/>
        </w:rPr>
        <w:t>1万元</w:t>
      </w:r>
      <w:r>
        <w:rPr>
          <w:rFonts w:ascii="宋体" w:hAnsi="宋体" w:eastAsia="宋体" w:cs="宋体"/>
          <w:bCs/>
          <w:color w:val="auto"/>
          <w:sz w:val="24"/>
          <w:szCs w:val="24"/>
          <w:highlight w:val="none"/>
        </w:rPr>
        <w:t>，超过_</w:t>
      </w:r>
      <w:r>
        <w:rPr>
          <w:rFonts w:hint="eastAsia" w:ascii="宋体" w:hAnsi="宋体" w:eastAsia="宋体" w:cs="宋体"/>
          <w:bCs/>
          <w:color w:val="auto"/>
          <w:sz w:val="24"/>
          <w:szCs w:val="24"/>
          <w:highlight w:val="none"/>
          <w:u w:val="single"/>
        </w:rPr>
        <w:t>1</w:t>
      </w:r>
      <w:r>
        <w:rPr>
          <w:rFonts w:ascii="宋体" w:hAnsi="宋体" w:eastAsia="宋体" w:cs="宋体"/>
          <w:bCs/>
          <w:color w:val="auto"/>
          <w:sz w:val="24"/>
          <w:szCs w:val="24"/>
          <w:highlight w:val="none"/>
          <w:u w:val="single"/>
        </w:rPr>
        <w:t>5</w:t>
      </w:r>
      <w:r>
        <w:rPr>
          <w:rFonts w:ascii="宋体" w:hAnsi="宋体" w:eastAsia="宋体" w:cs="宋体"/>
          <w:bCs/>
          <w:color w:val="auto"/>
          <w:sz w:val="24"/>
          <w:szCs w:val="24"/>
          <w:highlight w:val="none"/>
        </w:rPr>
        <w:t>_日，甲方有权解除合同并要求乙方支付</w:t>
      </w:r>
      <w:r>
        <w:rPr>
          <w:rFonts w:ascii="宋体" w:hAnsi="宋体" w:eastAsia="宋体" w:cs="宋体"/>
          <w:bCs/>
          <w:color w:val="auto"/>
          <w:sz w:val="24"/>
          <w:szCs w:val="24"/>
          <w:highlight w:val="none"/>
          <w:u w:val="single"/>
        </w:rPr>
        <w:t>合同暂定总价的20%</w:t>
      </w:r>
      <w:r>
        <w:rPr>
          <w:rFonts w:ascii="宋体" w:hAnsi="宋体" w:eastAsia="宋体" w:cs="宋体"/>
          <w:bCs/>
          <w:color w:val="auto"/>
          <w:sz w:val="24"/>
          <w:szCs w:val="24"/>
          <w:highlight w:val="none"/>
        </w:rPr>
        <w:t>作为违约金</w:t>
      </w:r>
      <w:r>
        <w:rPr>
          <w:rFonts w:hint="eastAsia" w:cs="Times New Roman" w:asciiTheme="minorEastAsia" w:hAnsiTheme="minorEastAsia"/>
          <w:bCs/>
          <w:color w:val="auto"/>
          <w:sz w:val="24"/>
          <w:szCs w:val="24"/>
          <w:highlight w:val="none"/>
        </w:rPr>
        <w:t>（</w:t>
      </w:r>
      <w:r>
        <w:rPr>
          <w:rFonts w:hint="eastAsia" w:ascii="Times New Roman" w:hAnsi="Times New Roman" w:eastAsia="宋体" w:cs="宋体"/>
          <w:color w:val="auto"/>
          <w:sz w:val="24"/>
          <w:szCs w:val="24"/>
          <w:highlight w:val="none"/>
        </w:rPr>
        <w:t>如合同另行约定违约责任，从其约定</w:t>
      </w:r>
      <w:r>
        <w:rPr>
          <w:rFonts w:hint="eastAsia" w:cs="Times New Roman" w:asciiTheme="minorEastAsia" w:hAnsiTheme="minorEastAsia"/>
          <w:bCs/>
          <w:color w:val="auto"/>
          <w:sz w:val="24"/>
          <w:szCs w:val="24"/>
          <w:highlight w:val="none"/>
        </w:rPr>
        <w:t>）</w:t>
      </w:r>
      <w:r>
        <w:rPr>
          <w:rFonts w:ascii="宋体" w:hAnsi="宋体" w:eastAsia="宋体" w:cs="宋体"/>
          <w:bCs/>
          <w:color w:val="auto"/>
          <w:sz w:val="24"/>
          <w:szCs w:val="24"/>
          <w:highlight w:val="none"/>
        </w:rPr>
        <w:t>。</w:t>
      </w:r>
    </w:p>
    <w:p>
      <w:pPr>
        <w:topLinePunct/>
        <w:spacing w:line="500" w:lineRule="exact"/>
        <w:ind w:firstLine="480" w:firstLineChars="200"/>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5.6乙方不得随意更换项目负责人及附件5中的相关人员，如确须更换，应提前征得甲方同意。如有违反，甲方有权解除合同并要求乙方支付</w:t>
      </w:r>
      <w:r>
        <w:rPr>
          <w:rFonts w:hint="eastAsia" w:asciiTheme="minorEastAsia" w:hAnsiTheme="minorEastAsia" w:cstheme="minorEastAsia"/>
          <w:color w:val="auto"/>
          <w:sz w:val="24"/>
          <w:szCs w:val="24"/>
          <w:highlight w:val="none"/>
          <w:u w:val="single"/>
        </w:rPr>
        <w:t>5000元/人次</w:t>
      </w:r>
      <w:r>
        <w:rPr>
          <w:rFonts w:hint="eastAsia" w:asciiTheme="minorEastAsia" w:hAnsiTheme="minorEastAsia" w:cstheme="minorEastAsia"/>
          <w:color w:val="auto"/>
          <w:sz w:val="24"/>
          <w:szCs w:val="24"/>
          <w:highlight w:val="none"/>
        </w:rPr>
        <w:t xml:space="preserve">作为违约金，以及赔偿由此造成的一切损失(包含质量安全事故、工期延误、增加投资等)。 </w:t>
      </w:r>
    </w:p>
    <w:p>
      <w:pPr>
        <w:topLinePunct/>
        <w:spacing w:line="500" w:lineRule="exact"/>
        <w:ind w:firstLine="480" w:firstLineChars="200"/>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 xml:space="preserve"> 5.7施工过程中，项目负责人应驻场管理，否则甲方有权要求乙方支付违约</w:t>
      </w:r>
      <w:r>
        <w:rPr>
          <w:rFonts w:hint="eastAsia" w:asciiTheme="minorEastAsia" w:hAnsiTheme="minorEastAsia" w:cstheme="minorEastAsia"/>
          <w:color w:val="auto"/>
          <w:sz w:val="24"/>
          <w:szCs w:val="24"/>
          <w:highlight w:val="none"/>
          <w:u w:val="single"/>
        </w:rPr>
        <w:t xml:space="preserve"> 1000元/天</w:t>
      </w:r>
      <w:r>
        <w:rPr>
          <w:rFonts w:hint="eastAsia" w:asciiTheme="minorEastAsia" w:hAnsiTheme="minorEastAsia" w:cstheme="minorEastAsia"/>
          <w:color w:val="auto"/>
          <w:sz w:val="24"/>
          <w:szCs w:val="24"/>
          <w:highlight w:val="none"/>
        </w:rPr>
        <w:t>，因此造成损失的，按实际发生额赔偿。</w:t>
      </w:r>
    </w:p>
    <w:p>
      <w:pPr>
        <w:topLinePunct/>
        <w:autoSpaceDE/>
        <w:autoSpaceDN/>
        <w:adjustRightInd/>
        <w:spacing w:line="500" w:lineRule="exact"/>
        <w:ind w:firstLine="480" w:firstLineChars="200"/>
        <w:jc w:val="left"/>
        <w:rPr>
          <w:rFonts w:hint="eastAsia" w:asciiTheme="minorEastAsia" w:hAnsiTheme="minorEastAsia" w:cstheme="minorEastAsia"/>
          <w:color w:val="auto"/>
          <w:kern w:val="2"/>
          <w:sz w:val="24"/>
          <w:szCs w:val="24"/>
          <w:highlight w:val="none"/>
        </w:rPr>
      </w:pPr>
      <w:r>
        <w:rPr>
          <w:rFonts w:hint="eastAsia" w:asciiTheme="minorEastAsia" w:hAnsiTheme="minorEastAsia" w:cstheme="minorEastAsia"/>
          <w:color w:val="auto"/>
          <w:kern w:val="2"/>
          <w:sz w:val="24"/>
          <w:szCs w:val="24"/>
          <w:highlight w:val="none"/>
        </w:rPr>
        <w:t>5.8施工过程中，乙方应负责配备现场的应急物资。具体应急物资配备详见附件应急救援物资清单。（如需）</w:t>
      </w:r>
    </w:p>
    <w:p>
      <w:pPr>
        <w:topLinePunct/>
        <w:spacing w:line="500" w:lineRule="exact"/>
        <w:ind w:firstLine="480" w:firstLineChars="200"/>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5.9在合同有效期内，乙方自愿接受甲方按《广州市净水有限公司经营建设项目参建企业不诚信行为管理办法》、《营运项目承包单位日常履约考评参照表（安全）》处理，具体处理标准详见附件3。</w:t>
      </w:r>
    </w:p>
    <w:p>
      <w:pPr>
        <w:autoSpaceDE w:val="0"/>
        <w:autoSpaceDN w:val="0"/>
        <w:adjustRightInd w:val="0"/>
        <w:jc w:val="left"/>
        <w:rPr>
          <w:rFonts w:ascii="宋体" w:hAnsi="Times New Roman" w:eastAsia="仿宋_GB2312" w:cs="宋体"/>
          <w:color w:val="auto"/>
          <w:kern w:val="0"/>
          <w:sz w:val="24"/>
          <w:szCs w:val="24"/>
          <w:highlight w:val="none"/>
        </w:rPr>
      </w:pPr>
    </w:p>
    <w:p>
      <w:pPr>
        <w:tabs>
          <w:tab w:val="left" w:pos="851"/>
        </w:tabs>
        <w:adjustRightInd w:val="0"/>
        <w:snapToGrid w:val="0"/>
        <w:spacing w:line="360" w:lineRule="auto"/>
        <w:ind w:firstLine="482" w:firstLineChars="200"/>
        <w:jc w:val="left"/>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第六条实施条件及管理要求</w:t>
      </w:r>
    </w:p>
    <w:p>
      <w:pPr>
        <w:spacing w:line="384" w:lineRule="auto"/>
        <w:ind w:firstLine="480" w:firstLineChars="200"/>
        <w:rPr>
          <w:rFonts w:ascii="宋体" w:hAnsi="宋体" w:eastAsia="宋体" w:cs="宋体"/>
          <w:color w:val="auto"/>
          <w:sz w:val="24"/>
          <w:szCs w:val="24"/>
          <w:highlight w:val="none"/>
        </w:rPr>
      </w:pPr>
      <w:r>
        <w:rPr>
          <w:rFonts w:ascii="宋体" w:hAnsi="宋体" w:eastAsia="宋体" w:cs="宋体"/>
          <w:color w:val="auto"/>
          <w:sz w:val="24"/>
          <w:szCs w:val="24"/>
          <w:highlight w:val="none"/>
        </w:rPr>
        <w:t>6.1</w:t>
      </w:r>
      <w:r>
        <w:rPr>
          <w:rFonts w:hint="eastAsia" w:ascii="宋体" w:hAnsi="宋体" w:eastAsia="宋体" w:cs="宋体"/>
          <w:color w:val="auto"/>
          <w:sz w:val="24"/>
          <w:szCs w:val="24"/>
          <w:highlight w:val="none"/>
        </w:rPr>
        <w:t>甲方提供临时设施及材料实施场地，乙方确认在签订合同前已查看过甲方所提供的场地及周围的环境，掌握所有与项目实施有关或对项目实施有影响的情况，乙方进场后因场地因素所产生的后果均由乙方负责。</w:t>
      </w:r>
    </w:p>
    <w:p>
      <w:pPr>
        <w:spacing w:line="384" w:lineRule="auto"/>
        <w:ind w:firstLine="480" w:firstLineChars="200"/>
        <w:rPr>
          <w:rFonts w:ascii="宋体" w:hAnsi="宋体" w:eastAsia="宋体" w:cs="宋体"/>
          <w:color w:val="auto"/>
          <w:sz w:val="24"/>
          <w:szCs w:val="24"/>
          <w:highlight w:val="none"/>
        </w:rPr>
      </w:pPr>
      <w:r>
        <w:rPr>
          <w:rFonts w:ascii="宋体" w:hAnsi="宋体" w:eastAsia="宋体" w:cs="宋体"/>
          <w:color w:val="auto"/>
          <w:sz w:val="24"/>
          <w:szCs w:val="24"/>
          <w:highlight w:val="none"/>
        </w:rPr>
        <w:t>6.2</w:t>
      </w:r>
      <w:r>
        <w:rPr>
          <w:rFonts w:hint="eastAsia" w:ascii="宋体" w:hAnsi="宋体" w:eastAsia="宋体" w:cs="宋体"/>
          <w:color w:val="auto"/>
          <w:sz w:val="24"/>
          <w:szCs w:val="24"/>
          <w:highlight w:val="none"/>
        </w:rPr>
        <w:t>施工用水用电采用以下</w:t>
      </w:r>
      <w:r>
        <w:rPr>
          <w:rFonts w:hint="eastAsia" w:ascii="宋体" w:hAnsi="宋体" w:eastAsia="宋体" w:cs="宋体"/>
          <w:color w:val="auto"/>
          <w:sz w:val="24"/>
          <w:szCs w:val="24"/>
          <w:highlight w:val="none"/>
          <w:u w:val="single"/>
        </w:rPr>
        <w:t xml:space="preserve">  （3）  </w:t>
      </w:r>
      <w:r>
        <w:rPr>
          <w:rFonts w:hint="eastAsia" w:ascii="宋体" w:hAnsi="宋体" w:eastAsia="宋体" w:cs="宋体"/>
          <w:color w:val="auto"/>
          <w:sz w:val="24"/>
          <w:szCs w:val="24"/>
          <w:highlight w:val="none"/>
        </w:rPr>
        <w:t>方式执行。</w:t>
      </w:r>
    </w:p>
    <w:p>
      <w:pPr>
        <w:spacing w:line="384"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（1）由甲方提供施工用水用电接口，水电费按合同综合单价水电含量计算，从甲方支付的工程款中直接扣回。</w:t>
      </w:r>
    </w:p>
    <w:p>
      <w:pPr>
        <w:spacing w:line="384"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（2）由甲方提供施工用水用电接口，费用按（月/项目）结算，由乙方向甲方或甲方下辖分公司/子公司支付。水电费用按所属供电局、自来水公司收费标准按实计算。</w:t>
      </w:r>
    </w:p>
    <w:p>
      <w:pPr>
        <w:spacing w:line="384"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（3）由乙方自行负责。</w:t>
      </w:r>
    </w:p>
    <w:p>
      <w:pPr>
        <w:spacing w:line="384" w:lineRule="auto"/>
        <w:ind w:firstLine="480" w:firstLineChars="200"/>
        <w:rPr>
          <w:rFonts w:ascii="宋体" w:hAnsi="宋体" w:eastAsia="宋体" w:cs="宋体"/>
          <w:color w:val="auto"/>
          <w:sz w:val="24"/>
          <w:szCs w:val="24"/>
          <w:highlight w:val="none"/>
        </w:rPr>
      </w:pPr>
      <w:r>
        <w:rPr>
          <w:rFonts w:ascii="宋体" w:hAnsi="宋体" w:eastAsia="宋体" w:cs="宋体"/>
          <w:color w:val="auto"/>
          <w:sz w:val="24"/>
          <w:szCs w:val="24"/>
          <w:highlight w:val="none"/>
        </w:rPr>
        <w:t>6.3</w:t>
      </w:r>
      <w:r>
        <w:rPr>
          <w:rFonts w:hint="eastAsia" w:ascii="宋体" w:hAnsi="宋体" w:eastAsia="宋体" w:cs="宋体"/>
          <w:color w:val="auto"/>
          <w:sz w:val="24"/>
          <w:szCs w:val="24"/>
          <w:highlight w:val="none"/>
        </w:rPr>
        <w:t>施工时间安排：上午</w:t>
      </w:r>
      <w:r>
        <w:rPr>
          <w:rFonts w:ascii="宋体" w:hAnsi="宋体" w:eastAsia="宋体" w:cs="宋体"/>
          <w:color w:val="auto"/>
          <w:sz w:val="24"/>
          <w:szCs w:val="24"/>
          <w:highlight w:val="none"/>
        </w:rPr>
        <w:t>7</w:t>
      </w: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00-12</w:t>
      </w: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00</w:t>
      </w:r>
      <w:r>
        <w:rPr>
          <w:rFonts w:hint="eastAsia" w:ascii="宋体" w:hAnsi="宋体" w:eastAsia="宋体" w:cs="宋体"/>
          <w:color w:val="auto"/>
          <w:sz w:val="24"/>
          <w:szCs w:val="24"/>
          <w:highlight w:val="none"/>
        </w:rPr>
        <w:t>，下午</w:t>
      </w:r>
      <w:r>
        <w:rPr>
          <w:rFonts w:ascii="宋体" w:hAnsi="宋体" w:eastAsia="宋体" w:cs="宋体"/>
          <w:color w:val="auto"/>
          <w:sz w:val="24"/>
          <w:szCs w:val="24"/>
          <w:highlight w:val="none"/>
        </w:rPr>
        <w:t>14</w:t>
      </w: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00-18</w:t>
      </w: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00</w:t>
      </w:r>
      <w:r>
        <w:rPr>
          <w:rFonts w:hint="eastAsia" w:ascii="宋体" w:hAnsi="宋体" w:eastAsia="宋体" w:cs="宋体"/>
          <w:color w:val="auto"/>
          <w:sz w:val="24"/>
          <w:szCs w:val="24"/>
          <w:highlight w:val="none"/>
        </w:rPr>
        <w:t>，施工时间如需变动，以甲方的书面或口头通知为准。</w:t>
      </w:r>
    </w:p>
    <w:p>
      <w:pPr>
        <w:spacing w:line="384" w:lineRule="auto"/>
        <w:ind w:firstLine="480" w:firstLineChars="200"/>
        <w:rPr>
          <w:rFonts w:ascii="宋体" w:hAnsi="宋体" w:eastAsia="宋体" w:cs="宋体"/>
          <w:color w:val="auto"/>
          <w:sz w:val="24"/>
          <w:szCs w:val="24"/>
          <w:highlight w:val="none"/>
        </w:rPr>
      </w:pPr>
      <w:r>
        <w:rPr>
          <w:rFonts w:ascii="宋体" w:hAnsi="宋体" w:eastAsia="宋体" w:cs="宋体"/>
          <w:color w:val="auto"/>
          <w:sz w:val="24"/>
          <w:szCs w:val="24"/>
          <w:highlight w:val="none"/>
        </w:rPr>
        <w:t>6.4</w:t>
      </w:r>
      <w:r>
        <w:rPr>
          <w:rFonts w:hint="eastAsia" w:ascii="宋体" w:hAnsi="宋体" w:eastAsia="宋体" w:cs="宋体"/>
          <w:color w:val="auto"/>
          <w:sz w:val="24"/>
          <w:szCs w:val="24"/>
          <w:highlight w:val="none"/>
        </w:rPr>
        <w:t>进场施工人员必须严格遵守</w:t>
      </w:r>
      <w:r>
        <w:rPr>
          <w:rFonts w:hint="eastAsia" w:ascii="宋体" w:hAnsi="宋体" w:eastAsia="宋体" w:cs="宋体"/>
          <w:color w:val="auto"/>
          <w:kern w:val="10"/>
          <w:sz w:val="24"/>
          <w:szCs w:val="24"/>
          <w:highlight w:val="none"/>
        </w:rPr>
        <w:t>污水处理厂</w:t>
      </w:r>
      <w:r>
        <w:rPr>
          <w:rFonts w:hint="eastAsia" w:ascii="宋体" w:hAnsi="宋体" w:eastAsia="宋体" w:cs="宋体"/>
          <w:color w:val="auto"/>
          <w:sz w:val="24"/>
          <w:szCs w:val="24"/>
          <w:highlight w:val="none"/>
        </w:rPr>
        <w:t>一切规章制度。进入施工现场人员必须佩戴出入证，并自觉接受门岗检查。</w:t>
      </w:r>
    </w:p>
    <w:p>
      <w:pPr>
        <w:snapToGrid w:val="0"/>
        <w:spacing w:line="384" w:lineRule="auto"/>
        <w:ind w:firstLine="480" w:firstLineChars="200"/>
        <w:rPr>
          <w:rFonts w:ascii="宋体" w:hAnsi="宋体" w:eastAsia="宋体" w:cs="宋体"/>
          <w:color w:val="auto"/>
          <w:sz w:val="24"/>
          <w:szCs w:val="24"/>
          <w:highlight w:val="none"/>
        </w:rPr>
      </w:pPr>
      <w:r>
        <w:rPr>
          <w:rFonts w:ascii="宋体" w:hAnsi="宋体" w:eastAsia="宋体" w:cs="宋体"/>
          <w:color w:val="auto"/>
          <w:sz w:val="24"/>
          <w:szCs w:val="24"/>
          <w:highlight w:val="none"/>
        </w:rPr>
        <w:t>6.5</w:t>
      </w:r>
      <w:r>
        <w:rPr>
          <w:rFonts w:hint="eastAsia" w:ascii="宋体" w:hAnsi="宋体" w:eastAsia="宋体" w:cs="宋体"/>
          <w:color w:val="auto"/>
          <w:sz w:val="24"/>
          <w:szCs w:val="24"/>
          <w:highlight w:val="none"/>
        </w:rPr>
        <w:t>环境保护要求：</w:t>
      </w:r>
    </w:p>
    <w:p>
      <w:pPr>
        <w:snapToGrid w:val="0"/>
        <w:spacing w:line="384"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1</w:t>
      </w:r>
      <w:r>
        <w:rPr>
          <w:rFonts w:hint="eastAsia" w:ascii="宋体" w:hAnsi="宋体" w:eastAsia="宋体" w:cs="宋体"/>
          <w:color w:val="auto"/>
          <w:sz w:val="24"/>
          <w:szCs w:val="24"/>
          <w:highlight w:val="none"/>
        </w:rPr>
        <w:t>）做好施工噪声、废气、废水等控制；</w:t>
      </w:r>
    </w:p>
    <w:p>
      <w:pPr>
        <w:snapToGrid w:val="0"/>
        <w:spacing w:line="384"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2</w:t>
      </w:r>
      <w:r>
        <w:rPr>
          <w:rFonts w:hint="eastAsia" w:ascii="宋体" w:hAnsi="宋体" w:eastAsia="宋体" w:cs="宋体"/>
          <w:color w:val="auto"/>
          <w:sz w:val="24"/>
          <w:szCs w:val="24"/>
          <w:highlight w:val="none"/>
        </w:rPr>
        <w:t>）按照国家及广州市相关规定做好建筑垃圾的处理。</w:t>
      </w:r>
    </w:p>
    <w:p>
      <w:pPr>
        <w:snapToGrid w:val="0"/>
        <w:spacing w:line="384" w:lineRule="auto"/>
        <w:ind w:firstLine="480" w:firstLineChars="200"/>
        <w:rPr>
          <w:rFonts w:ascii="宋体" w:hAnsi="宋体" w:eastAsia="宋体" w:cs="宋体"/>
          <w:color w:val="auto"/>
          <w:sz w:val="24"/>
          <w:szCs w:val="24"/>
          <w:highlight w:val="none"/>
        </w:rPr>
      </w:pPr>
      <w:r>
        <w:rPr>
          <w:rFonts w:ascii="宋体" w:hAnsi="宋体" w:eastAsia="宋体" w:cs="宋体"/>
          <w:color w:val="auto"/>
          <w:sz w:val="24"/>
          <w:szCs w:val="24"/>
          <w:highlight w:val="none"/>
        </w:rPr>
        <w:t>6.6</w:t>
      </w:r>
      <w:r>
        <w:rPr>
          <w:rFonts w:hint="eastAsia" w:ascii="宋体" w:hAnsi="宋体" w:eastAsia="宋体" w:cs="宋体"/>
          <w:color w:val="auto"/>
          <w:sz w:val="24"/>
          <w:szCs w:val="24"/>
          <w:highlight w:val="none"/>
        </w:rPr>
        <w:t>按相关法律法规及甲方相关作业施工管理要求执行。</w:t>
      </w:r>
    </w:p>
    <w:p>
      <w:pPr>
        <w:spacing w:line="384" w:lineRule="auto"/>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第七条 材料及设备供应</w:t>
      </w:r>
    </w:p>
    <w:p>
      <w:pPr>
        <w:spacing w:line="384" w:lineRule="auto"/>
        <w:ind w:firstLine="480" w:firstLineChars="2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本项目承包范围内所需的设备材料、成品、未成品、运输、保管、质量等责任均由乙方承担。甲方不提供材料。</w:t>
      </w:r>
    </w:p>
    <w:p>
      <w:pPr>
        <w:spacing w:line="384" w:lineRule="auto"/>
        <w:ind w:left="-2" w:leftChars="-1" w:firstLine="480" w:firstLineChars="200"/>
        <w:rPr>
          <w:rFonts w:ascii="宋体" w:hAnsi="宋体" w:eastAsia="宋体" w:cs="宋体"/>
          <w:color w:val="auto"/>
          <w:sz w:val="24"/>
          <w:szCs w:val="24"/>
          <w:highlight w:val="none"/>
        </w:rPr>
      </w:pPr>
      <w:r>
        <w:rPr>
          <w:rFonts w:ascii="宋体" w:hAnsi="宋体" w:eastAsia="宋体" w:cs="宋体"/>
          <w:color w:val="auto"/>
          <w:sz w:val="24"/>
          <w:szCs w:val="24"/>
          <w:highlight w:val="none"/>
        </w:rPr>
        <w:t>7.1</w:t>
      </w:r>
      <w:r>
        <w:rPr>
          <w:rFonts w:hint="eastAsia" w:ascii="宋体" w:hAnsi="宋体" w:eastAsia="宋体" w:cs="宋体"/>
          <w:color w:val="auto"/>
          <w:sz w:val="24"/>
          <w:szCs w:val="24"/>
          <w:highlight w:val="none"/>
        </w:rPr>
        <w:t>采购供应的材料、其名称、品种、型号、规格、质量等，均应符合国家、地方及行业有关规范及要求。</w:t>
      </w:r>
    </w:p>
    <w:p>
      <w:pPr>
        <w:spacing w:line="384" w:lineRule="auto"/>
        <w:ind w:left="657" w:leftChars="200" w:hanging="237" w:hangingChars="99"/>
        <w:rPr>
          <w:rFonts w:ascii="宋体" w:hAnsi="宋体" w:eastAsia="宋体" w:cs="宋体"/>
          <w:color w:val="auto"/>
          <w:sz w:val="24"/>
          <w:szCs w:val="24"/>
          <w:highlight w:val="none"/>
        </w:rPr>
      </w:pPr>
      <w:r>
        <w:rPr>
          <w:rFonts w:ascii="宋体" w:hAnsi="宋体" w:eastAsia="宋体" w:cs="宋体"/>
          <w:color w:val="auto"/>
          <w:sz w:val="24"/>
          <w:szCs w:val="24"/>
          <w:highlight w:val="none"/>
        </w:rPr>
        <w:t>7.2</w:t>
      </w:r>
      <w:r>
        <w:rPr>
          <w:rFonts w:hint="eastAsia" w:ascii="宋体" w:hAnsi="宋体" w:eastAsia="宋体" w:cs="宋体"/>
          <w:color w:val="auto"/>
          <w:sz w:val="24"/>
          <w:szCs w:val="24"/>
          <w:highlight w:val="none"/>
        </w:rPr>
        <w:t>所有材料必须具备合格证明，并保证产品的有效性。</w:t>
      </w:r>
    </w:p>
    <w:p>
      <w:pPr>
        <w:spacing w:line="384" w:lineRule="auto"/>
        <w:ind w:firstLine="480" w:firstLineChars="200"/>
        <w:rPr>
          <w:rFonts w:ascii="宋体" w:hAnsi="宋体" w:eastAsia="宋体" w:cs="宋体"/>
          <w:color w:val="auto"/>
          <w:sz w:val="24"/>
          <w:szCs w:val="24"/>
          <w:highlight w:val="none"/>
        </w:rPr>
      </w:pPr>
      <w:r>
        <w:rPr>
          <w:rFonts w:ascii="宋体" w:hAnsi="宋体" w:eastAsia="宋体" w:cs="宋体"/>
          <w:color w:val="auto"/>
          <w:sz w:val="24"/>
          <w:szCs w:val="24"/>
          <w:highlight w:val="none"/>
        </w:rPr>
        <w:t>7.3</w:t>
      </w:r>
      <w:r>
        <w:rPr>
          <w:rFonts w:hint="eastAsia" w:ascii="宋体" w:hAnsi="宋体" w:eastAsia="宋体" w:cs="宋体"/>
          <w:color w:val="auto"/>
          <w:sz w:val="24"/>
          <w:szCs w:val="24"/>
          <w:highlight w:val="none"/>
        </w:rPr>
        <w:t>由于乙方提供的伪劣、假冒等所有不合格材料而导致的损失、事故及一切后果，均由乙方负责并赔偿甲方所有损失，并负责更换所有已施工的不合格材料。</w:t>
      </w:r>
    </w:p>
    <w:p>
      <w:pPr>
        <w:tabs>
          <w:tab w:val="left" w:pos="360"/>
        </w:tabs>
        <w:spacing w:line="384" w:lineRule="auto"/>
        <w:ind w:firstLine="480" w:firstLineChars="200"/>
        <w:rPr>
          <w:rFonts w:ascii="宋体" w:hAnsi="宋体" w:eastAsia="宋体" w:cs="宋体"/>
          <w:color w:val="auto"/>
          <w:sz w:val="24"/>
          <w:szCs w:val="24"/>
          <w:highlight w:val="none"/>
        </w:rPr>
      </w:pPr>
      <w:r>
        <w:rPr>
          <w:rFonts w:ascii="宋体" w:hAnsi="宋体" w:eastAsia="宋体" w:cs="宋体"/>
          <w:color w:val="auto"/>
          <w:sz w:val="24"/>
          <w:szCs w:val="24"/>
          <w:highlight w:val="none"/>
        </w:rPr>
        <w:t>7.4</w:t>
      </w:r>
      <w:r>
        <w:rPr>
          <w:rFonts w:hint="eastAsia" w:ascii="宋体" w:hAnsi="宋体" w:eastAsia="宋体" w:cs="宋体"/>
          <w:color w:val="auto"/>
          <w:sz w:val="24"/>
          <w:szCs w:val="24"/>
          <w:highlight w:val="none"/>
        </w:rPr>
        <w:t>乙方必须根据投标文件</w:t>
      </w:r>
      <w:r>
        <w:rPr>
          <w:rFonts w:ascii="宋体" w:hAnsi="宋体" w:eastAsia="宋体" w:cs="宋体"/>
          <w:color w:val="auto"/>
          <w:sz w:val="24"/>
          <w:szCs w:val="24"/>
          <w:highlight w:val="none"/>
        </w:rPr>
        <w:t>/</w:t>
      </w:r>
      <w:r>
        <w:rPr>
          <w:rFonts w:hint="eastAsia" w:ascii="宋体" w:hAnsi="宋体" w:eastAsia="宋体" w:cs="宋体"/>
          <w:color w:val="auto"/>
          <w:sz w:val="24"/>
          <w:szCs w:val="24"/>
          <w:highlight w:val="none"/>
        </w:rPr>
        <w:t>询价响应文件（如有）上主要材料的明细（包括厂家、规格、品质等级等）提供材料。工程实施时，如发现材料不一致，甲方有权拒用，造成损失由乙方承担。</w:t>
      </w:r>
    </w:p>
    <w:p>
      <w:pPr>
        <w:spacing w:line="384" w:lineRule="auto"/>
        <w:ind w:left="-2" w:leftChars="-1" w:firstLine="480" w:firstLineChars="200"/>
        <w:rPr>
          <w:rFonts w:ascii="宋体" w:hAnsi="宋体" w:eastAsia="宋体" w:cs="宋体"/>
          <w:color w:val="auto"/>
          <w:sz w:val="24"/>
          <w:szCs w:val="24"/>
          <w:highlight w:val="none"/>
        </w:rPr>
      </w:pPr>
      <w:r>
        <w:rPr>
          <w:rFonts w:ascii="宋体" w:hAnsi="宋体" w:eastAsia="宋体" w:cs="宋体"/>
          <w:color w:val="auto"/>
          <w:sz w:val="24"/>
          <w:szCs w:val="24"/>
          <w:highlight w:val="none"/>
        </w:rPr>
        <w:t xml:space="preserve">7.5 </w:t>
      </w:r>
      <w:r>
        <w:rPr>
          <w:rFonts w:hint="eastAsia" w:ascii="宋体" w:hAnsi="宋体" w:eastAsia="宋体" w:cs="宋体"/>
          <w:color w:val="auto"/>
          <w:sz w:val="24"/>
          <w:szCs w:val="24"/>
          <w:highlight w:val="none"/>
        </w:rPr>
        <w:t>甲方有权对施工质量进行监督、检查或检验，也可自行委托第三方进行质量检验，甲方或第三方的检验结果作为最终的质量评定结果。</w:t>
      </w:r>
    </w:p>
    <w:p>
      <w:pPr>
        <w:spacing w:line="384" w:lineRule="auto"/>
        <w:ind w:firstLine="480" w:firstLineChars="200"/>
        <w:rPr>
          <w:rFonts w:ascii="宋体" w:hAnsi="宋体" w:eastAsia="宋体" w:cs="宋体"/>
          <w:color w:val="auto"/>
          <w:sz w:val="24"/>
          <w:szCs w:val="24"/>
          <w:highlight w:val="none"/>
        </w:rPr>
      </w:pPr>
      <w:r>
        <w:rPr>
          <w:rFonts w:ascii="宋体" w:hAnsi="宋体" w:eastAsia="宋体" w:cs="宋体"/>
          <w:color w:val="auto"/>
          <w:sz w:val="24"/>
          <w:szCs w:val="24"/>
          <w:highlight w:val="none"/>
        </w:rPr>
        <w:t xml:space="preserve">7.6 </w:t>
      </w:r>
      <w:r>
        <w:rPr>
          <w:rFonts w:hint="eastAsia" w:ascii="宋体" w:hAnsi="宋体" w:eastAsia="宋体" w:cs="宋体"/>
          <w:color w:val="auto"/>
          <w:sz w:val="24"/>
          <w:szCs w:val="24"/>
          <w:highlight w:val="none"/>
        </w:rPr>
        <w:t>承包范围之内工程所用之设备，由乙方提供。</w:t>
      </w:r>
    </w:p>
    <w:p>
      <w:pPr>
        <w:spacing w:line="384" w:lineRule="auto"/>
        <w:rPr>
          <w:rFonts w:ascii="宋体" w:hAnsi="宋体" w:eastAsia="宋体" w:cs="宋体"/>
          <w:color w:val="auto"/>
          <w:sz w:val="24"/>
          <w:szCs w:val="24"/>
          <w:highlight w:val="none"/>
        </w:rPr>
      </w:pPr>
      <w:r>
        <w:rPr>
          <w:rFonts w:hint="eastAsia" w:ascii="宋体" w:hAnsi="宋体" w:eastAsia="宋体" w:cs="宋体"/>
          <w:b/>
          <w:bCs/>
          <w:color w:val="auto"/>
          <w:sz w:val="24"/>
          <w:szCs w:val="24"/>
          <w:highlight w:val="none"/>
        </w:rPr>
        <w:t>第八条付</w:t>
      </w:r>
      <w:r>
        <w:rPr>
          <w:rFonts w:hint="eastAsia" w:ascii="宋体" w:hAnsi="宋体" w:eastAsia="宋体" w:cs="宋体"/>
          <w:b/>
          <w:color w:val="auto"/>
          <w:sz w:val="24"/>
          <w:szCs w:val="24"/>
          <w:highlight w:val="none"/>
        </w:rPr>
        <w:t>款及履约担保</w:t>
      </w:r>
    </w:p>
    <w:p>
      <w:pPr>
        <w:spacing w:line="384" w:lineRule="auto"/>
        <w:ind w:firstLine="480" w:firstLineChars="200"/>
        <w:rPr>
          <w:rFonts w:ascii="宋体" w:hAnsi="宋体" w:cs="宋体"/>
          <w:bCs/>
          <w:color w:val="auto"/>
          <w:sz w:val="24"/>
          <w:highlight w:val="none"/>
          <w:u w:val="single"/>
        </w:rPr>
      </w:pPr>
      <w:r>
        <w:rPr>
          <w:rFonts w:ascii="宋体" w:hAnsi="宋体" w:cs="宋体"/>
          <w:color w:val="auto"/>
          <w:sz w:val="24"/>
          <w:highlight w:val="none"/>
        </w:rPr>
        <w:t>8.1</w:t>
      </w:r>
      <w:r>
        <w:rPr>
          <w:rFonts w:hint="eastAsia" w:ascii="宋体" w:hAnsi="宋体" w:cs="宋体"/>
          <w:bCs/>
          <w:color w:val="auto"/>
          <w:sz w:val="24"/>
          <w:highlight w:val="none"/>
        </w:rPr>
        <w:t>预付款的支付：</w:t>
      </w:r>
      <w:r>
        <w:rPr>
          <w:rFonts w:ascii="宋体" w:hAnsi="宋体" w:cs="宋体"/>
          <w:bCs/>
          <w:color w:val="auto"/>
          <w:sz w:val="24"/>
          <w:highlight w:val="none"/>
        </w:rPr>
        <w:sym w:font="Wingdings" w:char="F0A8"/>
      </w:r>
      <w:r>
        <w:rPr>
          <w:rFonts w:hint="eastAsia" w:ascii="宋体" w:hAnsi="宋体" w:cs="宋体"/>
          <w:bCs/>
          <w:color w:val="auto"/>
          <w:sz w:val="24"/>
          <w:highlight w:val="none"/>
        </w:rPr>
        <w:t>无；</w:t>
      </w:r>
      <w:r>
        <w:rPr>
          <w:rFonts w:ascii="宋体" w:hAnsi="宋体" w:cs="宋体"/>
          <w:bCs/>
          <w:color w:val="auto"/>
          <w:sz w:val="24"/>
          <w:highlight w:val="none"/>
        </w:rPr>
        <w:sym w:font="Wingdings" w:char="00FE"/>
      </w:r>
      <w:r>
        <w:rPr>
          <w:rFonts w:hint="eastAsia" w:ascii="宋体" w:hAnsi="宋体" w:cs="宋体"/>
          <w:bCs/>
          <w:color w:val="auto"/>
          <w:sz w:val="24"/>
          <w:highlight w:val="none"/>
        </w:rPr>
        <w:t>有,合同签订后，乙方开具等额的增值税专用发票及提交履约担保担保（如有）后</w:t>
      </w:r>
      <w:r>
        <w:rPr>
          <w:rFonts w:ascii="宋体" w:hAnsi="宋体" w:cs="宋体"/>
          <w:bCs/>
          <w:color w:val="auto"/>
          <w:sz w:val="24"/>
          <w:highlight w:val="none"/>
          <w:u w:val="single"/>
        </w:rPr>
        <w:t xml:space="preserve"> 10 </w:t>
      </w:r>
      <w:r>
        <w:rPr>
          <w:rFonts w:hint="eastAsia" w:ascii="宋体" w:hAnsi="宋体" w:cs="宋体"/>
          <w:bCs/>
          <w:color w:val="auto"/>
          <w:sz w:val="24"/>
          <w:highlight w:val="none"/>
        </w:rPr>
        <w:t>个工作日内，甲方支付合同</w:t>
      </w:r>
      <w:r>
        <w:rPr>
          <w:rFonts w:hint="eastAsia" w:ascii="宋体" w:hAnsi="宋体" w:cs="宋体"/>
          <w:color w:val="auto"/>
          <w:sz w:val="24"/>
          <w:highlight w:val="none"/>
        </w:rPr>
        <w:t>暂定总价</w:t>
      </w:r>
      <w:r>
        <w:rPr>
          <w:rFonts w:hint="eastAsia" w:ascii="宋体" w:hAnsi="宋体" w:cs="宋体"/>
          <w:bCs/>
          <w:color w:val="auto"/>
          <w:sz w:val="24"/>
          <w:highlight w:val="none"/>
        </w:rPr>
        <w:t>的</w:t>
      </w:r>
      <w:r>
        <w:rPr>
          <w:rFonts w:hint="eastAsia" w:ascii="宋体" w:hAnsi="宋体" w:cs="宋体"/>
          <w:bCs/>
          <w:color w:val="auto"/>
          <w:sz w:val="24"/>
          <w:highlight w:val="none"/>
          <w:u w:val="single"/>
        </w:rPr>
        <w:t>（不得超过</w:t>
      </w:r>
      <w:r>
        <w:rPr>
          <w:rFonts w:ascii="宋体" w:hAnsi="宋体" w:cs="宋体"/>
          <w:bCs/>
          <w:color w:val="auto"/>
          <w:sz w:val="24"/>
          <w:highlight w:val="none"/>
          <w:u w:val="single"/>
        </w:rPr>
        <w:t>30%</w:t>
      </w:r>
      <w:r>
        <w:rPr>
          <w:rFonts w:hint="eastAsia" w:ascii="宋体" w:hAnsi="宋体" w:cs="宋体"/>
          <w:bCs/>
          <w:color w:val="auto"/>
          <w:sz w:val="24"/>
          <w:highlight w:val="none"/>
          <w:u w:val="single"/>
        </w:rPr>
        <w:t>）</w:t>
      </w:r>
      <w:r>
        <w:rPr>
          <w:rFonts w:hint="eastAsia" w:ascii="宋体" w:hAnsi="宋体" w:cs="宋体"/>
          <w:color w:val="auto"/>
          <w:sz w:val="24"/>
          <w:highlight w:val="none"/>
        </w:rPr>
        <w:t>即</w:t>
      </w:r>
      <w:r>
        <w:rPr>
          <w:rFonts w:hint="eastAsia" w:ascii="宋体" w:hAnsi="宋体" w:cs="宋体"/>
          <w:color w:val="auto"/>
          <w:sz w:val="24"/>
          <w:highlight w:val="none"/>
          <w:lang w:eastAsia="zh-CN"/>
        </w:rPr>
        <w:t>…</w:t>
      </w:r>
      <w:r>
        <w:rPr>
          <w:rFonts w:hint="eastAsia" w:ascii="宋体" w:hAnsi="宋体" w:cs="宋体"/>
          <w:color w:val="auto"/>
          <w:sz w:val="24"/>
          <w:highlight w:val="none"/>
          <w:u w:val="single"/>
        </w:rPr>
        <w:t>元，（大写：</w:t>
      </w:r>
      <w:r>
        <w:rPr>
          <w:rFonts w:hint="eastAsia" w:ascii="宋体" w:hAnsi="宋体" w:cs="宋体"/>
          <w:color w:val="auto"/>
          <w:sz w:val="24"/>
          <w:highlight w:val="none"/>
          <w:u w:val="single"/>
          <w:lang w:eastAsia="zh-CN"/>
        </w:rPr>
        <w:t>…</w:t>
      </w:r>
      <w:r>
        <w:rPr>
          <w:rFonts w:hint="eastAsia" w:ascii="宋体" w:hAnsi="宋体" w:cs="宋体"/>
          <w:color w:val="auto"/>
          <w:sz w:val="24"/>
          <w:highlight w:val="none"/>
          <w:u w:val="single"/>
        </w:rPr>
        <w:t>）</w:t>
      </w:r>
      <w:r>
        <w:rPr>
          <w:rFonts w:hint="eastAsia" w:ascii="宋体" w:hAnsi="宋体" w:cs="宋体"/>
          <w:bCs/>
          <w:color w:val="auto"/>
          <w:sz w:val="24"/>
          <w:highlight w:val="none"/>
        </w:rPr>
        <w:t>作为预付款。</w:t>
      </w:r>
      <w:r>
        <w:rPr>
          <w:rFonts w:hint="eastAsia" w:ascii="宋体" w:hAnsi="宋体" w:cs="宋体"/>
          <w:color w:val="auto"/>
          <w:sz w:val="24"/>
          <w:highlight w:val="none"/>
        </w:rPr>
        <w:t>若合同解除或终止，乙方在</w:t>
      </w:r>
      <w:r>
        <w:rPr>
          <w:rFonts w:ascii="宋体" w:hAnsi="宋体" w:cs="宋体"/>
          <w:color w:val="auto"/>
          <w:sz w:val="24"/>
          <w:highlight w:val="none"/>
          <w:u w:val="single"/>
        </w:rPr>
        <w:t xml:space="preserve"> 5 </w:t>
      </w:r>
      <w:r>
        <w:rPr>
          <w:rFonts w:hint="eastAsia" w:ascii="宋体" w:hAnsi="宋体" w:cs="宋体"/>
          <w:color w:val="auto"/>
          <w:sz w:val="24"/>
          <w:highlight w:val="none"/>
        </w:rPr>
        <w:t>个工作日内返还预付款（无息）。</w:t>
      </w:r>
      <w:r>
        <w:rPr>
          <w:rFonts w:hint="eastAsia" w:ascii="宋体" w:hAnsi="宋体" w:cs="宋体"/>
          <w:bCs/>
          <w:color w:val="auto"/>
          <w:kern w:val="0"/>
          <w:sz w:val="24"/>
          <w:highlight w:val="none"/>
        </w:rPr>
        <w:t>逾期未返还，每逾期一天，乙方应按合同暂定总价的</w:t>
      </w:r>
      <w:r>
        <w:rPr>
          <w:rFonts w:hint="eastAsia" w:ascii="宋体" w:hAnsi="宋体" w:cs="宋体"/>
          <w:bCs/>
          <w:color w:val="auto"/>
          <w:kern w:val="0"/>
          <w:sz w:val="24"/>
          <w:highlight w:val="none"/>
          <w:u w:val="single"/>
        </w:rPr>
        <w:t>万分之五</w:t>
      </w:r>
      <w:r>
        <w:rPr>
          <w:rFonts w:ascii="宋体" w:hAnsi="宋体" w:cs="宋体"/>
          <w:bCs/>
          <w:color w:val="auto"/>
          <w:kern w:val="0"/>
          <w:sz w:val="24"/>
          <w:highlight w:val="none"/>
          <w:u w:val="single"/>
        </w:rPr>
        <w:t>/</w:t>
      </w:r>
      <w:r>
        <w:rPr>
          <w:rFonts w:hint="eastAsia" w:ascii="宋体" w:hAnsi="宋体" w:cs="宋体"/>
          <w:bCs/>
          <w:color w:val="auto"/>
          <w:kern w:val="0"/>
          <w:sz w:val="24"/>
          <w:highlight w:val="none"/>
          <w:u w:val="single"/>
        </w:rPr>
        <w:t>天</w:t>
      </w:r>
      <w:r>
        <w:rPr>
          <w:rFonts w:hint="eastAsia" w:ascii="宋体" w:hAnsi="宋体" w:cs="宋体"/>
          <w:bCs/>
          <w:color w:val="auto"/>
          <w:kern w:val="0"/>
          <w:sz w:val="24"/>
          <w:highlight w:val="none"/>
        </w:rPr>
        <w:t>支付违约金</w:t>
      </w:r>
      <w:r>
        <w:rPr>
          <w:rFonts w:hint="eastAsia" w:ascii="宋体" w:hAnsi="宋体" w:cs="宋体"/>
          <w:color w:val="auto"/>
          <w:sz w:val="24"/>
          <w:highlight w:val="none"/>
        </w:rPr>
        <w:t>。</w:t>
      </w:r>
    </w:p>
    <w:p>
      <w:pPr>
        <w:pStyle w:val="12"/>
        <w:spacing w:line="384" w:lineRule="auto"/>
        <w:ind w:firstLine="480" w:firstLineChars="200"/>
        <w:outlineLvl w:val="1"/>
        <w:rPr>
          <w:rFonts w:hint="eastAsia" w:hAnsi="宋体" w:eastAsia="宋体" w:cs="宋体"/>
          <w:color w:val="auto"/>
          <w:sz w:val="24"/>
          <w:szCs w:val="24"/>
          <w:highlight w:val="none"/>
          <w:u w:val="single"/>
          <w:lang w:val="en-US" w:eastAsia="zh-CN"/>
        </w:rPr>
      </w:pPr>
      <w:r>
        <w:rPr>
          <w:rFonts w:hAnsi="宋体" w:cs="宋体"/>
          <w:color w:val="auto"/>
          <w:sz w:val="24"/>
          <w:szCs w:val="24"/>
          <w:highlight w:val="none"/>
        </w:rPr>
        <w:t>8.2</w:t>
      </w:r>
      <w:r>
        <w:rPr>
          <w:rFonts w:hint="eastAsia" w:hAnsi="宋体" w:cs="宋体"/>
          <w:color w:val="auto"/>
          <w:sz w:val="24"/>
          <w:szCs w:val="24"/>
          <w:highlight w:val="none"/>
          <w:u w:val="single"/>
        </w:rPr>
        <w:t>乙方完成 设备到货且经甲方验收合格，由乙方提交申请支付资料 20 个工作日内，甲方支付至合同暂定总价的 60%即    元，（大写：       ）。</w:t>
      </w:r>
    </w:p>
    <w:p>
      <w:pPr>
        <w:tabs>
          <w:tab w:val="left" w:pos="0"/>
        </w:tabs>
        <w:adjustRightInd w:val="0"/>
        <w:snapToGrid w:val="0"/>
        <w:spacing w:line="360" w:lineRule="auto"/>
        <w:ind w:firstLine="480" w:firstLineChars="200"/>
        <w:jc w:val="left"/>
        <w:rPr>
          <w:rFonts w:hint="eastAsia" w:ascii="宋体" w:hAnsi="宋体" w:cs="宋体"/>
          <w:color w:val="auto"/>
          <w:sz w:val="24"/>
          <w:highlight w:val="none"/>
          <w:u w:val="single"/>
          <w:lang w:val="en-US" w:eastAsia="zh-CN"/>
        </w:rPr>
      </w:pPr>
      <w:r>
        <w:rPr>
          <w:rFonts w:ascii="宋体" w:hAnsi="宋体" w:cs="宋体"/>
          <w:color w:val="auto"/>
          <w:sz w:val="24"/>
          <w:highlight w:val="none"/>
        </w:rPr>
        <w:t>8.2.1</w:t>
      </w:r>
      <w:r>
        <w:rPr>
          <w:rFonts w:hint="eastAsia" w:ascii="宋体" w:hAnsi="宋体" w:cs="宋体"/>
          <w:color w:val="auto"/>
          <w:sz w:val="24"/>
          <w:highlight w:val="none"/>
          <w:u w:val="single"/>
          <w:lang w:val="en-US" w:eastAsia="zh-CN"/>
        </w:rPr>
        <w:t>乙方完成系统建设且经甲方验收合格后 15日内，由乙方提交申请支付资料 20 个工作日内，甲方支付至合同暂定总价的 80%即       元，（大写：       ）。乙方提交工作总结报告，经甲方或甲方委托有资质第三方机构结算审核后，由乙方提交申请支付资料 15个工作日内，甲方支付至合同结算价的95%。</w:t>
      </w:r>
    </w:p>
    <w:p>
      <w:pPr>
        <w:spacing w:line="384" w:lineRule="auto"/>
        <w:ind w:firstLine="480" w:firstLineChars="200"/>
        <w:outlineLvl w:val="1"/>
        <w:rPr>
          <w:rFonts w:hint="eastAsia" w:hAnsi="宋体" w:cs="宋体"/>
          <w:color w:val="auto"/>
          <w:sz w:val="24"/>
          <w:highlight w:val="none"/>
        </w:rPr>
      </w:pPr>
      <w:r>
        <w:rPr>
          <w:rFonts w:ascii="宋体" w:hAnsi="宋体" w:cs="宋体"/>
          <w:color w:val="auto"/>
          <w:sz w:val="24"/>
          <w:highlight w:val="none"/>
        </w:rPr>
        <w:t>8.2.</w:t>
      </w:r>
      <w:r>
        <w:rPr>
          <w:rFonts w:hint="eastAsia" w:ascii="宋体" w:hAnsi="宋体" w:cs="宋体"/>
          <w:color w:val="auto"/>
          <w:sz w:val="24"/>
          <w:highlight w:val="none"/>
        </w:rPr>
        <w:t>2</w:t>
      </w:r>
      <w:r>
        <w:rPr>
          <w:rFonts w:hint="eastAsia" w:hAnsi="宋体" w:cs="宋体"/>
          <w:color w:val="auto"/>
          <w:sz w:val="24"/>
          <w:highlight w:val="none"/>
        </w:rPr>
        <w:t>质保期按合同第十条规定执行，质保期满后且乙方不存在违约情形，由乙方提交申请质保金退还资料</w:t>
      </w:r>
      <w:r>
        <w:rPr>
          <w:rFonts w:hAnsi="宋体" w:cs="宋体"/>
          <w:color w:val="auto"/>
          <w:sz w:val="24"/>
          <w:highlight w:val="none"/>
          <w:u w:val="single"/>
        </w:rPr>
        <w:t xml:space="preserve"> 15 </w:t>
      </w:r>
      <w:r>
        <w:rPr>
          <w:rFonts w:hint="eastAsia" w:hAnsi="宋体" w:cs="宋体"/>
          <w:color w:val="auto"/>
          <w:sz w:val="24"/>
          <w:highlight w:val="none"/>
        </w:rPr>
        <w:t>个工作日内，甲方支付合同结算价的</w:t>
      </w:r>
      <w:r>
        <w:rPr>
          <w:rFonts w:hAnsi="宋体" w:cs="宋体"/>
          <w:color w:val="auto"/>
          <w:sz w:val="24"/>
          <w:highlight w:val="none"/>
        </w:rPr>
        <w:t>5</w:t>
      </w:r>
      <w:r>
        <w:rPr>
          <w:rFonts w:hint="eastAsia" w:hAnsi="宋体" w:cs="宋体"/>
          <w:color w:val="auto"/>
          <w:sz w:val="24"/>
          <w:highlight w:val="none"/>
        </w:rPr>
        <w:t>％（质保金）给乙方（无息）。</w:t>
      </w:r>
    </w:p>
    <w:p>
      <w:pPr>
        <w:pStyle w:val="12"/>
        <w:spacing w:line="384" w:lineRule="auto"/>
        <w:ind w:firstLine="480" w:firstLineChars="200"/>
        <w:outlineLvl w:val="1"/>
        <w:rPr>
          <w:rFonts w:hint="default" w:hAnsi="宋体" w:eastAsia="宋体" w:cs="宋体"/>
          <w:color w:val="auto"/>
          <w:sz w:val="24"/>
          <w:szCs w:val="24"/>
          <w:highlight w:val="none"/>
          <w:lang w:val="en-US" w:eastAsia="zh-CN"/>
        </w:rPr>
      </w:pPr>
      <w:r>
        <w:rPr>
          <w:rFonts w:hint="eastAsia" w:hAnsi="宋体" w:cs="宋体"/>
          <w:color w:val="auto"/>
          <w:sz w:val="24"/>
          <w:szCs w:val="24"/>
          <w:highlight w:val="none"/>
          <w:lang w:val="en-US" w:eastAsia="zh-CN"/>
        </w:rPr>
        <w:t>8.2.3</w:t>
      </w:r>
      <w:r>
        <w:rPr>
          <w:rFonts w:hint="eastAsia" w:hAnsi="宋体" w:cs="宋体"/>
          <w:color w:val="auto"/>
          <w:sz w:val="24"/>
          <w:szCs w:val="24"/>
          <w:highlight w:val="none"/>
        </w:rPr>
        <w:t>本项目工程款的支付单位为：</w:t>
      </w:r>
      <w:r>
        <w:rPr>
          <w:rFonts w:hint="eastAsia" w:hAnsi="宋体" w:cs="宋体"/>
          <w:color w:val="auto"/>
          <w:sz w:val="24"/>
          <w:szCs w:val="24"/>
          <w:highlight w:val="none"/>
          <w:u w:val="single"/>
          <w:lang w:val="en-US" w:eastAsia="zh-CN"/>
        </w:rPr>
        <w:t xml:space="preserve"> … </w:t>
      </w:r>
    </w:p>
    <w:p>
      <w:pPr>
        <w:spacing w:line="384" w:lineRule="auto"/>
        <w:ind w:firstLine="480" w:firstLineChars="200"/>
        <w:rPr>
          <w:rFonts w:ascii="宋体" w:hAnsi="宋体" w:cs="宋体"/>
          <w:color w:val="auto"/>
          <w:sz w:val="24"/>
          <w:highlight w:val="none"/>
          <w:u w:val="single"/>
        </w:rPr>
      </w:pPr>
      <w:r>
        <w:rPr>
          <w:rFonts w:ascii="宋体" w:hAnsi="宋体" w:cs="宋体"/>
          <w:color w:val="auto"/>
          <w:sz w:val="24"/>
          <w:highlight w:val="none"/>
        </w:rPr>
        <w:t>8.3</w:t>
      </w:r>
      <w:r>
        <w:rPr>
          <w:rFonts w:hint="eastAsia" w:ascii="宋体" w:hAnsi="宋体" w:cs="宋体"/>
          <w:color w:val="auto"/>
          <w:sz w:val="24"/>
          <w:highlight w:val="none"/>
        </w:rPr>
        <w:t>乙方收款账户：</w:t>
      </w:r>
      <w:r>
        <w:rPr>
          <w:rFonts w:hint="eastAsia" w:ascii="宋体" w:hAnsi="宋体" w:cs="宋体"/>
          <w:color w:val="auto"/>
          <w:sz w:val="24"/>
          <w:highlight w:val="none"/>
          <w:u w:val="single"/>
          <w:lang w:eastAsia="zh-CN"/>
        </w:rPr>
        <w:t>…</w:t>
      </w:r>
      <w:r>
        <w:rPr>
          <w:rFonts w:hint="eastAsia" w:ascii="宋体" w:hAnsi="宋体" w:cs="宋体"/>
          <w:color w:val="auto"/>
          <w:sz w:val="24"/>
          <w:highlight w:val="none"/>
          <w:u w:val="single"/>
        </w:rPr>
        <w:t>；</w:t>
      </w:r>
    </w:p>
    <w:p>
      <w:pPr>
        <w:spacing w:line="384"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收款账号：</w:t>
      </w:r>
      <w:r>
        <w:rPr>
          <w:rFonts w:hint="eastAsia" w:ascii="宋体" w:hAnsi="宋体" w:cs="宋体"/>
          <w:color w:val="auto"/>
          <w:sz w:val="24"/>
          <w:highlight w:val="none"/>
          <w:u w:val="single"/>
          <w:lang w:eastAsia="zh-CN"/>
        </w:rPr>
        <w:t>…</w:t>
      </w:r>
      <w:r>
        <w:rPr>
          <w:rFonts w:hint="eastAsia" w:ascii="宋体" w:hAnsi="宋体" w:cs="宋体"/>
          <w:color w:val="auto"/>
          <w:sz w:val="24"/>
          <w:highlight w:val="none"/>
          <w:u w:val="single"/>
        </w:rPr>
        <w:t>；</w:t>
      </w:r>
    </w:p>
    <w:p>
      <w:pPr>
        <w:spacing w:line="384" w:lineRule="auto"/>
        <w:ind w:firstLine="480" w:firstLineChars="200"/>
        <w:rPr>
          <w:rFonts w:ascii="宋体" w:hAnsi="宋体" w:cs="宋体"/>
          <w:color w:val="auto"/>
          <w:sz w:val="24"/>
          <w:highlight w:val="none"/>
          <w:u w:val="single"/>
        </w:rPr>
      </w:pPr>
      <w:r>
        <w:rPr>
          <w:rFonts w:hint="eastAsia" w:ascii="宋体" w:hAnsi="宋体" w:cs="宋体"/>
          <w:color w:val="auto"/>
          <w:sz w:val="24"/>
          <w:highlight w:val="none"/>
        </w:rPr>
        <w:t>开户行：</w:t>
      </w:r>
      <w:r>
        <w:rPr>
          <w:rFonts w:hint="eastAsia" w:ascii="宋体" w:hAnsi="宋体" w:cs="宋体"/>
          <w:color w:val="auto"/>
          <w:sz w:val="24"/>
          <w:highlight w:val="none"/>
          <w:u w:val="single"/>
          <w:lang w:eastAsia="zh-CN"/>
        </w:rPr>
        <w:t>…</w:t>
      </w:r>
      <w:r>
        <w:rPr>
          <w:rFonts w:hint="eastAsia" w:ascii="宋体" w:hAnsi="宋体" w:cs="宋体"/>
          <w:color w:val="auto"/>
          <w:sz w:val="24"/>
          <w:highlight w:val="none"/>
          <w:u w:val="single"/>
        </w:rPr>
        <w:t>；</w:t>
      </w:r>
    </w:p>
    <w:p>
      <w:pPr>
        <w:spacing w:line="384" w:lineRule="auto"/>
        <w:ind w:firstLine="480" w:firstLineChars="200"/>
        <w:rPr>
          <w:rFonts w:ascii="宋体" w:hAnsi="宋体" w:cs="宋体"/>
          <w:color w:val="auto"/>
          <w:sz w:val="24"/>
          <w:highlight w:val="none"/>
        </w:rPr>
      </w:pPr>
      <w:r>
        <w:rPr>
          <w:rFonts w:ascii="宋体" w:hAnsi="宋体" w:cs="宋体"/>
          <w:color w:val="auto"/>
          <w:sz w:val="24"/>
          <w:highlight w:val="none"/>
        </w:rPr>
        <w:t>8.4</w:t>
      </w:r>
      <w:r>
        <w:rPr>
          <w:rFonts w:hint="eastAsia" w:ascii="宋体" w:hAnsi="宋体" w:cs="宋体"/>
          <w:color w:val="auto"/>
          <w:sz w:val="24"/>
          <w:highlight w:val="none"/>
        </w:rPr>
        <w:t>乙方在收款前需提交等额增值税专用发票给甲方。增值税专用发票信息：</w:t>
      </w:r>
    </w:p>
    <w:p>
      <w:pPr>
        <w:spacing w:line="384" w:lineRule="auto"/>
        <w:ind w:firstLine="480" w:firstLineChars="200"/>
        <w:outlineLvl w:val="0"/>
        <w:rPr>
          <w:rFonts w:hint="default" w:ascii="宋体" w:hAnsi="宋体" w:eastAsia="宋体" w:cs="宋体"/>
          <w:color w:val="auto"/>
          <w:sz w:val="24"/>
          <w:highlight w:val="none"/>
          <w:lang w:val="en-US" w:eastAsia="zh-CN"/>
        </w:rPr>
      </w:pPr>
      <w:r>
        <w:rPr>
          <w:rFonts w:hint="eastAsia" w:ascii="宋体" w:hAnsi="宋体" w:cs="宋体"/>
          <w:color w:val="auto"/>
          <w:sz w:val="24"/>
          <w:highlight w:val="none"/>
          <w:lang w:val="en-US" w:eastAsia="zh-CN"/>
        </w:rPr>
        <w:t xml:space="preserve"> </w:t>
      </w:r>
      <w:r>
        <w:rPr>
          <w:rFonts w:hint="eastAsia" w:ascii="宋体" w:hAnsi="宋体" w:cs="宋体"/>
          <w:color w:val="auto"/>
          <w:sz w:val="24"/>
          <w:highlight w:val="none"/>
          <w:u w:val="single"/>
          <w:lang w:val="en-US" w:eastAsia="zh-CN"/>
        </w:rPr>
        <w:t xml:space="preserve">                        。</w:t>
      </w:r>
    </w:p>
    <w:p>
      <w:pPr>
        <w:spacing w:line="384" w:lineRule="auto"/>
        <w:ind w:firstLine="480" w:firstLineChars="200"/>
        <w:outlineLvl w:val="0"/>
        <w:rPr>
          <w:rFonts w:ascii="宋体" w:hAnsi="宋体" w:cs="宋体"/>
          <w:color w:val="auto"/>
          <w:sz w:val="24"/>
          <w:highlight w:val="none"/>
        </w:rPr>
      </w:pPr>
      <w:r>
        <w:rPr>
          <w:rFonts w:ascii="宋体" w:hAnsi="宋体" w:cs="宋体"/>
          <w:color w:val="auto"/>
          <w:sz w:val="24"/>
          <w:highlight w:val="none"/>
        </w:rPr>
        <w:t>8.5</w:t>
      </w:r>
      <w:r>
        <w:rPr>
          <w:rFonts w:hint="eastAsia" w:ascii="宋体" w:hAnsi="宋体" w:cs="宋体"/>
          <w:color w:val="auto"/>
          <w:sz w:val="24"/>
          <w:highlight w:val="none"/>
        </w:rPr>
        <w:t>履约担保：</w:t>
      </w:r>
      <w:r>
        <w:rPr>
          <w:rFonts w:hint="eastAsia" w:ascii="宋体" w:hAnsi="宋体" w:cs="宋体"/>
          <w:color w:val="auto"/>
          <w:szCs w:val="21"/>
          <w:highlight w:val="none"/>
        </w:rPr>
        <w:t>□</w:t>
      </w:r>
      <w:r>
        <w:rPr>
          <w:rFonts w:hint="eastAsia" w:ascii="宋体" w:hAnsi="宋体" w:cs="宋体"/>
          <w:bCs/>
          <w:color w:val="auto"/>
          <w:sz w:val="24"/>
          <w:highlight w:val="none"/>
        </w:rPr>
        <w:t>无；</w:t>
      </w:r>
      <w:r>
        <w:rPr>
          <w:rFonts w:hint="eastAsia" w:ascii="宋体" w:hAnsi="宋体" w:cs="宋体"/>
          <w:color w:val="auto"/>
          <w:szCs w:val="21"/>
          <w:highlight w:val="none"/>
        </w:rPr>
        <w:sym w:font="Wingdings 2" w:char="0052"/>
      </w:r>
      <w:r>
        <w:rPr>
          <w:rFonts w:hint="eastAsia" w:ascii="宋体" w:hAnsi="宋体" w:cs="宋体"/>
          <w:color w:val="auto"/>
          <w:szCs w:val="21"/>
          <w:highlight w:val="none"/>
        </w:rPr>
        <w:t>有,</w:t>
      </w:r>
      <w:r>
        <w:rPr>
          <w:rFonts w:hint="eastAsia" w:ascii="宋体" w:hAnsi="宋体" w:cs="宋体"/>
          <w:color w:val="auto"/>
          <w:sz w:val="24"/>
          <w:highlight w:val="none"/>
        </w:rPr>
        <w:t>本合同签订后</w:t>
      </w:r>
      <w:r>
        <w:rPr>
          <w:rFonts w:ascii="宋体" w:hAnsi="宋体" w:cs="宋体"/>
          <w:color w:val="auto"/>
          <w:sz w:val="24"/>
          <w:highlight w:val="none"/>
        </w:rPr>
        <w:t>10</w:t>
      </w:r>
      <w:r>
        <w:rPr>
          <w:rFonts w:hint="eastAsia" w:ascii="宋体" w:hAnsi="宋体" w:cs="宋体"/>
          <w:color w:val="auto"/>
          <w:sz w:val="24"/>
          <w:highlight w:val="none"/>
        </w:rPr>
        <w:t>日内</w:t>
      </w:r>
      <w:r>
        <w:rPr>
          <w:rFonts w:hint="eastAsia" w:ascii="宋体" w:hAnsi="宋体" w:cs="宋体"/>
          <w:color w:val="auto"/>
          <w:sz w:val="24"/>
          <w:highlight w:val="none"/>
          <w:u w:val="single"/>
        </w:rPr>
        <w:t>以合同暂定总价的</w:t>
      </w:r>
      <w:r>
        <w:rPr>
          <w:rFonts w:ascii="宋体" w:hAnsi="宋体" w:cs="宋体"/>
          <w:color w:val="auto"/>
          <w:sz w:val="24"/>
          <w:highlight w:val="none"/>
          <w:u w:val="single"/>
        </w:rPr>
        <w:t>10%</w:t>
      </w:r>
      <w:r>
        <w:rPr>
          <w:rFonts w:hint="eastAsia" w:ascii="宋体" w:hAnsi="宋体" w:cs="宋体"/>
          <w:color w:val="auto"/>
          <w:sz w:val="24"/>
          <w:highlight w:val="none"/>
          <w:u w:val="single"/>
        </w:rPr>
        <w:t>作为履约保证金，</w:t>
      </w:r>
      <w:r>
        <w:rPr>
          <w:rFonts w:hint="eastAsia" w:ascii="宋体" w:hAnsi="宋体" w:cs="宋体"/>
          <w:color w:val="auto"/>
          <w:sz w:val="24"/>
          <w:highlight w:val="none"/>
        </w:rPr>
        <w:t>金额为：</w:t>
      </w:r>
      <w:r>
        <w:rPr>
          <w:rFonts w:hint="eastAsia" w:ascii="宋体" w:hAnsi="宋体" w:cs="宋体"/>
          <w:color w:val="auto"/>
          <w:sz w:val="24"/>
          <w:highlight w:val="none"/>
          <w:lang w:eastAsia="zh-CN"/>
        </w:rPr>
        <w:t>…</w:t>
      </w:r>
      <w:r>
        <w:rPr>
          <w:rFonts w:hint="eastAsia" w:ascii="宋体" w:hAnsi="宋体" w:cs="宋体"/>
          <w:color w:val="auto"/>
          <w:sz w:val="24"/>
          <w:highlight w:val="none"/>
          <w:u w:val="single"/>
        </w:rPr>
        <w:t>（大写人民币：</w:t>
      </w:r>
      <w:r>
        <w:rPr>
          <w:rFonts w:hint="eastAsia" w:ascii="宋体" w:hAnsi="宋体" w:cs="宋体"/>
          <w:color w:val="auto"/>
          <w:sz w:val="24"/>
          <w:highlight w:val="none"/>
          <w:u w:val="single"/>
          <w:lang w:eastAsia="zh-CN"/>
        </w:rPr>
        <w:t>…</w:t>
      </w:r>
      <w:r>
        <w:rPr>
          <w:rFonts w:hint="eastAsia" w:ascii="宋体" w:hAnsi="宋体" w:cs="宋体"/>
          <w:color w:val="auto"/>
          <w:sz w:val="24"/>
          <w:highlight w:val="none"/>
          <w:u w:val="single"/>
        </w:rPr>
        <w:t>），</w:t>
      </w:r>
      <w:r>
        <w:rPr>
          <w:rFonts w:hint="eastAsia" w:ascii="宋体" w:hAnsi="宋体" w:cs="宋体"/>
          <w:color w:val="auto"/>
          <w:sz w:val="24"/>
          <w:highlight w:val="none"/>
        </w:rPr>
        <w:t>未按时提供的，甲方有权解除合同并要求乙方支付</w:t>
      </w:r>
      <w:r>
        <w:rPr>
          <w:rFonts w:hint="eastAsia" w:ascii="宋体" w:hAnsi="宋体" w:cs="宋体"/>
          <w:color w:val="auto"/>
          <w:sz w:val="24"/>
          <w:highlight w:val="none"/>
          <w:u w:val="single"/>
        </w:rPr>
        <w:t>合同暂定总价</w:t>
      </w:r>
      <w:r>
        <w:rPr>
          <w:rFonts w:ascii="宋体" w:hAnsi="宋体" w:cs="宋体"/>
          <w:color w:val="auto"/>
          <w:sz w:val="24"/>
          <w:highlight w:val="none"/>
          <w:u w:val="single"/>
        </w:rPr>
        <w:t>20%</w:t>
      </w:r>
      <w:r>
        <w:rPr>
          <w:rFonts w:hint="eastAsia" w:ascii="宋体" w:hAnsi="宋体" w:cs="宋体"/>
          <w:color w:val="auto"/>
          <w:sz w:val="24"/>
          <w:highlight w:val="none"/>
        </w:rPr>
        <w:t>作为违约金。</w:t>
      </w:r>
    </w:p>
    <w:p>
      <w:pPr>
        <w:pStyle w:val="20"/>
        <w:spacing w:before="0" w:beforeAutospacing="0" w:after="0" w:afterAutospacing="0" w:line="384" w:lineRule="auto"/>
        <w:ind w:firstLine="480" w:firstLineChars="200"/>
        <w:rPr>
          <w:color w:val="auto"/>
          <w:highlight w:val="none"/>
        </w:rPr>
      </w:pPr>
      <w:r>
        <w:rPr>
          <w:rFonts w:cs="宋体"/>
          <w:color w:val="auto"/>
          <w:highlight w:val="none"/>
        </w:rPr>
        <w:t>8.5.1</w:t>
      </w:r>
      <w:r>
        <w:rPr>
          <w:color w:val="auto"/>
          <w:highlight w:val="none"/>
        </w:rPr>
        <w:t>履约担保</w:t>
      </w:r>
      <w:r>
        <w:rPr>
          <w:rFonts w:hint="eastAsia"/>
          <w:color w:val="auto"/>
          <w:highlight w:val="none"/>
        </w:rPr>
        <w:t>按以下任一种形式提供</w:t>
      </w:r>
      <w:r>
        <w:rPr>
          <w:color w:val="auto"/>
          <w:highlight w:val="none"/>
        </w:rPr>
        <w:t>：</w:t>
      </w:r>
    </w:p>
    <w:p>
      <w:pPr>
        <w:pStyle w:val="20"/>
        <w:spacing w:before="0" w:beforeAutospacing="0" w:after="0" w:afterAutospacing="0" w:line="360" w:lineRule="auto"/>
        <w:ind w:firstLine="480"/>
        <w:rPr>
          <w:color w:val="auto"/>
          <w:highlight w:val="none"/>
        </w:rPr>
      </w:pPr>
      <w:r>
        <w:rPr>
          <w:rFonts w:hint="eastAsia"/>
          <w:color w:val="auto"/>
          <w:highlight w:val="none"/>
        </w:rPr>
        <w:t>（1）符合甲方要求（详见附件7保函格式）的银行独立保函，</w:t>
      </w:r>
    </w:p>
    <w:p>
      <w:pPr>
        <w:pStyle w:val="20"/>
        <w:spacing w:before="0" w:beforeAutospacing="0" w:after="0" w:afterAutospacing="0" w:line="360" w:lineRule="auto"/>
        <w:ind w:firstLine="480"/>
        <w:rPr>
          <w:color w:val="auto"/>
          <w:highlight w:val="none"/>
        </w:rPr>
      </w:pPr>
      <w:r>
        <w:rPr>
          <w:rFonts w:hint="eastAsia"/>
          <w:color w:val="auto"/>
          <w:highlight w:val="none"/>
        </w:rPr>
        <w:t>（2）现金转账至甲方以下指定账户：</w:t>
      </w:r>
    </w:p>
    <w:p>
      <w:pPr>
        <w:tabs>
          <w:tab w:val="left" w:pos="1995"/>
        </w:tabs>
        <w:spacing w:line="384"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户名：广州市净水有限公司</w:t>
      </w:r>
    </w:p>
    <w:p>
      <w:pPr>
        <w:tabs>
          <w:tab w:val="left" w:pos="1995"/>
        </w:tabs>
        <w:spacing w:line="384"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账号：</w:t>
      </w:r>
      <w:r>
        <w:rPr>
          <w:rFonts w:ascii="宋体" w:hAnsi="宋体" w:cs="宋体"/>
          <w:bCs/>
          <w:color w:val="auto"/>
          <w:sz w:val="24"/>
          <w:highlight w:val="none"/>
        </w:rPr>
        <w:t>82010154900000342</w:t>
      </w:r>
    </w:p>
    <w:p>
      <w:pPr>
        <w:tabs>
          <w:tab w:val="left" w:pos="1995"/>
        </w:tabs>
        <w:spacing w:line="384" w:lineRule="auto"/>
        <w:ind w:firstLine="480" w:firstLineChars="200"/>
        <w:rPr>
          <w:rFonts w:ascii="宋体" w:hAnsi="宋体" w:cs="宋体"/>
          <w:bCs/>
          <w:color w:val="auto"/>
          <w:sz w:val="24"/>
          <w:highlight w:val="none"/>
        </w:rPr>
      </w:pPr>
      <w:r>
        <w:rPr>
          <w:rFonts w:hint="eastAsia" w:ascii="宋体" w:hAnsi="宋体" w:cs="宋体"/>
          <w:bCs/>
          <w:color w:val="auto"/>
          <w:sz w:val="24"/>
          <w:highlight w:val="none"/>
        </w:rPr>
        <w:t>开户行：浦发银行广州分行</w:t>
      </w:r>
    </w:p>
    <w:p>
      <w:pPr>
        <w:spacing w:line="384" w:lineRule="auto"/>
        <w:ind w:firstLine="480" w:firstLineChars="200"/>
        <w:outlineLvl w:val="0"/>
        <w:rPr>
          <w:rFonts w:ascii="宋体" w:hAnsi="宋体" w:cs="宋体"/>
          <w:color w:val="auto"/>
          <w:sz w:val="24"/>
          <w:highlight w:val="none"/>
        </w:rPr>
      </w:pPr>
      <w:r>
        <w:rPr>
          <w:rFonts w:ascii="宋体" w:hAnsi="宋体" w:cs="宋体"/>
          <w:color w:val="auto"/>
          <w:sz w:val="24"/>
          <w:highlight w:val="none"/>
        </w:rPr>
        <w:t>8.5.2</w:t>
      </w:r>
      <w:r>
        <w:rPr>
          <w:rFonts w:hint="eastAsia" w:ascii="宋体" w:hAnsi="宋体" w:cs="宋体"/>
          <w:color w:val="auto"/>
          <w:sz w:val="24"/>
          <w:highlight w:val="none"/>
        </w:rPr>
        <w:t>履约担保的担保期限和返还</w:t>
      </w:r>
    </w:p>
    <w:p>
      <w:pPr>
        <w:spacing w:line="384" w:lineRule="auto"/>
        <w:ind w:firstLine="480"/>
        <w:outlineLvl w:val="0"/>
        <w:rPr>
          <w:rFonts w:ascii="宋体" w:hAnsi="宋体" w:cs="宋体"/>
          <w:color w:val="auto"/>
          <w:sz w:val="24"/>
          <w:highlight w:val="none"/>
        </w:rPr>
      </w:pPr>
      <w:r>
        <w:rPr>
          <w:rFonts w:hint="eastAsia" w:ascii="宋体" w:hAnsi="宋体" w:cs="宋体"/>
          <w:color w:val="auto"/>
          <w:sz w:val="24"/>
          <w:highlight w:val="none"/>
        </w:rPr>
        <w:t>⑴履约银行保函（或现金履约保证金）的担保期限：从提供履约担保（或转账成功）之日起至合同履行完成。</w:t>
      </w:r>
    </w:p>
    <w:p>
      <w:pPr>
        <w:spacing w:line="384" w:lineRule="auto"/>
        <w:ind w:firstLine="480" w:firstLineChars="200"/>
        <w:rPr>
          <w:rFonts w:ascii="宋体" w:hAnsi="宋体" w:cs="宋体"/>
          <w:color w:val="auto"/>
          <w:sz w:val="24"/>
          <w:highlight w:val="none"/>
        </w:rPr>
      </w:pPr>
      <w:r>
        <w:rPr>
          <w:rFonts w:hint="eastAsia" w:ascii="宋体" w:hAnsi="宋体" w:cs="宋体"/>
          <w:color w:val="auto"/>
          <w:sz w:val="24"/>
          <w:highlight w:val="none"/>
        </w:rPr>
        <w:t>⑵履约银行保函在合同履行完成后，由乙方提出申请，甲方在28日内返还，不支付利息：</w:t>
      </w:r>
    </w:p>
    <w:p>
      <w:pPr>
        <w:spacing w:line="384" w:lineRule="auto"/>
        <w:ind w:firstLine="600" w:firstLineChars="250"/>
        <w:outlineLvl w:val="0"/>
        <w:rPr>
          <w:rFonts w:ascii="宋体" w:hAnsi="宋体" w:cs="宋体"/>
          <w:color w:val="auto"/>
          <w:sz w:val="24"/>
          <w:highlight w:val="none"/>
        </w:rPr>
      </w:pPr>
      <w:r>
        <w:rPr>
          <w:rFonts w:hint="eastAsia" w:ascii="宋体" w:hAnsi="宋体" w:cs="宋体"/>
          <w:color w:val="auto"/>
          <w:sz w:val="24"/>
          <w:highlight w:val="none"/>
        </w:rPr>
        <w:t>⑶延长担保期限。乙方以履约银行保函形式提交履约保证金的，在银行保函到期前，乙方应提前</w:t>
      </w:r>
      <w:r>
        <w:rPr>
          <w:rFonts w:ascii="宋体" w:hAnsi="宋体" w:cs="宋体"/>
          <w:color w:val="auto"/>
          <w:sz w:val="24"/>
          <w:highlight w:val="none"/>
          <w:u w:val="single"/>
        </w:rPr>
        <w:t xml:space="preserve"> 7 </w:t>
      </w:r>
      <w:r>
        <w:rPr>
          <w:rFonts w:hint="eastAsia" w:ascii="宋体" w:hAnsi="宋体" w:cs="宋体"/>
          <w:color w:val="auto"/>
          <w:sz w:val="24"/>
          <w:highlight w:val="none"/>
        </w:rPr>
        <w:t>日向甲方提交新的保函以替换即将到期的保函。如乙方未及时提交的，甲方有权直接要求担保银行支付其担保的全部金额并解除合同。</w:t>
      </w:r>
    </w:p>
    <w:p>
      <w:pPr>
        <w:pStyle w:val="20"/>
        <w:spacing w:before="0" w:beforeAutospacing="0" w:after="0" w:afterAutospacing="0" w:line="384" w:lineRule="auto"/>
        <w:ind w:left="199" w:leftChars="95" w:firstLine="360" w:firstLineChars="150"/>
        <w:rPr>
          <w:rFonts w:cs="宋体"/>
          <w:color w:val="auto"/>
          <w:highlight w:val="none"/>
          <w:u w:val="single"/>
        </w:rPr>
      </w:pPr>
      <w:r>
        <w:rPr>
          <w:rFonts w:hint="eastAsia" w:cs="宋体"/>
          <w:color w:val="auto"/>
          <w:highlight w:val="none"/>
        </w:rPr>
        <w:t>（</w:t>
      </w:r>
      <w:r>
        <w:rPr>
          <w:rFonts w:cs="宋体"/>
          <w:color w:val="auto"/>
          <w:highlight w:val="none"/>
        </w:rPr>
        <w:t>4</w:t>
      </w:r>
      <w:r>
        <w:rPr>
          <w:rFonts w:hint="eastAsia" w:cs="宋体"/>
          <w:color w:val="auto"/>
          <w:highlight w:val="none"/>
        </w:rPr>
        <w:t>）现金履约保证金的退还：合同履行完成后，由乙方提出申请，甲方在</w:t>
      </w:r>
      <w:r>
        <w:rPr>
          <w:rFonts w:hint="eastAsia" w:cs="宋体"/>
          <w:color w:val="auto"/>
          <w:highlight w:val="none"/>
          <w:u w:val="single"/>
        </w:rPr>
        <w:t>28日</w:t>
      </w:r>
      <w:r>
        <w:rPr>
          <w:rFonts w:hint="eastAsia" w:cs="宋体"/>
          <w:color w:val="auto"/>
          <w:highlight w:val="none"/>
        </w:rPr>
        <w:t>内将剩余保证金（无息）返还。</w:t>
      </w:r>
    </w:p>
    <w:p>
      <w:pPr>
        <w:spacing w:line="384" w:lineRule="auto"/>
        <w:ind w:firstLine="480" w:firstLineChars="200"/>
        <w:rPr>
          <w:rFonts w:ascii="宋体" w:hAnsi="宋体" w:cs="宋体"/>
          <w:color w:val="auto"/>
          <w:sz w:val="24"/>
          <w:highlight w:val="none"/>
        </w:rPr>
      </w:pPr>
      <w:r>
        <w:rPr>
          <w:rFonts w:ascii="宋体" w:hAnsi="宋体" w:cs="宋体"/>
          <w:color w:val="auto"/>
          <w:sz w:val="24"/>
          <w:highlight w:val="none"/>
        </w:rPr>
        <w:t>8.5.3</w:t>
      </w:r>
      <w:r>
        <w:rPr>
          <w:rFonts w:hint="eastAsia" w:ascii="宋体" w:hAnsi="宋体" w:cs="宋体"/>
          <w:color w:val="auto"/>
          <w:sz w:val="24"/>
          <w:highlight w:val="none"/>
        </w:rPr>
        <w:t>甲方按本合同规定提取履约担保金额后，乙方应在收到甲方通知后</w:t>
      </w:r>
    </w:p>
    <w:p>
      <w:pPr>
        <w:spacing w:line="384" w:lineRule="auto"/>
        <w:rPr>
          <w:rFonts w:ascii="宋体" w:hAnsi="宋体" w:cs="宋体"/>
          <w:color w:val="auto"/>
          <w:sz w:val="24"/>
          <w:highlight w:val="none"/>
        </w:rPr>
      </w:pPr>
      <w:r>
        <w:rPr>
          <w:rFonts w:ascii="宋体" w:hAnsi="宋体" w:cs="宋体"/>
          <w:color w:val="auto"/>
          <w:sz w:val="24"/>
          <w:highlight w:val="none"/>
          <w:u w:val="single"/>
        </w:rPr>
        <w:t xml:space="preserve">  7  </w:t>
      </w:r>
      <w:r>
        <w:rPr>
          <w:rFonts w:hint="eastAsia" w:ascii="宋体" w:hAnsi="宋体" w:cs="宋体"/>
          <w:color w:val="auto"/>
          <w:sz w:val="24"/>
          <w:highlight w:val="none"/>
        </w:rPr>
        <w:t>日内补足数额，逾期未补足的，则甲方有权提取履约担保的全部余额并解除合同。</w:t>
      </w:r>
    </w:p>
    <w:p>
      <w:pPr>
        <w:tabs>
          <w:tab w:val="left" w:pos="851"/>
        </w:tabs>
        <w:adjustRightInd w:val="0"/>
        <w:snapToGrid w:val="0"/>
        <w:spacing w:line="360" w:lineRule="auto"/>
        <w:ind w:firstLine="480" w:firstLineChars="200"/>
        <w:jc w:val="left"/>
        <w:outlineLvl w:val="1"/>
        <w:rPr>
          <w:rFonts w:asciiTheme="minorEastAsia" w:hAnsiTheme="minorEastAsia" w:eastAsiaTheme="minorEastAsia" w:cstheme="minorEastAsia"/>
          <w:bCs/>
          <w:color w:val="auto"/>
          <w:sz w:val="24"/>
          <w:highlight w:val="none"/>
          <w:bdr w:val="single" w:color="auto" w:sz="4" w:space="0"/>
        </w:rPr>
      </w:pPr>
      <w:r>
        <w:rPr>
          <w:rFonts w:hAnsi="宋体" w:cs="宋体"/>
          <w:color w:val="auto"/>
          <w:sz w:val="24"/>
          <w:highlight w:val="none"/>
        </w:rPr>
        <w:t>8.6</w:t>
      </w:r>
      <w:r>
        <w:rPr>
          <w:rFonts w:hint="eastAsia" w:asciiTheme="minorEastAsia" w:hAnsiTheme="minorEastAsia" w:eastAsiaTheme="minorEastAsia" w:cstheme="minorEastAsia"/>
          <w:color w:val="auto"/>
          <w:sz w:val="24"/>
          <w:highlight w:val="none"/>
        </w:rPr>
        <w:t xml:space="preserve">付款方式： </w:t>
      </w:r>
      <w:r>
        <w:rPr>
          <w:rFonts w:hint="eastAsia" w:asciiTheme="minorEastAsia" w:hAnsiTheme="minorEastAsia" w:eastAsiaTheme="minorEastAsia" w:cstheme="minorEastAsia"/>
          <w:color w:val="auto"/>
          <w:sz w:val="24"/>
          <w:highlight w:val="none"/>
        </w:rPr>
        <w:sym w:font="Wingdings" w:char="00FE"/>
      </w:r>
      <w:r>
        <w:rPr>
          <w:rFonts w:hint="eastAsia" w:asciiTheme="minorEastAsia" w:hAnsiTheme="minorEastAsia" w:eastAsiaTheme="minorEastAsia" w:cstheme="minorEastAsia"/>
          <w:color w:val="auto"/>
          <w:sz w:val="24"/>
          <w:highlight w:val="none"/>
        </w:rPr>
        <w:t xml:space="preserve">网银支付；  </w:t>
      </w:r>
      <w:r>
        <w:rPr>
          <w:rFonts w:hint="eastAsia" w:asciiTheme="minorEastAsia" w:hAnsiTheme="minorEastAsia" w:eastAsiaTheme="minorEastAsia" w:cstheme="minorEastAsia"/>
          <w:color w:val="auto"/>
          <w:sz w:val="24"/>
          <w:highlight w:val="none"/>
        </w:rPr>
        <w:sym w:font="Wingdings" w:char="00A8"/>
      </w:r>
      <w:r>
        <w:rPr>
          <w:rFonts w:hint="eastAsia" w:asciiTheme="minorEastAsia" w:hAnsiTheme="minorEastAsia" w:eastAsiaTheme="minorEastAsia" w:cstheme="minorEastAsia"/>
          <w:color w:val="auto"/>
          <w:sz w:val="24"/>
          <w:highlight w:val="none"/>
        </w:rPr>
        <w:t xml:space="preserve">支票；   </w:t>
      </w:r>
      <w:r>
        <w:rPr>
          <w:rFonts w:hint="eastAsia" w:asciiTheme="minorEastAsia" w:hAnsiTheme="minorEastAsia" w:eastAsiaTheme="minorEastAsia" w:cstheme="minorEastAsia"/>
          <w:color w:val="auto"/>
          <w:sz w:val="24"/>
          <w:highlight w:val="none"/>
        </w:rPr>
        <w:sym w:font="Wingdings" w:char="00A8"/>
      </w:r>
      <w:r>
        <w:rPr>
          <w:rFonts w:hint="eastAsia" w:asciiTheme="minorEastAsia" w:hAnsiTheme="minorEastAsia" w:eastAsiaTheme="minorEastAsia" w:cstheme="minorEastAsia"/>
          <w:color w:val="auto"/>
          <w:sz w:val="24"/>
          <w:highlight w:val="none"/>
        </w:rPr>
        <w:t>其他：</w:t>
      </w:r>
    </w:p>
    <w:p>
      <w:pPr>
        <w:pStyle w:val="12"/>
        <w:spacing w:line="384" w:lineRule="auto"/>
        <w:ind w:firstLine="720" w:firstLineChars="300"/>
        <w:outlineLvl w:val="1"/>
        <w:rPr>
          <w:rFonts w:hint="eastAsia" w:hAnsi="宋体" w:cs="宋体"/>
          <w:color w:val="auto"/>
          <w:sz w:val="24"/>
          <w:szCs w:val="24"/>
          <w:highlight w:val="none"/>
        </w:rPr>
      </w:pPr>
      <w:r>
        <w:rPr>
          <w:rFonts w:hint="eastAsia" w:hAnsi="宋体" w:cs="宋体"/>
          <w:color w:val="auto"/>
          <w:sz w:val="24"/>
          <w:szCs w:val="24"/>
          <w:highlight w:val="none"/>
        </w:rPr>
        <w:t>（建议采用网银支付</w:t>
      </w:r>
      <w:r>
        <w:rPr>
          <w:rFonts w:hint="eastAsia" w:hAnsi="宋体" w:cs="宋体"/>
          <w:color w:val="auto"/>
          <w:sz w:val="24"/>
          <w:highlight w:val="none"/>
        </w:rPr>
        <w:t>、</w:t>
      </w:r>
      <w:r>
        <w:rPr>
          <w:rFonts w:hint="eastAsia" w:hAnsi="宋体" w:cs="宋体"/>
          <w:color w:val="auto"/>
          <w:sz w:val="24"/>
          <w:szCs w:val="24"/>
          <w:highlight w:val="none"/>
        </w:rPr>
        <w:t>支票两种形式</w:t>
      </w:r>
      <w:r>
        <w:rPr>
          <w:rFonts w:hint="eastAsia" w:hAnsi="宋体" w:cs="宋体"/>
          <w:color w:val="auto"/>
          <w:sz w:val="24"/>
          <w:highlight w:val="none"/>
        </w:rPr>
        <w:t>中之一</w:t>
      </w:r>
      <w:r>
        <w:rPr>
          <w:rFonts w:hint="eastAsia" w:hAnsi="宋体" w:cs="宋体"/>
          <w:color w:val="auto"/>
          <w:sz w:val="24"/>
          <w:szCs w:val="24"/>
          <w:highlight w:val="none"/>
        </w:rPr>
        <w:t>）。</w:t>
      </w:r>
    </w:p>
    <w:p>
      <w:pPr>
        <w:spacing w:line="384" w:lineRule="auto"/>
        <w:ind w:firstLine="482" w:firstLineChars="200"/>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第九条竣工验收</w:t>
      </w:r>
    </w:p>
    <w:p>
      <w:pPr>
        <w:spacing w:line="384" w:lineRule="auto"/>
        <w:ind w:firstLine="480" w:firstLineChars="200"/>
        <w:rPr>
          <w:rFonts w:ascii="宋体" w:hAnsi="宋体" w:eastAsia="宋体" w:cs="宋体"/>
          <w:color w:val="auto"/>
          <w:sz w:val="24"/>
          <w:szCs w:val="24"/>
          <w:highlight w:val="none"/>
        </w:rPr>
      </w:pPr>
      <w:r>
        <w:rPr>
          <w:rFonts w:ascii="宋体" w:hAnsi="宋体" w:eastAsia="宋体" w:cs="宋体"/>
          <w:color w:val="auto"/>
          <w:sz w:val="24"/>
          <w:szCs w:val="24"/>
          <w:highlight w:val="none"/>
        </w:rPr>
        <w:t>9.1</w:t>
      </w:r>
      <w:r>
        <w:rPr>
          <w:rFonts w:hint="eastAsia" w:ascii="宋体" w:hAnsi="宋体" w:eastAsia="宋体" w:cs="宋体"/>
          <w:color w:val="auto"/>
          <w:sz w:val="24"/>
          <w:szCs w:val="24"/>
          <w:highlight w:val="none"/>
        </w:rPr>
        <w:t>乙方应在工程完工后</w:t>
      </w:r>
      <w:r>
        <w:rPr>
          <w:rFonts w:ascii="宋体" w:hAnsi="宋体" w:eastAsia="宋体" w:cs="宋体"/>
          <w:color w:val="auto"/>
          <w:sz w:val="24"/>
          <w:szCs w:val="24"/>
          <w:highlight w:val="none"/>
        </w:rPr>
        <w:t>30</w:t>
      </w:r>
      <w:r>
        <w:rPr>
          <w:rFonts w:hint="eastAsia" w:ascii="宋体" w:hAnsi="宋体" w:eastAsia="宋体" w:cs="宋体"/>
          <w:color w:val="auto"/>
          <w:sz w:val="24"/>
          <w:szCs w:val="24"/>
          <w:highlight w:val="none"/>
        </w:rPr>
        <w:t>天内将经甲方审核的完整竣工资料（含竣工图）和竣工验收报告各</w:t>
      </w:r>
      <w:r>
        <w:rPr>
          <w:rFonts w:hint="eastAsia" w:ascii="宋体" w:hAnsi="宋体" w:eastAsia="宋体" w:cs="宋体"/>
          <w:color w:val="auto"/>
          <w:sz w:val="24"/>
          <w:szCs w:val="24"/>
          <w:highlight w:val="none"/>
          <w:u w:val="single"/>
        </w:rPr>
        <w:t>一式四份</w:t>
      </w:r>
      <w:r>
        <w:rPr>
          <w:rFonts w:hint="eastAsia" w:ascii="宋体" w:hAnsi="宋体" w:eastAsia="宋体" w:cs="宋体"/>
          <w:color w:val="auto"/>
          <w:sz w:val="24"/>
          <w:szCs w:val="24"/>
          <w:highlight w:val="none"/>
        </w:rPr>
        <w:t>交甲方，不按时报送工程竣工资料的，每逾期一天，甲方要求乙方支付</w:t>
      </w:r>
      <w:r>
        <w:rPr>
          <w:rFonts w:hint="eastAsia" w:ascii="宋体" w:hAnsi="宋体" w:eastAsia="宋体" w:cs="宋体"/>
          <w:color w:val="auto"/>
          <w:sz w:val="24"/>
          <w:szCs w:val="24"/>
          <w:highlight w:val="none"/>
          <w:u w:val="single"/>
        </w:rPr>
        <w:t>合同暂定总价</w:t>
      </w:r>
      <w:r>
        <w:rPr>
          <w:rFonts w:hint="eastAsia" w:ascii="宋体" w:hAnsi="宋体" w:eastAsia="宋体" w:cs="宋体"/>
          <w:bCs/>
          <w:color w:val="auto"/>
          <w:sz w:val="24"/>
          <w:szCs w:val="24"/>
          <w:highlight w:val="none"/>
          <w:u w:val="single"/>
        </w:rPr>
        <w:t>万分之五</w:t>
      </w:r>
      <w:r>
        <w:rPr>
          <w:rFonts w:ascii="宋体" w:hAnsi="宋体" w:eastAsia="宋体" w:cs="宋体"/>
          <w:bCs/>
          <w:color w:val="auto"/>
          <w:sz w:val="24"/>
          <w:szCs w:val="24"/>
          <w:highlight w:val="none"/>
          <w:u w:val="single"/>
        </w:rPr>
        <w:t>/</w:t>
      </w:r>
      <w:r>
        <w:rPr>
          <w:rFonts w:hint="eastAsia" w:ascii="宋体" w:hAnsi="宋体" w:eastAsia="宋体" w:cs="宋体"/>
          <w:bCs/>
          <w:color w:val="auto"/>
          <w:sz w:val="24"/>
          <w:szCs w:val="24"/>
          <w:highlight w:val="none"/>
          <w:u w:val="single"/>
        </w:rPr>
        <w:t>天</w:t>
      </w:r>
      <w:r>
        <w:rPr>
          <w:rFonts w:hint="eastAsia" w:ascii="宋体" w:hAnsi="宋体" w:eastAsia="宋体" w:cs="宋体"/>
          <w:color w:val="auto"/>
          <w:sz w:val="24"/>
          <w:szCs w:val="24"/>
          <w:highlight w:val="none"/>
        </w:rPr>
        <w:t>，并在支付合同款时抵扣。</w:t>
      </w:r>
    </w:p>
    <w:p>
      <w:pPr>
        <w:spacing w:line="384" w:lineRule="auto"/>
        <w:ind w:firstLine="480" w:firstLineChars="200"/>
        <w:rPr>
          <w:rFonts w:ascii="宋体" w:hAnsi="宋体" w:eastAsia="宋体" w:cs="宋体"/>
          <w:color w:val="auto"/>
          <w:sz w:val="24"/>
          <w:szCs w:val="24"/>
          <w:highlight w:val="none"/>
        </w:rPr>
      </w:pPr>
      <w:r>
        <w:rPr>
          <w:rFonts w:ascii="宋体" w:hAnsi="宋体" w:eastAsia="宋体" w:cs="宋体"/>
          <w:color w:val="auto"/>
          <w:sz w:val="24"/>
          <w:szCs w:val="24"/>
          <w:highlight w:val="none"/>
        </w:rPr>
        <w:t>9.2</w:t>
      </w:r>
      <w:r>
        <w:rPr>
          <w:rFonts w:hint="eastAsia" w:ascii="宋体" w:hAnsi="宋体" w:eastAsia="宋体" w:cs="宋体"/>
          <w:color w:val="auto"/>
          <w:sz w:val="24"/>
          <w:szCs w:val="24"/>
          <w:highlight w:val="none"/>
        </w:rPr>
        <w:t>甲方收到完整的竣工验收资料（完整的竣工验收资料：施工方案、开工</w:t>
      </w:r>
      <w:r>
        <w:rPr>
          <w:rFonts w:ascii="宋体" w:hAnsi="宋体" w:eastAsia="宋体" w:cs="宋体"/>
          <w:color w:val="auto"/>
          <w:sz w:val="24"/>
          <w:szCs w:val="24"/>
          <w:highlight w:val="none"/>
        </w:rPr>
        <w:t>/</w:t>
      </w:r>
      <w:r>
        <w:rPr>
          <w:rFonts w:hint="eastAsia" w:ascii="宋体" w:hAnsi="宋体" w:eastAsia="宋体" w:cs="宋体"/>
          <w:color w:val="auto"/>
          <w:sz w:val="24"/>
          <w:szCs w:val="24"/>
          <w:highlight w:val="none"/>
        </w:rPr>
        <w:t>竣工报告、安全备案整套资料、本合同书、询价文件</w:t>
      </w:r>
      <w:r>
        <w:rPr>
          <w:rFonts w:ascii="宋体" w:hAnsi="宋体" w:eastAsia="宋体" w:cs="宋体"/>
          <w:color w:val="auto"/>
          <w:sz w:val="24"/>
          <w:szCs w:val="24"/>
          <w:highlight w:val="none"/>
        </w:rPr>
        <w:t>/</w:t>
      </w:r>
      <w:r>
        <w:rPr>
          <w:rFonts w:hint="eastAsia" w:ascii="宋体" w:hAnsi="宋体" w:eastAsia="宋体" w:cs="宋体"/>
          <w:color w:val="auto"/>
          <w:sz w:val="24"/>
          <w:szCs w:val="24"/>
          <w:highlight w:val="none"/>
        </w:rPr>
        <w:t>响应文件、中标通知书</w:t>
      </w:r>
      <w:r>
        <w:rPr>
          <w:rFonts w:ascii="宋体" w:hAnsi="宋体" w:eastAsia="宋体" w:cs="宋体"/>
          <w:color w:val="auto"/>
          <w:sz w:val="24"/>
          <w:szCs w:val="24"/>
          <w:highlight w:val="none"/>
        </w:rPr>
        <w:t>/</w:t>
      </w:r>
      <w:r>
        <w:rPr>
          <w:rFonts w:hint="eastAsia" w:ascii="宋体" w:hAnsi="宋体" w:eastAsia="宋体" w:cs="宋体"/>
          <w:color w:val="auto"/>
          <w:sz w:val="24"/>
          <w:szCs w:val="24"/>
          <w:highlight w:val="none"/>
        </w:rPr>
        <w:t>发包通知书</w:t>
      </w:r>
      <w:r>
        <w:rPr>
          <w:rFonts w:ascii="宋体" w:hAnsi="宋体" w:eastAsia="宋体" w:cs="宋体"/>
          <w:color w:val="auto"/>
          <w:sz w:val="24"/>
          <w:szCs w:val="24"/>
          <w:highlight w:val="none"/>
        </w:rPr>
        <w:t>/</w:t>
      </w:r>
      <w:r>
        <w:rPr>
          <w:rFonts w:hint="eastAsia" w:ascii="宋体" w:hAnsi="宋体" w:eastAsia="宋体" w:cs="宋体"/>
          <w:color w:val="auto"/>
          <w:sz w:val="24"/>
          <w:szCs w:val="24"/>
          <w:highlight w:val="none"/>
        </w:rPr>
        <w:t>委托书、工程预算送审报告、工程结算书</w:t>
      </w:r>
      <w:r>
        <w:rPr>
          <w:rFonts w:ascii="宋体" w:hAnsi="宋体" w:eastAsia="宋体" w:cs="宋体"/>
          <w:color w:val="auto"/>
          <w:sz w:val="24"/>
          <w:szCs w:val="24"/>
          <w:highlight w:val="none"/>
        </w:rPr>
        <w:t>/</w:t>
      </w:r>
      <w:r>
        <w:rPr>
          <w:rFonts w:hint="eastAsia" w:ascii="宋体" w:hAnsi="宋体" w:eastAsia="宋体" w:cs="宋体"/>
          <w:color w:val="auto"/>
          <w:sz w:val="24"/>
          <w:szCs w:val="24"/>
          <w:highlight w:val="none"/>
        </w:rPr>
        <w:t>签证记录、备件开箱记录表或送货单、竣工图等，如有必须提供）和竣工验收报告后</w:t>
      </w:r>
      <w:r>
        <w:rPr>
          <w:rFonts w:ascii="宋体" w:hAnsi="宋体" w:eastAsia="宋体" w:cs="宋体"/>
          <w:color w:val="auto"/>
          <w:sz w:val="24"/>
          <w:szCs w:val="24"/>
          <w:highlight w:val="none"/>
        </w:rPr>
        <w:t>20</w:t>
      </w:r>
      <w:r>
        <w:rPr>
          <w:rFonts w:hint="eastAsia" w:ascii="宋体" w:hAnsi="宋体" w:eastAsia="宋体" w:cs="宋体"/>
          <w:color w:val="auto"/>
          <w:sz w:val="24"/>
          <w:szCs w:val="24"/>
          <w:highlight w:val="none"/>
        </w:rPr>
        <w:t>天内组织有关单位进行验收，工程竣工验收严格按国家、省、市、部门有关文件执行，并在验收后</w:t>
      </w:r>
      <w:r>
        <w:rPr>
          <w:rFonts w:ascii="宋体" w:hAnsi="宋体" w:eastAsia="宋体" w:cs="宋体"/>
          <w:color w:val="auto"/>
          <w:sz w:val="24"/>
          <w:szCs w:val="24"/>
          <w:highlight w:val="none"/>
        </w:rPr>
        <w:t>10</w:t>
      </w:r>
      <w:r>
        <w:rPr>
          <w:rFonts w:hint="eastAsia" w:ascii="宋体" w:hAnsi="宋体" w:eastAsia="宋体" w:cs="宋体"/>
          <w:color w:val="auto"/>
          <w:sz w:val="24"/>
          <w:szCs w:val="24"/>
          <w:highlight w:val="none"/>
        </w:rPr>
        <w:t>天内给予认可或提出修改意见。乙方按要求修改，并承担修改的费用。</w:t>
      </w:r>
    </w:p>
    <w:p>
      <w:pPr>
        <w:spacing w:line="384" w:lineRule="auto"/>
        <w:ind w:firstLine="480" w:firstLineChars="200"/>
        <w:rPr>
          <w:rFonts w:ascii="宋体" w:hAnsi="宋体" w:eastAsia="宋体" w:cs="宋体"/>
          <w:color w:val="auto"/>
          <w:sz w:val="24"/>
          <w:szCs w:val="24"/>
          <w:highlight w:val="none"/>
        </w:rPr>
      </w:pPr>
      <w:r>
        <w:rPr>
          <w:rFonts w:ascii="宋体" w:hAnsi="宋体" w:eastAsia="宋体" w:cs="宋体"/>
          <w:color w:val="auto"/>
          <w:sz w:val="24"/>
          <w:szCs w:val="24"/>
          <w:highlight w:val="none"/>
        </w:rPr>
        <w:t>9.3</w:t>
      </w:r>
      <w:r>
        <w:rPr>
          <w:rFonts w:hint="eastAsia" w:ascii="宋体" w:hAnsi="宋体" w:eastAsia="宋体" w:cs="宋体"/>
          <w:color w:val="auto"/>
          <w:sz w:val="24"/>
          <w:szCs w:val="24"/>
          <w:highlight w:val="none"/>
        </w:rPr>
        <w:t>工程竣工验收通过，乙方送交完整的竣工验收资料和竣工验收报告的日期为实际竣工日期。工程按甲方要求修改后通过竣工验收的，实际竣工日期为乙方修改后提请甲方验收的日期。</w:t>
      </w:r>
    </w:p>
    <w:p>
      <w:pPr>
        <w:spacing w:line="384" w:lineRule="auto"/>
        <w:ind w:firstLine="480" w:firstLineChars="200"/>
        <w:rPr>
          <w:rFonts w:ascii="宋体" w:hAnsi="宋体" w:eastAsia="宋体" w:cs="宋体"/>
          <w:color w:val="auto"/>
          <w:sz w:val="24"/>
          <w:szCs w:val="24"/>
          <w:highlight w:val="none"/>
        </w:rPr>
      </w:pPr>
      <w:r>
        <w:rPr>
          <w:rFonts w:ascii="宋体" w:hAnsi="宋体" w:eastAsia="宋体" w:cs="宋体"/>
          <w:color w:val="auto"/>
          <w:sz w:val="24"/>
          <w:szCs w:val="24"/>
          <w:highlight w:val="none"/>
        </w:rPr>
        <w:t>9.4</w:t>
      </w:r>
      <w:r>
        <w:rPr>
          <w:rFonts w:hint="eastAsia" w:ascii="宋体" w:hAnsi="宋体" w:eastAsia="宋体" w:cs="宋体"/>
          <w:color w:val="auto"/>
          <w:sz w:val="24"/>
          <w:szCs w:val="24"/>
          <w:highlight w:val="none"/>
        </w:rPr>
        <w:t>竣工档案的整理和移交</w:t>
      </w:r>
    </w:p>
    <w:p>
      <w:pPr>
        <w:spacing w:line="384" w:lineRule="auto"/>
        <w:ind w:firstLine="360" w:firstLineChars="15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1</w:t>
      </w:r>
      <w:r>
        <w:rPr>
          <w:rFonts w:hint="eastAsia" w:ascii="宋体" w:hAnsi="宋体" w:eastAsia="宋体" w:cs="宋体"/>
          <w:color w:val="auto"/>
          <w:sz w:val="24"/>
          <w:szCs w:val="24"/>
          <w:highlight w:val="none"/>
        </w:rPr>
        <w:t>）乙方应参照国家《城市建设档案管理规定》、《广州市城市建设档案管理办法》和甲方有关整理工程档案的要求，在工程施工期间及时收集、汇总、整理、编制竣工档案，并于工程竣工验收后按下款约定向甲方完整移交如下竣工档案：</w:t>
      </w:r>
    </w:p>
    <w:p>
      <w:pPr>
        <w:spacing w:line="384" w:lineRule="auto"/>
        <w:ind w:firstLine="360" w:firstLineChars="15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a</w:t>
      </w:r>
      <w:r>
        <w:rPr>
          <w:rFonts w:hint="eastAsia" w:ascii="宋体" w:hAnsi="宋体" w:eastAsia="宋体" w:cs="宋体"/>
          <w:color w:val="auto"/>
          <w:sz w:val="24"/>
          <w:szCs w:val="24"/>
          <w:highlight w:val="none"/>
        </w:rPr>
        <w:t>）竣工文件资料、竣工图档案（原件）各一式四份；</w:t>
      </w:r>
    </w:p>
    <w:p>
      <w:pPr>
        <w:spacing w:line="384" w:lineRule="auto"/>
        <w:ind w:firstLine="360" w:firstLineChars="15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b</w:t>
      </w:r>
      <w:r>
        <w:rPr>
          <w:rFonts w:hint="eastAsia" w:ascii="宋体" w:hAnsi="宋体" w:eastAsia="宋体" w:cs="宋体"/>
          <w:color w:val="auto"/>
          <w:sz w:val="24"/>
          <w:szCs w:val="24"/>
          <w:highlight w:val="none"/>
        </w:rPr>
        <w:t>）与本款（</w:t>
      </w:r>
      <w:r>
        <w:rPr>
          <w:rFonts w:ascii="宋体" w:hAnsi="宋体" w:eastAsia="宋体" w:cs="宋体"/>
          <w:color w:val="auto"/>
          <w:sz w:val="24"/>
          <w:szCs w:val="24"/>
          <w:highlight w:val="none"/>
        </w:rPr>
        <w:t>a</w:t>
      </w:r>
      <w:r>
        <w:rPr>
          <w:rFonts w:hint="eastAsia" w:ascii="宋体" w:hAnsi="宋体" w:eastAsia="宋体" w:cs="宋体"/>
          <w:color w:val="auto"/>
          <w:sz w:val="24"/>
          <w:szCs w:val="24"/>
          <w:highlight w:val="none"/>
        </w:rPr>
        <w:t>）项内容相同的电子版档案一式二份；</w:t>
      </w:r>
    </w:p>
    <w:p>
      <w:pPr>
        <w:spacing w:line="384" w:lineRule="auto"/>
        <w:ind w:firstLine="360" w:firstLineChars="15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2</w:t>
      </w:r>
      <w:r>
        <w:rPr>
          <w:rFonts w:hint="eastAsia" w:ascii="宋体" w:hAnsi="宋体" w:eastAsia="宋体" w:cs="宋体"/>
          <w:color w:val="auto"/>
          <w:sz w:val="24"/>
          <w:szCs w:val="24"/>
          <w:highlight w:val="none"/>
        </w:rPr>
        <w:t>）乙方移交竣工档案的时限：乙方应于工程竣工验收后</w:t>
      </w:r>
      <w:r>
        <w:rPr>
          <w:rFonts w:ascii="宋体" w:hAnsi="宋体" w:eastAsia="宋体" w:cs="宋体"/>
          <w:color w:val="auto"/>
          <w:sz w:val="24"/>
          <w:szCs w:val="24"/>
          <w:highlight w:val="none"/>
        </w:rPr>
        <w:t>30</w:t>
      </w:r>
      <w:r>
        <w:rPr>
          <w:rFonts w:hint="eastAsia" w:ascii="宋体" w:hAnsi="宋体" w:eastAsia="宋体" w:cs="宋体"/>
          <w:color w:val="auto"/>
          <w:sz w:val="24"/>
          <w:szCs w:val="24"/>
          <w:highlight w:val="none"/>
        </w:rPr>
        <w:t>天内将竣工档案提交甲方签认。乙方应于甲方签认后</w:t>
      </w:r>
      <w:r>
        <w:rPr>
          <w:rFonts w:ascii="宋体" w:hAnsi="宋体" w:eastAsia="宋体" w:cs="宋体"/>
          <w:color w:val="auto"/>
          <w:sz w:val="24"/>
          <w:szCs w:val="24"/>
          <w:highlight w:val="none"/>
        </w:rPr>
        <w:t>10</w:t>
      </w:r>
      <w:r>
        <w:rPr>
          <w:rFonts w:hint="eastAsia" w:ascii="宋体" w:hAnsi="宋体" w:eastAsia="宋体" w:cs="宋体"/>
          <w:color w:val="auto"/>
          <w:sz w:val="24"/>
          <w:szCs w:val="24"/>
          <w:highlight w:val="none"/>
        </w:rPr>
        <w:t>天内将竣工档案移交给甲方归档并同时移交有关归档的证明文件。甲方经审查合格的，应在收到竣工档案后</w:t>
      </w:r>
      <w:r>
        <w:rPr>
          <w:rFonts w:ascii="宋体" w:hAnsi="宋体" w:eastAsia="宋体" w:cs="宋体"/>
          <w:color w:val="auto"/>
          <w:sz w:val="24"/>
          <w:szCs w:val="24"/>
          <w:highlight w:val="none"/>
        </w:rPr>
        <w:t>10</w:t>
      </w:r>
      <w:r>
        <w:rPr>
          <w:rFonts w:hint="eastAsia" w:ascii="宋体" w:hAnsi="宋体" w:eastAsia="宋体" w:cs="宋体"/>
          <w:color w:val="auto"/>
          <w:sz w:val="24"/>
          <w:szCs w:val="24"/>
          <w:highlight w:val="none"/>
        </w:rPr>
        <w:t>天内签署档案验收意见；不合格的，乙方应按甲方要求限期补正，直至合格为止。乙方超过本条规定的时限，每逾期一天支付</w:t>
      </w:r>
      <w:r>
        <w:rPr>
          <w:rFonts w:hint="eastAsia" w:ascii="宋体" w:hAnsi="宋体" w:eastAsia="宋体" w:cs="宋体"/>
          <w:color w:val="auto"/>
          <w:sz w:val="24"/>
          <w:szCs w:val="24"/>
          <w:highlight w:val="none"/>
          <w:u w:val="single"/>
        </w:rPr>
        <w:t>合同暂定总价</w:t>
      </w:r>
      <w:r>
        <w:rPr>
          <w:rFonts w:hint="eastAsia" w:ascii="宋体" w:hAnsi="宋体" w:eastAsia="宋体" w:cs="宋体"/>
          <w:bCs/>
          <w:color w:val="auto"/>
          <w:sz w:val="24"/>
          <w:szCs w:val="24"/>
          <w:highlight w:val="none"/>
          <w:u w:val="single"/>
        </w:rPr>
        <w:t>万分之五</w:t>
      </w:r>
      <w:r>
        <w:rPr>
          <w:rFonts w:ascii="宋体" w:hAnsi="宋体" w:eastAsia="宋体" w:cs="宋体"/>
          <w:bCs/>
          <w:color w:val="auto"/>
          <w:sz w:val="24"/>
          <w:szCs w:val="24"/>
          <w:highlight w:val="none"/>
          <w:u w:val="single"/>
        </w:rPr>
        <w:t>/</w:t>
      </w:r>
      <w:r>
        <w:rPr>
          <w:rFonts w:hint="eastAsia" w:ascii="宋体" w:hAnsi="宋体" w:eastAsia="宋体" w:cs="宋体"/>
          <w:bCs/>
          <w:color w:val="auto"/>
          <w:sz w:val="24"/>
          <w:szCs w:val="24"/>
          <w:highlight w:val="none"/>
          <w:u w:val="single"/>
        </w:rPr>
        <w:t>天</w:t>
      </w:r>
      <w:r>
        <w:rPr>
          <w:rFonts w:hint="eastAsia" w:ascii="宋体" w:hAnsi="宋体" w:eastAsia="宋体" w:cs="宋体"/>
          <w:color w:val="auto"/>
          <w:sz w:val="24"/>
          <w:szCs w:val="24"/>
          <w:highlight w:val="none"/>
        </w:rPr>
        <w:t>违约金。</w:t>
      </w:r>
    </w:p>
    <w:p>
      <w:pPr>
        <w:spacing w:line="384" w:lineRule="auto"/>
        <w:ind w:firstLine="360" w:firstLineChars="15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w:t>
      </w:r>
      <w:r>
        <w:rPr>
          <w:rFonts w:ascii="宋体" w:hAnsi="宋体" w:eastAsia="宋体" w:cs="宋体"/>
          <w:color w:val="auto"/>
          <w:sz w:val="24"/>
          <w:szCs w:val="24"/>
          <w:highlight w:val="none"/>
        </w:rPr>
        <w:t>3</w:t>
      </w:r>
      <w:r>
        <w:rPr>
          <w:rFonts w:hint="eastAsia" w:ascii="宋体" w:hAnsi="宋体" w:eastAsia="宋体" w:cs="宋体"/>
          <w:color w:val="auto"/>
          <w:sz w:val="24"/>
          <w:szCs w:val="24"/>
          <w:highlight w:val="none"/>
        </w:rPr>
        <w:t>）电子版竣工图的编制，以甲方提供的电子版施工图为基础。乙方在移交竣工档案时，应一并移交甲方提供的电子版施工图。</w:t>
      </w:r>
    </w:p>
    <w:p>
      <w:pPr>
        <w:spacing w:line="384" w:lineRule="auto"/>
        <w:ind w:firstLine="48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电子版施工图和电子版竣工图的知识产权归属甲方所有，非经甲方许可，乙方不得以任何方式复制、备份、转让和利用。否则，由此引起的任何纠纷和责任由乙方承担。</w:t>
      </w:r>
    </w:p>
    <w:p>
      <w:pPr>
        <w:autoSpaceDE w:val="0"/>
        <w:autoSpaceDN w:val="0"/>
        <w:adjustRightInd w:val="0"/>
        <w:ind w:firstLine="480" w:firstLineChars="200"/>
        <w:jc w:val="left"/>
        <w:rPr>
          <w:rFonts w:asciiTheme="minorEastAsia" w:hAnsiTheme="minorEastAsia" w:cstheme="minorEastAsia"/>
          <w:color w:val="auto"/>
          <w:kern w:val="0"/>
          <w:sz w:val="24"/>
          <w:szCs w:val="24"/>
          <w:highlight w:val="none"/>
          <w:u w:val="single"/>
        </w:rPr>
      </w:pPr>
      <w:r>
        <w:rPr>
          <w:rFonts w:hint="eastAsia" w:asciiTheme="minorEastAsia" w:hAnsiTheme="minorEastAsia" w:cstheme="minorEastAsia"/>
          <w:color w:val="auto"/>
          <w:kern w:val="0"/>
          <w:sz w:val="24"/>
          <w:szCs w:val="24"/>
          <w:highlight w:val="none"/>
        </w:rPr>
        <w:t>9.5本合同竣工验收结算单位为</w:t>
      </w:r>
      <w:r>
        <w:rPr>
          <w:rFonts w:hint="eastAsia" w:asciiTheme="minorEastAsia" w:hAnsiTheme="minorEastAsia" w:cstheme="minorEastAsia"/>
          <w:color w:val="auto"/>
          <w:kern w:val="0"/>
          <w:sz w:val="24"/>
          <w:szCs w:val="24"/>
          <w:highlight w:val="none"/>
          <w:u w:val="single"/>
        </w:rPr>
        <w:t xml:space="preserve">：    </w:t>
      </w:r>
    </w:p>
    <w:p>
      <w:pPr>
        <w:numPr>
          <w:ilvl w:val="0"/>
          <w:numId w:val="5"/>
        </w:numPr>
        <w:spacing w:before="120" w:after="156" w:afterLines="50" w:line="384" w:lineRule="auto"/>
        <w:ind w:firstLine="482" w:firstLineChars="200"/>
        <w:jc w:val="left"/>
        <w:rPr>
          <w:rFonts w:ascii="宋体" w:hAnsi="宋体" w:eastAsia="宋体" w:cs="宋体"/>
          <w:b/>
          <w:bCs/>
          <w:color w:val="auto"/>
          <w:sz w:val="24"/>
          <w:szCs w:val="24"/>
          <w:highlight w:val="none"/>
        </w:rPr>
      </w:pPr>
      <w:bookmarkStart w:id="128" w:name="_Toc520190034"/>
      <w:bookmarkStart w:id="129" w:name="_Toc518992994"/>
      <w:bookmarkStart w:id="130" w:name="_Toc474245220"/>
      <w:r>
        <w:rPr>
          <w:rFonts w:hint="eastAsia" w:ascii="宋体" w:hAnsi="宋体" w:eastAsia="宋体" w:cs="宋体"/>
          <w:b/>
          <w:bCs/>
          <w:color w:val="auto"/>
          <w:sz w:val="24"/>
          <w:szCs w:val="24"/>
          <w:highlight w:val="none"/>
        </w:rPr>
        <w:t>质量保证</w:t>
      </w:r>
      <w:bookmarkEnd w:id="128"/>
      <w:bookmarkEnd w:id="129"/>
      <w:bookmarkEnd w:id="130"/>
    </w:p>
    <w:p>
      <w:pPr>
        <w:spacing w:line="384" w:lineRule="auto"/>
        <w:ind w:firstLine="480" w:firstLineChars="200"/>
        <w:rPr>
          <w:rFonts w:ascii="宋体" w:hAnsi="宋体" w:eastAsia="宋体" w:cs="宋体"/>
          <w:color w:val="auto"/>
          <w:sz w:val="24"/>
          <w:szCs w:val="24"/>
          <w:highlight w:val="none"/>
        </w:rPr>
      </w:pPr>
      <w:r>
        <w:rPr>
          <w:rFonts w:ascii="宋体" w:hAnsi="宋体" w:eastAsia="宋体" w:cs="宋体"/>
          <w:color w:val="auto"/>
          <w:sz w:val="24"/>
          <w:szCs w:val="24"/>
          <w:highlight w:val="none"/>
        </w:rPr>
        <w:t>10.1</w:t>
      </w:r>
      <w:r>
        <w:rPr>
          <w:rFonts w:hint="eastAsia" w:ascii="宋体" w:hAnsi="宋体" w:eastAsia="宋体" w:cs="宋体"/>
          <w:color w:val="auto"/>
          <w:sz w:val="24"/>
          <w:szCs w:val="24"/>
          <w:highlight w:val="none"/>
        </w:rPr>
        <w:t>乙方保证所承包的项目质量符合国家相关标准和规范。对产品质量依据原厂商标准及国家标准从严执行。</w:t>
      </w:r>
    </w:p>
    <w:p>
      <w:pPr>
        <w:autoSpaceDE w:val="0"/>
        <w:autoSpaceDN w:val="0"/>
        <w:adjustRightInd w:val="0"/>
        <w:spacing w:line="384" w:lineRule="auto"/>
        <w:ind w:left="420"/>
        <w:rPr>
          <w:rFonts w:ascii="宋体" w:hAnsi="宋体" w:eastAsia="宋体" w:cs="宋体"/>
          <w:color w:val="auto"/>
          <w:kern w:val="0"/>
          <w:sz w:val="24"/>
          <w:szCs w:val="24"/>
          <w:highlight w:val="none"/>
          <w:lang w:val="zh-CN"/>
        </w:rPr>
      </w:pPr>
      <w:r>
        <w:rPr>
          <w:rFonts w:ascii="宋体" w:hAnsi="宋体" w:eastAsia="宋体" w:cs="宋体"/>
          <w:bCs/>
          <w:color w:val="auto"/>
          <w:sz w:val="24"/>
          <w:szCs w:val="24"/>
          <w:highlight w:val="none"/>
        </w:rPr>
        <w:t xml:space="preserve">10.2 </w:t>
      </w:r>
      <w:r>
        <w:rPr>
          <w:rFonts w:hint="eastAsia" w:ascii="宋体" w:hAnsi="宋体" w:eastAsia="宋体" w:cs="宋体"/>
          <w:bCs/>
          <w:color w:val="auto"/>
          <w:sz w:val="24"/>
          <w:szCs w:val="24"/>
          <w:highlight w:val="none"/>
        </w:rPr>
        <w:t>本项目质量保修期为</w:t>
      </w:r>
      <w:r>
        <w:rPr>
          <w:rFonts w:hint="eastAsia" w:ascii="宋体" w:hAnsi="宋体" w:eastAsia="宋体" w:cs="宋体"/>
          <w:color w:val="auto"/>
          <w:kern w:val="0"/>
          <w:sz w:val="24"/>
          <w:szCs w:val="24"/>
          <w:highlight w:val="none"/>
          <w:lang w:val="zh-CN"/>
        </w:rPr>
        <w:t>自验收合格之日起</w:t>
      </w:r>
      <w:r>
        <w:rPr>
          <w:rFonts w:hint="eastAsia" w:ascii="宋体" w:hAnsi="宋体" w:eastAsia="宋体" w:cs="宋体"/>
          <w:color w:val="auto"/>
          <w:kern w:val="0"/>
          <w:sz w:val="24"/>
          <w:szCs w:val="24"/>
          <w:highlight w:val="none"/>
          <w:u w:val="single"/>
        </w:rPr>
        <w:t>1</w:t>
      </w:r>
      <w:r>
        <w:rPr>
          <w:rFonts w:hint="eastAsia" w:ascii="宋体" w:hAnsi="宋体" w:eastAsia="宋体" w:cs="宋体"/>
          <w:color w:val="auto"/>
          <w:kern w:val="0"/>
          <w:sz w:val="24"/>
          <w:szCs w:val="24"/>
          <w:highlight w:val="none"/>
          <w:lang w:val="zh-CN"/>
        </w:rPr>
        <w:t>年。</w:t>
      </w:r>
    </w:p>
    <w:p>
      <w:pPr>
        <w:spacing w:line="384" w:lineRule="auto"/>
        <w:ind w:firstLine="420" w:firstLineChars="175"/>
        <w:rPr>
          <w:rFonts w:ascii="宋体" w:hAnsi="宋体" w:eastAsia="宋体" w:cs="宋体"/>
          <w:bCs/>
          <w:color w:val="auto"/>
          <w:sz w:val="24"/>
          <w:szCs w:val="24"/>
          <w:highlight w:val="none"/>
        </w:rPr>
      </w:pPr>
      <w:r>
        <w:rPr>
          <w:rFonts w:ascii="宋体" w:hAnsi="宋体" w:eastAsia="宋体" w:cs="宋体"/>
          <w:bCs/>
          <w:color w:val="auto"/>
          <w:sz w:val="24"/>
          <w:szCs w:val="24"/>
          <w:highlight w:val="none"/>
        </w:rPr>
        <w:t>10.3</w:t>
      </w:r>
      <w:r>
        <w:rPr>
          <w:rFonts w:hint="eastAsia" w:ascii="宋体" w:hAnsi="宋体" w:eastAsia="宋体" w:cs="宋体"/>
          <w:bCs/>
          <w:color w:val="auto"/>
          <w:sz w:val="24"/>
          <w:szCs w:val="24"/>
          <w:highlight w:val="none"/>
        </w:rPr>
        <w:t>质量保修期期间，本项目的质量问题由乙方免费提供保修服务，乙方应在收到甲方通知后日内派人员到场负责解决及维修，如果乙方不按时到场维修或到场后不能修复的，甲方有权委托他人予以维修，乙方承担由此发生的费用并支付</w:t>
      </w:r>
      <w:r>
        <w:rPr>
          <w:rFonts w:hint="eastAsia" w:ascii="宋体" w:hAnsi="宋体" w:eastAsia="宋体" w:cs="宋体"/>
          <w:bCs/>
          <w:color w:val="auto"/>
          <w:sz w:val="24"/>
          <w:szCs w:val="24"/>
          <w:highlight w:val="none"/>
          <w:u w:val="single"/>
        </w:rPr>
        <w:t>合同暂定总价的</w:t>
      </w:r>
      <w:r>
        <w:rPr>
          <w:rFonts w:ascii="宋体" w:hAnsi="宋体" w:eastAsia="宋体" w:cs="宋体"/>
          <w:bCs/>
          <w:color w:val="auto"/>
          <w:sz w:val="24"/>
          <w:szCs w:val="24"/>
          <w:highlight w:val="none"/>
          <w:u w:val="single"/>
        </w:rPr>
        <w:t>10%/</w:t>
      </w:r>
      <w:r>
        <w:rPr>
          <w:rFonts w:hint="eastAsia" w:ascii="宋体" w:hAnsi="宋体" w:eastAsia="宋体" w:cs="宋体"/>
          <w:bCs/>
          <w:color w:val="auto"/>
          <w:sz w:val="24"/>
          <w:szCs w:val="24"/>
          <w:highlight w:val="none"/>
          <w:u w:val="single"/>
        </w:rPr>
        <w:t>次</w:t>
      </w:r>
      <w:r>
        <w:rPr>
          <w:rFonts w:hint="eastAsia" w:ascii="宋体" w:hAnsi="宋体" w:eastAsia="宋体" w:cs="宋体"/>
          <w:bCs/>
          <w:color w:val="auto"/>
          <w:sz w:val="24"/>
          <w:szCs w:val="24"/>
          <w:highlight w:val="none"/>
        </w:rPr>
        <w:t>作为违约金。</w:t>
      </w:r>
    </w:p>
    <w:p>
      <w:pPr>
        <w:spacing w:before="156" w:beforeLines="50" w:after="156" w:afterLines="50" w:line="384" w:lineRule="auto"/>
        <w:ind w:firstLine="422" w:firstLineChars="175"/>
        <w:jc w:val="left"/>
        <w:rPr>
          <w:rFonts w:ascii="宋体" w:hAnsi="宋体" w:eastAsia="宋体" w:cs="宋体"/>
          <w:color w:val="auto"/>
          <w:sz w:val="24"/>
          <w:szCs w:val="24"/>
          <w:highlight w:val="none"/>
        </w:rPr>
      </w:pPr>
      <w:bookmarkStart w:id="131" w:name="_Toc107447255"/>
      <w:bookmarkStart w:id="132" w:name="_Toc19692"/>
      <w:bookmarkStart w:id="133" w:name="_Toc518993000"/>
      <w:bookmarkStart w:id="134" w:name="_Toc474245226"/>
      <w:bookmarkStart w:id="135" w:name="_Toc107446862"/>
      <w:bookmarkStart w:id="136" w:name="_Toc183666531"/>
      <w:bookmarkStart w:id="137" w:name="_Toc520190040"/>
      <w:bookmarkStart w:id="138" w:name="_Toc306350467"/>
      <w:r>
        <w:rPr>
          <w:rFonts w:hint="eastAsia" w:ascii="宋体" w:hAnsi="宋体" w:eastAsia="宋体" w:cs="宋体"/>
          <w:b/>
          <w:bCs/>
          <w:color w:val="auto"/>
          <w:sz w:val="24"/>
          <w:szCs w:val="24"/>
          <w:highlight w:val="none"/>
        </w:rPr>
        <w:t>第十一条不可抗力</w:t>
      </w:r>
      <w:bookmarkEnd w:id="131"/>
      <w:bookmarkEnd w:id="132"/>
      <w:bookmarkEnd w:id="133"/>
      <w:bookmarkEnd w:id="134"/>
      <w:bookmarkEnd w:id="135"/>
      <w:bookmarkEnd w:id="136"/>
      <w:bookmarkEnd w:id="137"/>
      <w:bookmarkEnd w:id="138"/>
    </w:p>
    <w:p>
      <w:pPr>
        <w:widowControl/>
        <w:autoSpaceDE w:val="0"/>
        <w:autoSpaceDN w:val="0"/>
        <w:adjustRightInd w:val="0"/>
        <w:spacing w:line="384" w:lineRule="auto"/>
        <w:ind w:firstLine="480" w:firstLineChars="200"/>
        <w:rPr>
          <w:rFonts w:ascii="宋体" w:hAnsi="宋体" w:eastAsia="宋体" w:cs="宋体"/>
          <w:bCs/>
          <w:color w:val="auto"/>
          <w:sz w:val="24"/>
          <w:szCs w:val="24"/>
          <w:highlight w:val="none"/>
        </w:rPr>
      </w:pPr>
      <w:bookmarkStart w:id="139" w:name="_Toc12010"/>
      <w:bookmarkStart w:id="140" w:name="_Toc183666532"/>
      <w:bookmarkStart w:id="141" w:name="_Toc306350468"/>
      <w:r>
        <w:rPr>
          <w:rFonts w:ascii="宋体" w:hAnsi="宋体" w:eastAsia="宋体" w:cs="宋体"/>
          <w:bCs/>
          <w:color w:val="auto"/>
          <w:sz w:val="24"/>
          <w:szCs w:val="24"/>
          <w:highlight w:val="none"/>
        </w:rPr>
        <w:t xml:space="preserve">11.1 </w:t>
      </w:r>
      <w:r>
        <w:rPr>
          <w:rFonts w:hint="eastAsia" w:ascii="宋体" w:hAnsi="宋体" w:eastAsia="宋体" w:cs="宋体"/>
          <w:bCs/>
          <w:color w:val="auto"/>
          <w:sz w:val="24"/>
          <w:szCs w:val="24"/>
          <w:highlight w:val="none"/>
        </w:rPr>
        <w:t>任何一方因不可抗力无法全部或部分履行其在本合同项下的义务时，该方有权全部或部分中止履行本合同项下的义务，并不承担违约责任。不可抗力是指合同当事人在签订本合同时不可预见，在合同履行过程中不可避免且不能克服的客观情况，包括：</w:t>
      </w:r>
    </w:p>
    <w:p>
      <w:pPr>
        <w:widowControl/>
        <w:autoSpaceDE w:val="0"/>
        <w:autoSpaceDN w:val="0"/>
        <w:adjustRightInd w:val="0"/>
        <w:spacing w:line="384" w:lineRule="auto"/>
        <w:ind w:firstLine="480" w:firstLineChars="200"/>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⑴地震、火山爆发、滑坡、暴雨（橙色预警及以上）、台风（黄色预警及以上）、海啸、龙卷风、大面积流行病</w:t>
      </w:r>
      <w:r>
        <w:rPr>
          <w:rFonts w:ascii="宋体" w:hAnsi="宋体" w:eastAsia="宋体" w:cs="宋体"/>
          <w:bCs/>
          <w:color w:val="auto"/>
          <w:sz w:val="24"/>
          <w:szCs w:val="24"/>
          <w:highlight w:val="none"/>
        </w:rPr>
        <w:t>(如：非典型性肺炎等)或瘟疫；</w:t>
      </w:r>
    </w:p>
    <w:p>
      <w:pPr>
        <w:widowControl/>
        <w:autoSpaceDE w:val="0"/>
        <w:autoSpaceDN w:val="0"/>
        <w:adjustRightInd w:val="0"/>
        <w:spacing w:line="384" w:lineRule="auto"/>
        <w:ind w:firstLine="480" w:firstLineChars="200"/>
        <w:rPr>
          <w:rFonts w:ascii="宋体" w:hAnsi="宋体" w:eastAsia="宋体" w:cs="宋体"/>
          <w:bCs/>
          <w:color w:val="auto"/>
          <w:sz w:val="24"/>
          <w:szCs w:val="24"/>
          <w:highlight w:val="none"/>
        </w:rPr>
      </w:pPr>
      <w:r>
        <w:rPr>
          <w:rFonts w:hint="eastAsia" w:ascii="宋体" w:hAnsi="宋体" w:eastAsia="宋体" w:cs="宋体"/>
          <w:bCs/>
          <w:color w:val="auto"/>
          <w:sz w:val="24"/>
          <w:szCs w:val="24"/>
          <w:highlight w:val="none"/>
        </w:rPr>
        <w:t>⑵战争行为、入侵、武装冲突或外敌行为、封锁、暴乱、恐怖行为或军事演习；</w:t>
      </w:r>
    </w:p>
    <w:p>
      <w:pPr>
        <w:widowControl/>
        <w:autoSpaceDE w:val="0"/>
        <w:autoSpaceDN w:val="0"/>
        <w:adjustRightInd w:val="0"/>
        <w:spacing w:line="384" w:lineRule="auto"/>
        <w:ind w:firstLine="480" w:firstLineChars="200"/>
        <w:rPr>
          <w:rFonts w:ascii="宋体" w:hAnsi="宋体" w:eastAsia="宋体" w:cs="宋体"/>
          <w:bCs/>
          <w:color w:val="auto"/>
          <w:sz w:val="24"/>
          <w:szCs w:val="24"/>
          <w:highlight w:val="none"/>
        </w:rPr>
      </w:pPr>
      <w:r>
        <w:rPr>
          <w:rFonts w:ascii="宋体" w:hAnsi="宋体" w:eastAsia="宋体" w:cs="宋体"/>
          <w:bCs/>
          <w:color w:val="auto"/>
          <w:sz w:val="24"/>
          <w:szCs w:val="24"/>
          <w:highlight w:val="none"/>
        </w:rPr>
        <w:t xml:space="preserve">11.2 </w:t>
      </w:r>
      <w:r>
        <w:rPr>
          <w:rFonts w:hint="eastAsia" w:ascii="宋体" w:hAnsi="宋体" w:eastAsia="宋体" w:cs="宋体"/>
          <w:bCs/>
          <w:color w:val="auto"/>
          <w:sz w:val="24"/>
          <w:szCs w:val="24"/>
          <w:highlight w:val="none"/>
        </w:rPr>
        <w:t>声称受到不可抗力影响的一方，应在发生不可抗力或知道发生不可抗力之后</w:t>
      </w:r>
      <w:r>
        <w:rPr>
          <w:rFonts w:ascii="宋体" w:hAnsi="宋体" w:eastAsia="宋体" w:cs="宋体"/>
          <w:bCs/>
          <w:color w:val="auto"/>
          <w:sz w:val="24"/>
          <w:szCs w:val="24"/>
          <w:highlight w:val="none"/>
        </w:rPr>
        <w:t>5日内书面通知另一方，详细描述不可抗力的发生情况和对该方履行在本合同项下义务的影响，同时附上此种不可抗力事件及其持续时间的有效证明文件。</w:t>
      </w:r>
    </w:p>
    <w:p>
      <w:pPr>
        <w:widowControl/>
        <w:autoSpaceDE w:val="0"/>
        <w:autoSpaceDN w:val="0"/>
        <w:adjustRightInd w:val="0"/>
        <w:spacing w:line="384" w:lineRule="auto"/>
        <w:ind w:firstLine="480" w:firstLineChars="200"/>
        <w:rPr>
          <w:rFonts w:ascii="宋体" w:hAnsi="宋体" w:eastAsia="宋体" w:cs="宋体"/>
          <w:bCs/>
          <w:color w:val="auto"/>
          <w:sz w:val="24"/>
          <w:szCs w:val="24"/>
          <w:highlight w:val="none"/>
        </w:rPr>
      </w:pPr>
      <w:r>
        <w:rPr>
          <w:rFonts w:ascii="宋体" w:hAnsi="宋体" w:eastAsia="宋体" w:cs="宋体"/>
          <w:bCs/>
          <w:color w:val="auto"/>
          <w:sz w:val="24"/>
          <w:szCs w:val="24"/>
          <w:highlight w:val="none"/>
        </w:rPr>
        <w:t xml:space="preserve">11.3 </w:t>
      </w:r>
      <w:r>
        <w:rPr>
          <w:rFonts w:hint="eastAsia" w:ascii="宋体" w:hAnsi="宋体" w:eastAsia="宋体" w:cs="宋体"/>
          <w:bCs/>
          <w:color w:val="auto"/>
          <w:sz w:val="24"/>
          <w:szCs w:val="24"/>
          <w:highlight w:val="none"/>
        </w:rPr>
        <w:t>因不可抗力导致合同无法履行的时间自该不可抗力发生日起连续超过玖拾</w:t>
      </w:r>
      <w:r>
        <w:rPr>
          <w:rFonts w:ascii="宋体" w:hAnsi="宋体" w:eastAsia="宋体" w:cs="宋体"/>
          <w:bCs/>
          <w:color w:val="auto"/>
          <w:sz w:val="24"/>
          <w:szCs w:val="24"/>
          <w:highlight w:val="none"/>
        </w:rPr>
        <w:t>(90)天，双方应协商决定继续履行本合同的条件或者变更本合同。如果自不可抗力发生后壹佰捌拾(180)天之内双方不能达成一致意见，任何一方有权解除本合同。</w:t>
      </w:r>
    </w:p>
    <w:p>
      <w:pPr>
        <w:spacing w:before="156" w:beforeLines="50" w:after="156" w:afterLines="50" w:line="384" w:lineRule="auto"/>
        <w:ind w:firstLine="482"/>
        <w:jc w:val="left"/>
        <w:rPr>
          <w:rFonts w:ascii="宋体" w:hAnsi="宋体" w:eastAsia="宋体" w:cs="宋体"/>
          <w:bCs/>
          <w:color w:val="auto"/>
          <w:sz w:val="24"/>
          <w:szCs w:val="24"/>
          <w:highlight w:val="none"/>
        </w:rPr>
      </w:pPr>
      <w:r>
        <w:rPr>
          <w:rFonts w:ascii="宋体" w:hAnsi="宋体" w:eastAsia="宋体" w:cs="宋体"/>
          <w:bCs/>
          <w:color w:val="auto"/>
          <w:sz w:val="24"/>
          <w:szCs w:val="24"/>
          <w:highlight w:val="none"/>
        </w:rPr>
        <w:t xml:space="preserve">11.4 </w:t>
      </w:r>
      <w:r>
        <w:rPr>
          <w:rFonts w:hint="eastAsia" w:ascii="宋体" w:hAnsi="宋体" w:eastAsia="宋体" w:cs="宋体"/>
          <w:bCs/>
          <w:color w:val="auto"/>
          <w:sz w:val="24"/>
          <w:szCs w:val="24"/>
          <w:highlight w:val="none"/>
        </w:rPr>
        <w:t>双方同意采取一切合理的预防措施和及时的补救措施，尽可能减轻不可抗力事件带来的后果。受到不可抗力影响的一方应尽合理的努力减少不可抗力的影响，包括为采取有效的措施支付合理的金额。双方应协商制定并实施补救计划及合理的替代措施以消除不可抗力，并决定为减少不可抗力给每一方带来的损失应采取的合理的手段。但因受到不可抗力影响的一方采取措施不当，未尽合理的努力减少不可抗力的影响，造成损失扩大的，由有责任的一方承担扩大部分的损失。声称不可抗力的一方在不可抗力消除之后应尽快恢复履行本合同项下的义务。</w:t>
      </w:r>
      <w:bookmarkStart w:id="142" w:name="_Toc474245227"/>
      <w:bookmarkStart w:id="143" w:name="_Toc107446864"/>
      <w:bookmarkStart w:id="144" w:name="_Toc118172294"/>
      <w:bookmarkStart w:id="145" w:name="_Toc520190041"/>
      <w:bookmarkStart w:id="146" w:name="_Toc107447257"/>
      <w:bookmarkStart w:id="147" w:name="_Toc518993001"/>
    </w:p>
    <w:p>
      <w:pPr>
        <w:spacing w:before="156" w:beforeLines="50" w:after="156" w:afterLines="50" w:line="384" w:lineRule="auto"/>
        <w:ind w:firstLine="482"/>
        <w:jc w:val="left"/>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十二条争议解决</w:t>
      </w:r>
      <w:bookmarkEnd w:id="139"/>
      <w:bookmarkEnd w:id="140"/>
      <w:bookmarkEnd w:id="141"/>
      <w:bookmarkEnd w:id="142"/>
      <w:bookmarkEnd w:id="143"/>
      <w:bookmarkEnd w:id="144"/>
      <w:bookmarkEnd w:id="145"/>
      <w:bookmarkEnd w:id="146"/>
      <w:bookmarkEnd w:id="147"/>
    </w:p>
    <w:p>
      <w:pPr>
        <w:spacing w:line="384" w:lineRule="auto"/>
        <w:ind w:firstLine="482"/>
        <w:rPr>
          <w:rFonts w:ascii="宋体" w:hAnsi="宋体" w:eastAsia="宋体" w:cs="宋体"/>
          <w:bCs/>
          <w:color w:val="auto"/>
          <w:sz w:val="24"/>
          <w:szCs w:val="24"/>
          <w:highlight w:val="none"/>
        </w:rPr>
      </w:pPr>
      <w:bookmarkStart w:id="148" w:name="_Toc306350469"/>
      <w:bookmarkStart w:id="149" w:name="_Toc183666533"/>
      <w:r>
        <w:rPr>
          <w:rFonts w:ascii="宋体" w:hAnsi="宋体" w:eastAsia="宋体" w:cs="宋体"/>
          <w:bCs/>
          <w:color w:val="auto"/>
          <w:sz w:val="24"/>
          <w:szCs w:val="24"/>
          <w:highlight w:val="none"/>
        </w:rPr>
        <w:t xml:space="preserve">12.1 </w:t>
      </w:r>
      <w:r>
        <w:rPr>
          <w:rFonts w:hint="eastAsia" w:ascii="宋体" w:hAnsi="宋体" w:eastAsia="宋体" w:cs="宋体"/>
          <w:bCs/>
          <w:color w:val="auto"/>
          <w:sz w:val="24"/>
          <w:szCs w:val="24"/>
          <w:highlight w:val="none"/>
        </w:rPr>
        <w:t>甲乙双方应通过友好协商，解决在执行本合同所发生的或与本合同有关的一切争议。如协商不能解决争议，任何一方均可依法向甲方所在地人民法院提起诉讼。</w:t>
      </w:r>
    </w:p>
    <w:p>
      <w:pPr>
        <w:spacing w:line="384" w:lineRule="auto"/>
        <w:ind w:firstLine="482"/>
        <w:jc w:val="left"/>
        <w:rPr>
          <w:rFonts w:ascii="宋体" w:hAnsi="宋体" w:eastAsia="宋体" w:cs="宋体"/>
          <w:color w:val="auto"/>
          <w:sz w:val="24"/>
          <w:szCs w:val="24"/>
          <w:highlight w:val="none"/>
        </w:rPr>
      </w:pPr>
      <w:r>
        <w:rPr>
          <w:rFonts w:ascii="宋体" w:hAnsi="宋体" w:eastAsia="宋体" w:cs="宋体"/>
          <w:bCs/>
          <w:color w:val="auto"/>
          <w:sz w:val="24"/>
          <w:szCs w:val="24"/>
          <w:highlight w:val="none"/>
        </w:rPr>
        <w:t xml:space="preserve">12.2 </w:t>
      </w:r>
      <w:r>
        <w:rPr>
          <w:rFonts w:hint="eastAsia" w:ascii="宋体" w:hAnsi="宋体" w:eastAsia="宋体" w:cs="宋体"/>
          <w:color w:val="auto"/>
          <w:sz w:val="24"/>
          <w:szCs w:val="24"/>
          <w:highlight w:val="none"/>
        </w:rPr>
        <w:t>在甲方同意的情况下，除有争端之外的合同其它部分在争端解决前应继续执行。</w:t>
      </w:r>
      <w:bookmarkEnd w:id="148"/>
      <w:bookmarkEnd w:id="149"/>
      <w:bookmarkStart w:id="150" w:name="_Toc520190043"/>
      <w:bookmarkStart w:id="151" w:name="_Toc518993003"/>
      <w:bookmarkStart w:id="152" w:name="_Toc474245229"/>
    </w:p>
    <w:p>
      <w:pPr>
        <w:spacing w:line="384" w:lineRule="auto"/>
        <w:ind w:firstLine="482"/>
        <w:jc w:val="left"/>
        <w:rPr>
          <w:rFonts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第十三条</w:t>
      </w:r>
      <w:bookmarkStart w:id="153" w:name="_Toc107447264"/>
      <w:bookmarkStart w:id="154" w:name="_Toc107446871"/>
      <w:r>
        <w:rPr>
          <w:rFonts w:hint="eastAsia" w:ascii="宋体" w:hAnsi="宋体" w:eastAsia="宋体" w:cs="宋体"/>
          <w:b/>
          <w:bCs/>
          <w:color w:val="auto"/>
          <w:sz w:val="24"/>
          <w:szCs w:val="24"/>
          <w:highlight w:val="none"/>
        </w:rPr>
        <w:t>合同生效及其他</w:t>
      </w:r>
      <w:bookmarkEnd w:id="150"/>
      <w:bookmarkEnd w:id="151"/>
      <w:bookmarkEnd w:id="152"/>
      <w:bookmarkEnd w:id="153"/>
      <w:bookmarkEnd w:id="154"/>
    </w:p>
    <w:p>
      <w:pPr>
        <w:spacing w:line="384" w:lineRule="auto"/>
        <w:ind w:firstLine="480"/>
        <w:rPr>
          <w:rFonts w:ascii="宋体" w:hAnsi="宋体" w:eastAsia="宋体" w:cs="宋体"/>
          <w:color w:val="auto"/>
          <w:sz w:val="24"/>
          <w:szCs w:val="24"/>
          <w:highlight w:val="none"/>
        </w:rPr>
      </w:pPr>
      <w:r>
        <w:rPr>
          <w:rFonts w:ascii="宋体" w:hAnsi="宋体" w:eastAsia="宋体" w:cs="宋体"/>
          <w:color w:val="auto"/>
          <w:sz w:val="24"/>
          <w:szCs w:val="24"/>
          <w:highlight w:val="none"/>
        </w:rPr>
        <w:t>13.1</w:t>
      </w:r>
      <w:r>
        <w:rPr>
          <w:rFonts w:hint="eastAsia" w:ascii="宋体" w:hAnsi="宋体" w:eastAsia="宋体" w:cs="宋体"/>
          <w:color w:val="auto"/>
          <w:sz w:val="24"/>
          <w:szCs w:val="24"/>
          <w:highlight w:val="none"/>
        </w:rPr>
        <w:t>本合同经双方法定代表人或授权代表签字并加盖双方公章后生效</w:t>
      </w:r>
      <w:r>
        <w:rPr>
          <w:rFonts w:ascii="宋体" w:hAnsi="宋体" w:eastAsia="宋体" w:cs="宋体"/>
          <w:color w:val="auto"/>
          <w:sz w:val="24"/>
          <w:szCs w:val="24"/>
          <w:highlight w:val="none"/>
        </w:rPr>
        <w:t>.</w:t>
      </w:r>
    </w:p>
    <w:p>
      <w:pPr>
        <w:spacing w:line="384" w:lineRule="auto"/>
        <w:ind w:firstLine="480"/>
        <w:rPr>
          <w:rFonts w:ascii="宋体" w:hAnsi="宋体" w:eastAsia="宋体" w:cs="宋体"/>
          <w:color w:val="auto"/>
          <w:sz w:val="24"/>
          <w:szCs w:val="24"/>
          <w:highlight w:val="none"/>
        </w:rPr>
      </w:pPr>
      <w:r>
        <w:rPr>
          <w:rFonts w:ascii="宋体" w:hAnsi="宋体" w:eastAsia="宋体" w:cs="宋体"/>
          <w:color w:val="auto"/>
          <w:sz w:val="24"/>
          <w:szCs w:val="24"/>
          <w:highlight w:val="none"/>
        </w:rPr>
        <w:t>13.2</w:t>
      </w:r>
      <w:r>
        <w:rPr>
          <w:rFonts w:hint="eastAsia" w:ascii="宋体" w:hAnsi="宋体" w:eastAsia="宋体" w:cs="宋体"/>
          <w:color w:val="auto"/>
          <w:sz w:val="24"/>
          <w:szCs w:val="24"/>
          <w:highlight w:val="none"/>
        </w:rPr>
        <w:t>本合同正文一式六份，其中：甲方四份，乙方二份。</w:t>
      </w:r>
    </w:p>
    <w:p>
      <w:pPr>
        <w:spacing w:line="384" w:lineRule="auto"/>
        <w:ind w:firstLine="480"/>
        <w:rPr>
          <w:rFonts w:ascii="宋体" w:hAnsi="宋体" w:eastAsia="宋体" w:cs="宋体"/>
          <w:color w:val="auto"/>
          <w:sz w:val="24"/>
          <w:szCs w:val="24"/>
          <w:highlight w:val="none"/>
          <w:u w:val="single"/>
        </w:rPr>
      </w:pPr>
      <w:r>
        <w:rPr>
          <w:rFonts w:ascii="宋体" w:hAnsi="宋体" w:eastAsia="宋体" w:cs="宋体"/>
          <w:color w:val="auto"/>
          <w:sz w:val="24"/>
          <w:szCs w:val="24"/>
          <w:highlight w:val="none"/>
        </w:rPr>
        <w:t>13.</w:t>
      </w:r>
      <w:r>
        <w:rPr>
          <w:rFonts w:hint="eastAsia" w:ascii="宋体" w:hAnsi="宋体" w:eastAsia="宋体" w:cs="宋体"/>
          <w:color w:val="auto"/>
          <w:sz w:val="24"/>
          <w:szCs w:val="24"/>
          <w:highlight w:val="none"/>
        </w:rPr>
        <w:t>3补充条款</w:t>
      </w:r>
      <w:r>
        <w:rPr>
          <w:rFonts w:hint="eastAsia" w:ascii="宋体" w:hAnsi="宋体" w:eastAsia="宋体" w:cs="宋体"/>
          <w:color w:val="auto"/>
          <w:sz w:val="24"/>
          <w:szCs w:val="24"/>
          <w:highlight w:val="none"/>
          <w:u w:val="single"/>
        </w:rPr>
        <w:t>：…</w:t>
      </w:r>
    </w:p>
    <w:p>
      <w:pPr>
        <w:spacing w:line="384" w:lineRule="auto"/>
        <w:ind w:firstLine="480"/>
        <w:rPr>
          <w:rFonts w:ascii="宋体" w:hAnsi="宋体" w:eastAsia="宋体" w:cs="宋体"/>
          <w:color w:val="auto"/>
          <w:sz w:val="24"/>
          <w:szCs w:val="24"/>
          <w:highlight w:val="none"/>
          <w:u w:val="single"/>
        </w:rPr>
      </w:pPr>
    </w:p>
    <w:p>
      <w:pPr>
        <w:spacing w:line="384" w:lineRule="auto"/>
        <w:ind w:firstLine="480"/>
        <w:rPr>
          <w:rFonts w:ascii="宋体" w:hAnsi="宋体" w:eastAsia="宋体" w:cs="宋体"/>
          <w:color w:val="auto"/>
          <w:sz w:val="24"/>
          <w:szCs w:val="24"/>
          <w:highlight w:val="none"/>
          <w:u w:val="single"/>
        </w:rPr>
      </w:pPr>
    </w:p>
    <w:p>
      <w:pPr>
        <w:spacing w:line="384" w:lineRule="auto"/>
        <w:ind w:firstLine="480"/>
        <w:rPr>
          <w:rFonts w:ascii="宋体" w:hAnsi="宋体" w:eastAsia="宋体" w:cs="宋体"/>
          <w:color w:val="auto"/>
          <w:sz w:val="24"/>
          <w:szCs w:val="24"/>
          <w:highlight w:val="none"/>
          <w:u w:val="single"/>
        </w:rPr>
      </w:pPr>
    </w:p>
    <w:p>
      <w:pPr>
        <w:spacing w:line="384" w:lineRule="auto"/>
        <w:rPr>
          <w:rFonts w:ascii="宋体" w:hAnsi="宋体" w:eastAsia="宋体" w:cs="宋体"/>
          <w:color w:val="auto"/>
          <w:sz w:val="24"/>
          <w:szCs w:val="24"/>
          <w:highlight w:val="none"/>
        </w:rPr>
      </w:pPr>
    </w:p>
    <w:p>
      <w:pPr>
        <w:spacing w:line="384" w:lineRule="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附件：</w:t>
      </w:r>
      <w:r>
        <w:rPr>
          <w:rFonts w:ascii="宋体" w:hAnsi="宋体" w:eastAsia="宋体" w:cs="宋体"/>
          <w:color w:val="auto"/>
          <w:sz w:val="24"/>
          <w:szCs w:val="24"/>
          <w:highlight w:val="none"/>
        </w:rPr>
        <w:t>1.</w:t>
      </w:r>
      <w:r>
        <w:rPr>
          <w:rFonts w:hint="eastAsia" w:ascii="宋体" w:hAnsi="宋体" w:eastAsia="宋体" w:cs="宋体"/>
          <w:color w:val="auto"/>
          <w:sz w:val="24"/>
          <w:szCs w:val="24"/>
          <w:highlight w:val="none"/>
        </w:rPr>
        <w:t>中标通知书</w:t>
      </w:r>
      <w:r>
        <w:rPr>
          <w:rFonts w:ascii="宋体" w:hAnsi="宋体" w:eastAsia="宋体" w:cs="宋体"/>
          <w:color w:val="auto"/>
          <w:sz w:val="24"/>
          <w:szCs w:val="24"/>
          <w:highlight w:val="none"/>
        </w:rPr>
        <w:t>/</w:t>
      </w:r>
      <w:r>
        <w:rPr>
          <w:rFonts w:hint="eastAsia" w:ascii="宋体" w:hAnsi="宋体" w:eastAsia="宋体" w:cs="宋体"/>
          <w:color w:val="auto"/>
          <w:sz w:val="24"/>
          <w:szCs w:val="24"/>
          <w:highlight w:val="none"/>
        </w:rPr>
        <w:t>发包通知书</w:t>
      </w:r>
      <w:r>
        <w:rPr>
          <w:rFonts w:ascii="宋体" w:hAnsi="宋体" w:eastAsia="宋体" w:cs="宋体"/>
          <w:color w:val="auto"/>
          <w:sz w:val="24"/>
          <w:szCs w:val="24"/>
          <w:highlight w:val="none"/>
        </w:rPr>
        <w:t>/</w:t>
      </w:r>
      <w:r>
        <w:rPr>
          <w:rFonts w:hint="eastAsia" w:ascii="宋体" w:hAnsi="宋体" w:eastAsia="宋体" w:cs="宋体"/>
          <w:color w:val="auto"/>
          <w:sz w:val="24"/>
          <w:szCs w:val="24"/>
          <w:highlight w:val="none"/>
        </w:rPr>
        <w:t>成交通知书/委托函（如有）</w:t>
      </w:r>
    </w:p>
    <w:p>
      <w:pPr>
        <w:spacing w:line="460" w:lineRule="exact"/>
        <w:ind w:firstLine="720" w:firstLineChars="3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2.廉洁协议</w:t>
      </w:r>
    </w:p>
    <w:p>
      <w:pPr>
        <w:spacing w:line="460" w:lineRule="exact"/>
        <w:ind w:firstLine="720" w:firstLineChars="3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3.不诚信行为的情形及相应被暂停参与投标活动的处理标准</w:t>
      </w:r>
    </w:p>
    <w:p>
      <w:pPr>
        <w:spacing w:line="384" w:lineRule="auto"/>
        <w:ind w:firstLine="720" w:firstLineChars="30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4</w:t>
      </w:r>
      <w:r>
        <w:rPr>
          <w:rFonts w:ascii="宋体" w:hAnsi="宋体" w:eastAsia="宋体" w:cs="宋体"/>
          <w:color w:val="auto"/>
          <w:sz w:val="24"/>
          <w:szCs w:val="24"/>
          <w:highlight w:val="none"/>
        </w:rPr>
        <w:t>.</w:t>
      </w:r>
      <w:r>
        <w:rPr>
          <w:rFonts w:hint="eastAsia" w:ascii="宋体" w:hAnsi="宋体" w:eastAsia="宋体" w:cs="宋体"/>
          <w:color w:val="auto"/>
          <w:sz w:val="24"/>
          <w:szCs w:val="24"/>
          <w:highlight w:val="none"/>
        </w:rPr>
        <w:t>营运场所施工安全协议书（具体以安全办通知为准）</w:t>
      </w:r>
    </w:p>
    <w:p>
      <w:pPr>
        <w:spacing w:line="384" w:lineRule="auto"/>
        <w:rPr>
          <w:rFonts w:ascii="宋体" w:hAnsi="宋体" w:eastAsia="宋体" w:cs="宋体"/>
          <w:color w:val="auto"/>
          <w:sz w:val="24"/>
          <w:szCs w:val="24"/>
          <w:highlight w:val="none"/>
        </w:rPr>
      </w:pPr>
      <w:r>
        <w:rPr>
          <w:rFonts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rPr>
        <w:t xml:space="preserve"> 5</w:t>
      </w:r>
      <w:r>
        <w:rPr>
          <w:rFonts w:ascii="宋体" w:hAnsi="宋体" w:eastAsia="宋体" w:cs="宋体"/>
          <w:color w:val="auto"/>
          <w:sz w:val="24"/>
          <w:szCs w:val="24"/>
          <w:highlight w:val="none"/>
        </w:rPr>
        <w:t>.</w:t>
      </w:r>
      <w:r>
        <w:rPr>
          <w:rFonts w:hint="eastAsia" w:ascii="宋体" w:hAnsi="宋体" w:eastAsia="宋体" w:cs="宋体"/>
          <w:color w:val="auto"/>
          <w:sz w:val="24"/>
          <w:szCs w:val="24"/>
          <w:highlight w:val="none"/>
        </w:rPr>
        <w:t>工程量清单</w:t>
      </w:r>
      <w:r>
        <w:rPr>
          <w:rFonts w:ascii="宋体" w:hAnsi="宋体" w:eastAsia="宋体" w:cs="宋体"/>
          <w:color w:val="auto"/>
          <w:sz w:val="24"/>
          <w:szCs w:val="24"/>
          <w:highlight w:val="none"/>
        </w:rPr>
        <w:t>/</w:t>
      </w:r>
      <w:r>
        <w:rPr>
          <w:rFonts w:hint="eastAsia" w:ascii="宋体" w:hAnsi="宋体" w:eastAsia="宋体" w:cs="宋体"/>
          <w:color w:val="auto"/>
          <w:sz w:val="24"/>
          <w:szCs w:val="24"/>
          <w:highlight w:val="none"/>
        </w:rPr>
        <w:t>报价</w:t>
      </w:r>
    </w:p>
    <w:p>
      <w:pPr>
        <w:spacing w:line="384" w:lineRule="auto"/>
        <w:rPr>
          <w:rFonts w:ascii="宋体" w:hAnsi="宋体" w:eastAsia="宋体" w:cs="宋体"/>
          <w:color w:val="auto"/>
          <w:sz w:val="24"/>
          <w:szCs w:val="24"/>
          <w:highlight w:val="none"/>
        </w:rPr>
      </w:pPr>
      <w:r>
        <w:rPr>
          <w:rFonts w:ascii="宋体" w:hAnsi="宋体" w:eastAsia="宋体" w:cs="宋体"/>
          <w:color w:val="auto"/>
          <w:sz w:val="24"/>
          <w:szCs w:val="24"/>
          <w:highlight w:val="none"/>
        </w:rPr>
        <w:t xml:space="preserve">     </w:t>
      </w:r>
      <w:r>
        <w:rPr>
          <w:rFonts w:hint="eastAsia" w:ascii="宋体" w:hAnsi="宋体" w:eastAsia="宋体" w:cs="宋体"/>
          <w:color w:val="auto"/>
          <w:sz w:val="24"/>
          <w:szCs w:val="24"/>
          <w:highlight w:val="none"/>
        </w:rPr>
        <w:t xml:space="preserve"> 6</w:t>
      </w:r>
      <w:r>
        <w:rPr>
          <w:rFonts w:ascii="宋体" w:hAnsi="宋体" w:eastAsia="宋体" w:cs="宋体"/>
          <w:color w:val="auto"/>
          <w:sz w:val="24"/>
          <w:szCs w:val="24"/>
          <w:highlight w:val="none"/>
        </w:rPr>
        <w:t>.</w:t>
      </w:r>
      <w:r>
        <w:rPr>
          <w:rFonts w:hint="eastAsia" w:ascii="宋体" w:hAnsi="宋体" w:eastAsia="宋体" w:cs="宋体"/>
          <w:color w:val="auto"/>
          <w:sz w:val="24"/>
          <w:szCs w:val="24"/>
          <w:highlight w:val="none"/>
        </w:rPr>
        <w:t>项目投入人员架构表</w:t>
      </w:r>
      <w:r>
        <w:rPr>
          <w:rFonts w:ascii="宋体" w:hAnsi="宋体" w:eastAsia="宋体" w:cs="宋体"/>
          <w:color w:val="auto"/>
          <w:sz w:val="24"/>
          <w:szCs w:val="24"/>
          <w:highlight w:val="none"/>
        </w:rPr>
        <w:t xml:space="preserve"> </w:t>
      </w:r>
    </w:p>
    <w:p>
      <w:pPr>
        <w:spacing w:line="360" w:lineRule="auto"/>
        <w:rPr>
          <w:rFonts w:asciiTheme="minorEastAsia" w:hAnsiTheme="minorEastAsia" w:cstheme="minorEastAsia"/>
          <w:color w:val="auto"/>
          <w:sz w:val="24"/>
          <w:szCs w:val="24"/>
          <w:highlight w:val="none"/>
        </w:rPr>
      </w:pPr>
      <w:r>
        <w:rPr>
          <w:rFonts w:hint="eastAsia" w:asciiTheme="minorEastAsia" w:hAnsiTheme="minorEastAsia" w:cstheme="minorEastAsia"/>
          <w:color w:val="auto"/>
          <w:sz w:val="24"/>
          <w:szCs w:val="24"/>
          <w:highlight w:val="none"/>
        </w:rPr>
        <w:t xml:space="preserve">      7.</w:t>
      </w:r>
      <w:r>
        <w:rPr>
          <w:rFonts w:hint="eastAsia" w:ascii="宋体" w:hAnsi="宋体" w:eastAsia="宋体" w:cs="宋体"/>
          <w:color w:val="auto"/>
          <w:sz w:val="24"/>
          <w:szCs w:val="24"/>
          <w:highlight w:val="none"/>
        </w:rPr>
        <w:t>履约保函（模板）</w:t>
      </w:r>
    </w:p>
    <w:p>
      <w:pPr>
        <w:spacing w:line="360" w:lineRule="auto"/>
        <w:ind w:firstLine="720" w:firstLineChars="300"/>
        <w:rPr>
          <w:rFonts w:asciiTheme="minorEastAsia" w:hAnsiTheme="minorEastAsia" w:cstheme="minorEastAsia"/>
          <w:color w:val="auto"/>
          <w:sz w:val="24"/>
          <w:szCs w:val="24"/>
          <w:highlight w:val="none"/>
        </w:rPr>
      </w:pPr>
      <w:r>
        <w:rPr>
          <w:rFonts w:hint="eastAsia" w:ascii="宋体" w:hAnsi="宋体" w:eastAsia="宋体" w:cs="宋体"/>
          <w:color w:val="auto"/>
          <w:sz w:val="24"/>
          <w:szCs w:val="24"/>
          <w:highlight w:val="none"/>
        </w:rPr>
        <w:t>8.</w:t>
      </w:r>
      <w:r>
        <w:rPr>
          <w:rFonts w:hint="eastAsia" w:asciiTheme="minorEastAsia" w:hAnsiTheme="minorEastAsia" w:cstheme="minorEastAsia"/>
          <w:color w:val="auto"/>
          <w:sz w:val="24"/>
          <w:szCs w:val="24"/>
          <w:highlight w:val="none"/>
        </w:rPr>
        <w:t>应急救援物资清单（如需）</w:t>
      </w:r>
    </w:p>
    <w:p>
      <w:pPr>
        <w:spacing w:line="360" w:lineRule="auto"/>
        <w:ind w:left="718" w:leftChars="342" w:firstLine="0" w:firstLineChars="0"/>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9.授权委托证明（如需）</w:t>
      </w:r>
      <w:r>
        <w:rPr>
          <w:rFonts w:hint="eastAsia" w:ascii="宋体" w:hAnsi="宋体" w:eastAsia="宋体" w:cs="宋体"/>
          <w:color w:val="auto"/>
          <w:sz w:val="24"/>
          <w:szCs w:val="24"/>
          <w:highlight w:val="none"/>
        </w:rPr>
        <w:br w:type="textWrapping"/>
      </w:r>
      <w:r>
        <w:rPr>
          <w:rFonts w:hint="eastAsia" w:ascii="宋体" w:hAnsi="宋体" w:eastAsia="宋体" w:cs="宋体"/>
          <w:color w:val="auto"/>
          <w:sz w:val="24"/>
          <w:szCs w:val="24"/>
          <w:highlight w:val="none"/>
          <w:lang w:val="en-US" w:eastAsia="zh-CN"/>
        </w:rPr>
        <w:t>10.预付款保函</w:t>
      </w:r>
    </w:p>
    <w:p>
      <w:pPr>
        <w:adjustRightInd w:val="0"/>
        <w:snapToGrid w:val="0"/>
        <w:ind w:firstLine="720" w:firstLineChars="300"/>
        <w:rPr>
          <w:rFonts w:ascii="宋体" w:hAnsi="宋体" w:eastAsia="宋体" w:cs="宋体"/>
          <w:color w:val="auto"/>
          <w:sz w:val="24"/>
          <w:szCs w:val="24"/>
          <w:highlight w:val="none"/>
        </w:rPr>
      </w:pPr>
    </w:p>
    <w:p>
      <w:pPr>
        <w:spacing w:line="384" w:lineRule="auto"/>
        <w:ind w:firstLine="720" w:firstLineChars="300"/>
        <w:rPr>
          <w:rFonts w:ascii="宋体" w:hAnsi="宋体" w:eastAsia="宋体" w:cs="宋体"/>
          <w:color w:val="auto"/>
          <w:sz w:val="24"/>
          <w:szCs w:val="24"/>
          <w:highlight w:val="none"/>
        </w:rPr>
      </w:pPr>
    </w:p>
    <w:p>
      <w:pPr>
        <w:spacing w:line="384" w:lineRule="auto"/>
        <w:rPr>
          <w:rFonts w:ascii="宋体" w:hAnsi="宋体" w:eastAsia="宋体" w:cs="宋体"/>
          <w:color w:val="auto"/>
          <w:sz w:val="24"/>
          <w:szCs w:val="24"/>
          <w:highlight w:val="none"/>
        </w:rPr>
      </w:pPr>
    </w:p>
    <w:p>
      <w:pPr>
        <w:spacing w:line="384" w:lineRule="auto"/>
        <w:rPr>
          <w:rFonts w:ascii="宋体" w:hAnsi="宋体" w:eastAsia="宋体" w:cs="宋体"/>
          <w:color w:val="auto"/>
          <w:sz w:val="24"/>
          <w:szCs w:val="24"/>
          <w:highlight w:val="none"/>
        </w:rPr>
      </w:pPr>
    </w:p>
    <w:p>
      <w:pPr>
        <w:spacing w:line="384" w:lineRule="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甲方：广州市净水有限公司（盖章）     乙方：（盖章）</w:t>
      </w:r>
    </w:p>
    <w:p>
      <w:pPr>
        <w:spacing w:line="384" w:lineRule="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 或                         法定代表人或</w:t>
      </w:r>
    </w:p>
    <w:p>
      <w:pPr>
        <w:spacing w:line="384" w:lineRule="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授权代理人：                         授权代理人：</w:t>
      </w:r>
    </w:p>
    <w:p>
      <w:pPr>
        <w:spacing w:line="384" w:lineRule="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地址：                                  地址：</w:t>
      </w:r>
    </w:p>
    <w:p>
      <w:pPr>
        <w:spacing w:line="384" w:lineRule="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经办人：                              经办人：</w:t>
      </w:r>
    </w:p>
    <w:p>
      <w:pPr>
        <w:spacing w:line="384" w:lineRule="auto"/>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                           联系电话：</w:t>
      </w:r>
    </w:p>
    <w:p>
      <w:pPr>
        <w:spacing w:line="384" w:lineRule="auto"/>
        <w:ind w:left="6360" w:hanging="6360" w:hangingChars="265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传真：                                传真：</w:t>
      </w:r>
    </w:p>
    <w:p>
      <w:pPr>
        <w:spacing w:line="384" w:lineRule="auto"/>
        <w:ind w:left="6360" w:hanging="6360" w:hangingChars="2650"/>
        <w:rPr>
          <w:rFonts w:ascii="宋体" w:hAnsi="宋体" w:eastAsia="宋体" w:cs="宋体"/>
          <w:color w:val="auto"/>
          <w:sz w:val="24"/>
          <w:szCs w:val="24"/>
          <w:highlight w:val="none"/>
        </w:rPr>
      </w:pPr>
      <w:r>
        <w:rPr>
          <w:rFonts w:hint="eastAsia" w:ascii="宋体" w:hAnsi="宋体" w:eastAsia="宋体" w:cs="宋体"/>
          <w:color w:val="auto"/>
          <w:sz w:val="24"/>
          <w:szCs w:val="24"/>
          <w:highlight w:val="none"/>
        </w:rPr>
        <w:t>签署日期：年月日                    签署日期：年月日</w:t>
      </w:r>
    </w:p>
    <w:p>
      <w:pPr>
        <w:spacing w:line="360" w:lineRule="auto"/>
        <w:rPr>
          <w:rFonts w:ascii="宋体" w:hAnsi="宋体" w:eastAsia="宋体" w:cs="宋体"/>
          <w:b/>
          <w:bCs/>
          <w:color w:val="auto"/>
          <w:szCs w:val="21"/>
          <w:highlight w:val="none"/>
        </w:rPr>
      </w:pPr>
    </w:p>
    <w:p>
      <w:pPr>
        <w:widowControl/>
        <w:jc w:val="left"/>
        <w:rPr>
          <w:rFonts w:ascii="宋体" w:hAnsi="宋体" w:eastAsia="宋体" w:cs="宋体"/>
          <w:b/>
          <w:bCs/>
          <w:color w:val="auto"/>
          <w:szCs w:val="21"/>
          <w:highlight w:val="none"/>
        </w:rPr>
      </w:pPr>
      <w:r>
        <w:rPr>
          <w:rFonts w:ascii="宋体" w:hAnsi="宋体" w:eastAsia="宋体" w:cs="宋体"/>
          <w:b/>
          <w:bCs/>
          <w:color w:val="auto"/>
          <w:szCs w:val="21"/>
          <w:highlight w:val="none"/>
        </w:rPr>
        <w:br w:type="page"/>
      </w:r>
    </w:p>
    <w:p>
      <w:pPr>
        <w:spacing w:line="360" w:lineRule="auto"/>
        <w:rPr>
          <w:rFonts w:ascii="宋体" w:hAnsi="宋体" w:eastAsia="宋体" w:cs="宋体"/>
          <w:b/>
          <w:bCs/>
          <w:color w:val="auto"/>
          <w:szCs w:val="21"/>
          <w:highlight w:val="none"/>
        </w:rPr>
      </w:pPr>
    </w:p>
    <w:p>
      <w:pPr>
        <w:spacing w:line="360" w:lineRule="auto"/>
        <w:rPr>
          <w:rFonts w:ascii="宋体" w:hAnsi="宋体" w:eastAsia="宋体" w:cs="宋体"/>
          <w:b/>
          <w:bCs/>
          <w:color w:val="auto"/>
          <w:szCs w:val="21"/>
          <w:highlight w:val="none"/>
        </w:rPr>
      </w:pPr>
      <w:r>
        <w:rPr>
          <w:rFonts w:hint="eastAsia" w:ascii="宋体" w:hAnsi="宋体" w:eastAsia="宋体" w:cs="宋体"/>
          <w:b/>
          <w:bCs/>
          <w:color w:val="auto"/>
          <w:szCs w:val="21"/>
          <w:highlight w:val="none"/>
        </w:rPr>
        <w:t>附件1  中标通知书/发包通知书/委托函（如有）</w:t>
      </w:r>
    </w:p>
    <w:p>
      <w:pPr>
        <w:spacing w:line="360" w:lineRule="auto"/>
        <w:rPr>
          <w:rFonts w:ascii="宋体" w:hAnsi="宋体" w:eastAsia="宋体" w:cs="宋体"/>
          <w:b/>
          <w:bCs/>
          <w:color w:val="auto"/>
          <w:szCs w:val="21"/>
          <w:highlight w:val="none"/>
        </w:rPr>
      </w:pPr>
      <w:bookmarkStart w:id="155" w:name="_Toc389815031"/>
      <w:bookmarkStart w:id="156" w:name="_Toc387080836"/>
      <w:bookmarkStart w:id="157" w:name="_Toc389815339"/>
      <w:r>
        <w:rPr>
          <w:rFonts w:hint="eastAsia" w:ascii="宋体" w:hAnsi="宋体" w:eastAsia="宋体" w:cs="宋体"/>
          <w:b/>
          <w:bCs/>
          <w:color w:val="auto"/>
          <w:szCs w:val="21"/>
          <w:highlight w:val="none"/>
        </w:rPr>
        <w:t>附件</w:t>
      </w:r>
      <w:r>
        <w:rPr>
          <w:rFonts w:ascii="宋体" w:hAnsi="宋体" w:eastAsia="宋体" w:cs="宋体"/>
          <w:b/>
          <w:bCs/>
          <w:color w:val="auto"/>
          <w:szCs w:val="21"/>
          <w:highlight w:val="none"/>
        </w:rPr>
        <w:t>2</w:t>
      </w:r>
      <w:r>
        <w:rPr>
          <w:rFonts w:hint="eastAsia" w:ascii="宋体" w:hAnsi="宋体" w:eastAsia="宋体" w:cs="宋体"/>
          <w:b/>
          <w:bCs/>
          <w:color w:val="auto"/>
          <w:szCs w:val="21"/>
          <w:highlight w:val="none"/>
        </w:rPr>
        <w:t>：廉洁协议</w:t>
      </w:r>
    </w:p>
    <w:p>
      <w:pPr>
        <w:spacing w:line="560" w:lineRule="exact"/>
        <w:ind w:firstLine="3640" w:firstLineChars="1300"/>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廉洁协议</w:t>
      </w:r>
    </w:p>
    <w:p>
      <w:pPr>
        <w:spacing w:line="560" w:lineRule="exact"/>
        <w:ind w:firstLine="630" w:firstLineChars="225"/>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为促进双方诚信经营、廉洁从业，防范商业贿赂，保护国家、集体和当事人的合法权益，根据国家有关法律法规和广东省、广州市廉政建设的规定，</w:t>
      </w:r>
      <w:r>
        <w:rPr>
          <w:rFonts w:hint="eastAsia" w:ascii="仿宋_GB2312" w:hAnsi="仿宋_GB2312" w:eastAsia="仿宋_GB2312" w:cs="仿宋_GB2312"/>
          <w:bCs/>
          <w:color w:val="auto"/>
          <w:sz w:val="28"/>
          <w:szCs w:val="28"/>
          <w:highlight w:val="none"/>
          <w:u w:val="single"/>
        </w:rPr>
        <w:t>广州市净水有限公司</w:t>
      </w:r>
      <w:r>
        <w:rPr>
          <w:rFonts w:hint="eastAsia" w:ascii="仿宋_GB2312" w:hAnsi="仿宋_GB2312" w:eastAsia="仿宋_GB2312" w:cs="仿宋_GB2312"/>
          <w:bCs/>
          <w:color w:val="auto"/>
          <w:sz w:val="28"/>
          <w:szCs w:val="28"/>
          <w:highlight w:val="none"/>
        </w:rPr>
        <w:t>(以下称甲方)与(以下称乙方)，特此订立本协议共同遵照执行。</w:t>
      </w:r>
    </w:p>
    <w:p>
      <w:pPr>
        <w:spacing w:line="560" w:lineRule="exact"/>
        <w:ind w:firstLine="560" w:firstLineChars="200"/>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第一条 甲乙双方的权利和义务</w:t>
      </w:r>
    </w:p>
    <w:p>
      <w:pPr>
        <w:spacing w:line="560" w:lineRule="exact"/>
        <w:ind w:firstLine="420" w:firstLineChars="150"/>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（一）甲乙双方严格遵守国家关于市场准入、项目招标投标、市场经营活动等有关法律、法规相关政策及廉政建设的各项规定。</w:t>
      </w:r>
    </w:p>
    <w:p>
      <w:pPr>
        <w:spacing w:line="560" w:lineRule="exact"/>
        <w:ind w:firstLine="420" w:firstLineChars="150"/>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（二）严格执行</w:t>
      </w:r>
      <w:r>
        <w:rPr>
          <w:rFonts w:hint="eastAsia" w:ascii="仿宋_GB2312" w:hAnsi="仿宋_GB2312" w:eastAsia="仿宋_GB2312" w:cs="仿宋_GB2312"/>
          <w:bCs/>
          <w:color w:val="auto"/>
          <w:sz w:val="28"/>
          <w:szCs w:val="28"/>
          <w:highlight w:val="none"/>
          <w:u w:val="single"/>
        </w:rPr>
        <w:t xml:space="preserve">       </w:t>
      </w:r>
      <w:r>
        <w:rPr>
          <w:rFonts w:hint="eastAsia" w:ascii="仿宋_GB2312" w:hAnsi="仿宋_GB2312" w:eastAsia="仿宋_GB2312" w:cs="仿宋_GB2312"/>
          <w:bCs/>
          <w:color w:val="auto"/>
          <w:sz w:val="28"/>
          <w:szCs w:val="28"/>
          <w:highlight w:val="none"/>
        </w:rPr>
        <w:t>合同（以下简称：主合同），自觉履行合同约定的相关义务。</w:t>
      </w:r>
    </w:p>
    <w:p>
      <w:pPr>
        <w:spacing w:line="560" w:lineRule="exact"/>
        <w:ind w:firstLine="420" w:firstLineChars="150"/>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（三）在业务活动中坚持公开、公正、诚信、透明的原则，不得损害国家、集体利益。</w:t>
      </w:r>
    </w:p>
    <w:p>
      <w:pPr>
        <w:spacing w:line="560" w:lineRule="exact"/>
        <w:ind w:firstLine="420" w:firstLineChars="150"/>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（四）建立健全廉洁从业制度，开展廉洁教育，公布举报电话，监督并认真查处不廉洁及违法违纪行为。</w:t>
      </w:r>
    </w:p>
    <w:p>
      <w:pPr>
        <w:spacing w:line="560" w:lineRule="exact"/>
        <w:ind w:firstLine="420" w:firstLineChars="150"/>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（五）发现对方在业务活动中有不廉洁行为，应及时提醒对方纠正。情节严重的，应向其有关监督部门检举。</w:t>
      </w:r>
    </w:p>
    <w:p>
      <w:pPr>
        <w:spacing w:line="560" w:lineRule="exact"/>
        <w:ind w:firstLine="560" w:firstLineChars="200"/>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第二条甲方的义务</w:t>
      </w:r>
    </w:p>
    <w:p>
      <w:pPr>
        <w:spacing w:line="560" w:lineRule="exact"/>
        <w:ind w:firstLine="560" w:firstLineChars="200"/>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（一）甲方及其工作人员不得索要或接受乙方的礼金、有价证券和贵重物品，不得在乙方报销任何应由甲方或个人支付的费用等。</w:t>
      </w:r>
    </w:p>
    <w:p>
      <w:pPr>
        <w:spacing w:line="560" w:lineRule="exact"/>
        <w:ind w:firstLine="560" w:firstLineChars="200"/>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二）甲方工作人员不得参加乙方安排的可能影响相关业务公开、公正、公平性的宴请和娱乐活动；不得参与任何形式的赌博，并通过赌博方式收受乙方财物；不得接受乙方提供的通讯工具、交通工具（合同约定除外）和高档办公用品等。</w:t>
      </w:r>
    </w:p>
    <w:p>
      <w:pPr>
        <w:spacing w:line="560" w:lineRule="exact"/>
        <w:ind w:left="15" w:leftChars="7" w:firstLine="560" w:firstLineChars="200"/>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（三）甲方及其工作人员不得要求或者接受乙方为其住房装修、婚丧嫁娶活动、配偶子女工作安排以及出国出境、旅游等提供方便等。</w:t>
      </w:r>
    </w:p>
    <w:p>
      <w:pPr>
        <w:spacing w:line="560" w:lineRule="exact"/>
        <w:ind w:left="15" w:leftChars="7" w:firstLine="560" w:firstLineChars="200"/>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（四）甲方工作人员不得在乙方或与乙方有股权关联的企业兼职，不得向乙方介绍家属或者亲友从事与甲方业务有关的经济活动。</w:t>
      </w:r>
    </w:p>
    <w:p>
      <w:pPr>
        <w:spacing w:line="560" w:lineRule="exact"/>
        <w:ind w:left="15" w:leftChars="7" w:firstLine="560" w:firstLineChars="200"/>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五）甲方工作人员不得以明显低于市场的价格向乙方购买房屋、汽车等物品；不得以明显高于市场的价格向乙方出售房屋、汽车等物品；不得使用乙方提供的与工作无关的房屋、汽车等物品；不得以其他交易形式非法收受请托人财物。</w:t>
      </w:r>
    </w:p>
    <w:p>
      <w:pPr>
        <w:spacing w:line="560" w:lineRule="exact"/>
        <w:ind w:left="15" w:leftChars="7" w:firstLine="560" w:firstLineChars="200"/>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（六）甲方工作人员不得利用职务之便收受乙方以回扣、手续费、加班费、咨询费、劳务费、协调费、辛苦费等各种名义给予或赠送的钱物。</w:t>
      </w:r>
    </w:p>
    <w:p>
      <w:pPr>
        <w:spacing w:line="560" w:lineRule="exact"/>
        <w:ind w:left="15" w:leftChars="7" w:firstLine="560" w:firstLineChars="200"/>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（七）甲方工作人员不得接受乙方给予或赠送的干股或红利。</w:t>
      </w:r>
    </w:p>
    <w:p>
      <w:pPr>
        <w:spacing w:line="560" w:lineRule="exact"/>
        <w:ind w:left="15" w:leftChars="7" w:firstLine="560" w:firstLineChars="200"/>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(八）不得存在其他违反廉洁规定的行为。</w:t>
      </w:r>
    </w:p>
    <w:p>
      <w:pPr>
        <w:spacing w:line="560" w:lineRule="exact"/>
        <w:ind w:firstLine="560" w:firstLineChars="200"/>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第三条乙方的义务</w:t>
      </w:r>
    </w:p>
    <w:p>
      <w:pPr>
        <w:spacing w:line="560" w:lineRule="exact"/>
        <w:ind w:firstLine="560" w:firstLineChars="200"/>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（一）乙方不得以任何理由向甲方及其工作人员行贿或馈赠礼金、有价证券、贵重礼品。</w:t>
      </w:r>
    </w:p>
    <w:p>
      <w:pPr>
        <w:spacing w:line="560" w:lineRule="exact"/>
        <w:ind w:firstLine="560" w:firstLineChars="200"/>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（二)乙方不得以任何名义为甲方及其工作人员报销应由甲方单位或个人支付的任何费用。</w:t>
      </w:r>
    </w:p>
    <w:p>
      <w:pPr>
        <w:spacing w:line="560" w:lineRule="exact"/>
        <w:ind w:left="25" w:leftChars="12" w:firstLine="560" w:firstLineChars="200"/>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（三）乙方不得以任何理由安排甲方工作人员参加可能影响相关业务公开、公正、公平性的宴请及娱乐活动。</w:t>
      </w:r>
    </w:p>
    <w:p>
      <w:pPr>
        <w:spacing w:after="120" w:line="560" w:lineRule="exact"/>
        <w:ind w:left="420" w:leftChars="200"/>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（四）乙方不得为甲方单位和个人购置或提供通讯工具和高档办公用品等物品，也不得为甲方提供与工作无关的房屋、汽车等。</w:t>
      </w:r>
    </w:p>
    <w:p>
      <w:pPr>
        <w:spacing w:line="560" w:lineRule="exact"/>
        <w:ind w:firstLine="560" w:firstLineChars="200"/>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（五）乙方不得擅自与甲方工作人员就主合同中的质量、数量、价格、工程量、验收等条款进行私下商谈或者达成默契。</w:t>
      </w:r>
    </w:p>
    <w:p>
      <w:pPr>
        <w:spacing w:line="560" w:lineRule="exact"/>
        <w:ind w:firstLine="560" w:firstLineChars="200"/>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（六）乙方不得以回扣、手续费、加班费、咨询费、劳务费、协调费、辛苦费等各种名义向甲方工作人员给予或赠送钱物。</w:t>
      </w:r>
    </w:p>
    <w:p>
      <w:pPr>
        <w:spacing w:line="560" w:lineRule="exact"/>
        <w:ind w:firstLine="560" w:firstLineChars="200"/>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（七）乙方不得向甲方工作人员提供干股或红利。</w:t>
      </w:r>
    </w:p>
    <w:p>
      <w:pPr>
        <w:spacing w:line="560" w:lineRule="exact"/>
        <w:ind w:left="15" w:leftChars="7" w:firstLine="560" w:firstLineChars="200"/>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(八）不得存在其他违反廉洁规定的行为。</w:t>
      </w:r>
    </w:p>
    <w:p>
      <w:pPr>
        <w:spacing w:line="560" w:lineRule="exact"/>
        <w:ind w:firstLine="560" w:firstLineChars="200"/>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第四条违约责任</w:t>
      </w:r>
    </w:p>
    <w:p>
      <w:pPr>
        <w:spacing w:line="560" w:lineRule="exact"/>
        <w:ind w:firstLine="560" w:firstLineChars="200"/>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（一）甲方及其工作人员违反本协议第一、二条。甲方按管理权限，对相关责任人依据有关规定给予处理；涉嫌犯罪的，移交司法机关追究刑事责任；给乙方单位造成经济损失的，应予以赔偿。</w:t>
      </w:r>
    </w:p>
    <w:p>
      <w:pPr>
        <w:spacing w:line="560" w:lineRule="exact"/>
        <w:ind w:firstLine="560" w:firstLineChars="200"/>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甲方举报投诉联系部门：广州市净水有限公司</w:t>
      </w:r>
      <w:r>
        <w:rPr>
          <w:rFonts w:hint="eastAsia" w:ascii="仿宋_GB2312" w:hAnsi="仿宋_GB2312" w:eastAsia="仿宋_GB2312" w:cs="仿宋_GB2312"/>
          <w:bCs/>
          <w:color w:val="auto"/>
          <w:sz w:val="28"/>
          <w:szCs w:val="28"/>
          <w:highlight w:val="none"/>
          <w:u w:val="single"/>
        </w:rPr>
        <w:t>纪检室</w:t>
      </w:r>
      <w:r>
        <w:rPr>
          <w:rFonts w:hint="eastAsia" w:ascii="仿宋_GB2312" w:hAnsi="仿宋_GB2312" w:eastAsia="仿宋_GB2312" w:cs="仿宋_GB2312"/>
          <w:bCs/>
          <w:color w:val="auto"/>
          <w:sz w:val="28"/>
          <w:szCs w:val="28"/>
          <w:highlight w:val="none"/>
        </w:rPr>
        <w:t>，联系电话：</w:t>
      </w:r>
      <w:r>
        <w:rPr>
          <w:rFonts w:hint="eastAsia" w:ascii="仿宋_GB2312" w:hAnsi="仿宋_GB2312" w:eastAsia="仿宋_GB2312" w:cs="仿宋_GB2312"/>
          <w:bCs/>
          <w:color w:val="auto"/>
          <w:sz w:val="28"/>
          <w:szCs w:val="28"/>
          <w:highlight w:val="none"/>
          <w:u w:val="single"/>
        </w:rPr>
        <w:t xml:space="preserve"> 020-38890265 </w:t>
      </w:r>
      <w:r>
        <w:rPr>
          <w:rFonts w:hint="eastAsia" w:ascii="仿宋_GB2312" w:hAnsi="仿宋_GB2312" w:eastAsia="仿宋_GB2312" w:cs="仿宋_GB2312"/>
          <w:bCs/>
          <w:color w:val="auto"/>
          <w:sz w:val="28"/>
          <w:szCs w:val="28"/>
          <w:highlight w:val="none"/>
        </w:rPr>
        <w:t>。</w:t>
      </w:r>
    </w:p>
    <w:p>
      <w:pPr>
        <w:widowControl/>
        <w:spacing w:before="100" w:beforeAutospacing="1" w:after="100" w:afterAutospacing="1" w:line="560" w:lineRule="exact"/>
        <w:jc w:val="left"/>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二）乙方及其工作人员存在违反本协议第一、三条规定、或在甲方招标、询价等过程中违反法律法规中的廉洁规定的行为，无论该行为是否与主合同有关，甲方均有权根据具体情节和造成的后果，对乙方采取以下处理方式：</w:t>
      </w:r>
    </w:p>
    <w:p>
      <w:pPr>
        <w:widowControl/>
        <w:spacing w:before="100" w:beforeAutospacing="1" w:after="100" w:afterAutospacing="1" w:line="560" w:lineRule="exact"/>
        <w:jc w:val="left"/>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1、扣除主合同的全部履约保证金；</w:t>
      </w:r>
    </w:p>
    <w:p>
      <w:pPr>
        <w:widowControl/>
        <w:spacing w:before="100" w:beforeAutospacing="1" w:after="100" w:afterAutospacing="1" w:line="560" w:lineRule="exact"/>
        <w:jc w:val="left"/>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2、解除主合同；</w:t>
      </w:r>
    </w:p>
    <w:p>
      <w:pPr>
        <w:widowControl/>
        <w:spacing w:before="100" w:beforeAutospacing="1" w:after="100" w:afterAutospacing="1" w:line="560" w:lineRule="exact"/>
        <w:jc w:val="left"/>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3、追究乙方其他违约责任；</w:t>
      </w:r>
    </w:p>
    <w:p>
      <w:pPr>
        <w:widowControl/>
        <w:spacing w:before="100" w:beforeAutospacing="1" w:after="100" w:afterAutospacing="1" w:line="560" w:lineRule="exact"/>
        <w:jc w:val="left"/>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4、根据甲方的有关规章制度，在一定时间内暂停乙方参与甲方及下属单位所有项目的交易资格；</w:t>
      </w:r>
    </w:p>
    <w:p>
      <w:pPr>
        <w:widowControl/>
        <w:spacing w:before="100" w:beforeAutospacing="1" w:after="100" w:afterAutospacing="1" w:line="560" w:lineRule="exact"/>
        <w:jc w:val="left"/>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5、根据甲方的有关规章制度，将乙方清退出甲方相关企业库；</w:t>
      </w:r>
    </w:p>
    <w:p>
      <w:pPr>
        <w:widowControl/>
        <w:spacing w:before="100" w:beforeAutospacing="1" w:after="100" w:afterAutospacing="1" w:line="560" w:lineRule="exact"/>
        <w:jc w:val="left"/>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6、根据甲方上级单位、行政主管部门的意见、决定执行；</w:t>
      </w:r>
    </w:p>
    <w:p>
      <w:pPr>
        <w:widowControl/>
        <w:spacing w:before="100" w:beforeAutospacing="1" w:after="100" w:afterAutospacing="1" w:line="560" w:lineRule="exact"/>
        <w:jc w:val="left"/>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kern w:val="0"/>
          <w:sz w:val="28"/>
          <w:szCs w:val="28"/>
          <w:highlight w:val="none"/>
        </w:rPr>
        <w:t>7、按规定向有关行政监督部门、乙方业务管理部门进行投诉、报告。</w:t>
      </w:r>
    </w:p>
    <w:p>
      <w:pPr>
        <w:spacing w:line="560" w:lineRule="exact"/>
        <w:ind w:firstLine="560" w:firstLineChars="200"/>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乙方无条件接受甲方的处理决定并承担给甲方造成的损失，全额返还通过不正当手段获取的非法所得，并承担相应的法律责任。</w:t>
      </w:r>
    </w:p>
    <w:p>
      <w:pPr>
        <w:spacing w:line="560" w:lineRule="exact"/>
        <w:ind w:firstLine="560" w:firstLineChars="200"/>
        <w:rPr>
          <w:rFonts w:ascii="仿宋_GB2312" w:hAnsi="仿宋_GB2312" w:eastAsia="仿宋_GB2312" w:cs="仿宋_GB2312"/>
          <w:bCs/>
          <w:color w:val="auto"/>
          <w:kern w:val="0"/>
          <w:sz w:val="28"/>
          <w:szCs w:val="28"/>
          <w:highlight w:val="none"/>
        </w:rPr>
      </w:pPr>
      <w:r>
        <w:rPr>
          <w:rFonts w:hint="eastAsia" w:ascii="仿宋_GB2312" w:hAnsi="仿宋_GB2312" w:eastAsia="仿宋_GB2312" w:cs="仿宋_GB2312"/>
          <w:bCs/>
          <w:color w:val="auto"/>
          <w:sz w:val="28"/>
          <w:szCs w:val="28"/>
          <w:highlight w:val="none"/>
        </w:rPr>
        <w:t xml:space="preserve">第五条 </w:t>
      </w:r>
      <w:r>
        <w:rPr>
          <w:rFonts w:hint="eastAsia" w:ascii="仿宋_GB2312" w:hAnsi="仿宋_GB2312" w:eastAsia="仿宋_GB2312" w:cs="仿宋_GB2312"/>
          <w:bCs/>
          <w:color w:val="auto"/>
          <w:kern w:val="0"/>
          <w:sz w:val="28"/>
          <w:szCs w:val="28"/>
          <w:highlight w:val="none"/>
        </w:rPr>
        <w:t xml:space="preserve">本协议执行情况，接受有管辖权的纪检、监察部门的监督，双方应予以配合检查调查。 </w:t>
      </w:r>
    </w:p>
    <w:p>
      <w:pPr>
        <w:spacing w:line="560" w:lineRule="exact"/>
        <w:ind w:firstLine="560" w:firstLineChars="200"/>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第六条本协议作为</w:t>
      </w:r>
      <w:r>
        <w:rPr>
          <w:rFonts w:hint="eastAsia" w:ascii="仿宋_GB2312" w:hAnsi="仿宋_GB2312" w:eastAsia="仿宋_GB2312" w:cs="仿宋_GB2312"/>
          <w:bCs/>
          <w:color w:val="auto"/>
          <w:sz w:val="28"/>
          <w:szCs w:val="28"/>
          <w:highlight w:val="none"/>
          <w:u w:val="single"/>
        </w:rPr>
        <w:t>（合同名称）+（合同编号）</w:t>
      </w:r>
      <w:r>
        <w:rPr>
          <w:rFonts w:hint="eastAsia" w:ascii="仿宋_GB2312" w:hAnsi="仿宋_GB2312" w:eastAsia="仿宋_GB2312" w:cs="仿宋_GB2312"/>
          <w:bCs/>
          <w:color w:val="auto"/>
          <w:sz w:val="28"/>
          <w:szCs w:val="28"/>
          <w:highlight w:val="none"/>
        </w:rPr>
        <w:t>合同的附件，并具有同等的法律效力，本协议自双方签字盖章之日起生效，与主合同同时终止。</w:t>
      </w:r>
    </w:p>
    <w:p>
      <w:pPr>
        <w:spacing w:line="560" w:lineRule="exact"/>
        <w:ind w:firstLine="560" w:firstLineChars="200"/>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第七条本协议一式</w:t>
      </w:r>
      <w:r>
        <w:rPr>
          <w:rFonts w:hint="eastAsia" w:ascii="仿宋_GB2312" w:hAnsi="仿宋_GB2312" w:eastAsia="仿宋_GB2312" w:cs="仿宋_GB2312"/>
          <w:bCs/>
          <w:color w:val="auto"/>
          <w:sz w:val="28"/>
          <w:szCs w:val="28"/>
          <w:highlight w:val="none"/>
          <w:u w:val="single"/>
        </w:rPr>
        <w:t>…</w:t>
      </w:r>
      <w:r>
        <w:rPr>
          <w:rFonts w:hint="eastAsia" w:ascii="仿宋_GB2312" w:hAnsi="仿宋_GB2312" w:eastAsia="仿宋_GB2312" w:cs="仿宋_GB2312"/>
          <w:bCs/>
          <w:color w:val="auto"/>
          <w:sz w:val="28"/>
          <w:szCs w:val="28"/>
          <w:highlight w:val="none"/>
        </w:rPr>
        <w:t>份，甲方</w:t>
      </w:r>
      <w:r>
        <w:rPr>
          <w:rFonts w:hint="eastAsia" w:ascii="仿宋_GB2312" w:hAnsi="仿宋_GB2312" w:eastAsia="仿宋_GB2312" w:cs="仿宋_GB2312"/>
          <w:bCs/>
          <w:color w:val="auto"/>
          <w:sz w:val="28"/>
          <w:szCs w:val="28"/>
          <w:highlight w:val="none"/>
          <w:u w:val="single"/>
        </w:rPr>
        <w:t>…</w:t>
      </w:r>
      <w:r>
        <w:rPr>
          <w:rFonts w:hint="eastAsia" w:ascii="仿宋_GB2312" w:hAnsi="仿宋_GB2312" w:eastAsia="仿宋_GB2312" w:cs="仿宋_GB2312"/>
          <w:bCs/>
          <w:color w:val="auto"/>
          <w:sz w:val="28"/>
          <w:szCs w:val="28"/>
          <w:highlight w:val="none"/>
        </w:rPr>
        <w:t>份，乙方</w:t>
      </w:r>
      <w:r>
        <w:rPr>
          <w:rFonts w:hint="eastAsia" w:ascii="仿宋_GB2312" w:hAnsi="仿宋_GB2312" w:eastAsia="仿宋_GB2312" w:cs="仿宋_GB2312"/>
          <w:bCs/>
          <w:color w:val="auto"/>
          <w:sz w:val="28"/>
          <w:szCs w:val="28"/>
          <w:highlight w:val="none"/>
          <w:u w:val="single"/>
        </w:rPr>
        <w:t>…</w:t>
      </w:r>
      <w:r>
        <w:rPr>
          <w:rFonts w:hint="eastAsia" w:ascii="仿宋_GB2312" w:hAnsi="仿宋_GB2312" w:eastAsia="仿宋_GB2312" w:cs="仿宋_GB2312"/>
          <w:bCs/>
          <w:color w:val="auto"/>
          <w:sz w:val="28"/>
          <w:szCs w:val="28"/>
          <w:highlight w:val="none"/>
        </w:rPr>
        <w:t>份。</w:t>
      </w:r>
    </w:p>
    <w:p>
      <w:pPr>
        <w:spacing w:line="560" w:lineRule="exact"/>
        <w:ind w:firstLine="560" w:firstLineChars="200"/>
        <w:rPr>
          <w:rFonts w:ascii="仿宋_GB2312" w:hAnsi="仿宋_GB2312" w:eastAsia="仿宋_GB2312" w:cs="仿宋_GB2312"/>
          <w:bCs/>
          <w:color w:val="auto"/>
          <w:sz w:val="28"/>
          <w:szCs w:val="28"/>
          <w:highlight w:val="none"/>
        </w:rPr>
      </w:pPr>
    </w:p>
    <w:p>
      <w:pPr>
        <w:spacing w:line="560" w:lineRule="exact"/>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甲方（盖章）：                     乙方（盖章）：</w:t>
      </w:r>
    </w:p>
    <w:p>
      <w:pPr>
        <w:tabs>
          <w:tab w:val="left" w:pos="5100"/>
        </w:tabs>
        <w:spacing w:line="560" w:lineRule="exact"/>
        <w:ind w:left="7200"/>
        <w:jc w:val="left"/>
        <w:rPr>
          <w:rFonts w:ascii="仿宋_GB2312" w:hAnsi="仿宋_GB2312" w:eastAsia="仿宋_GB2312" w:cs="仿宋_GB2312"/>
          <w:bCs/>
          <w:color w:val="auto"/>
          <w:sz w:val="28"/>
          <w:szCs w:val="28"/>
          <w:highlight w:val="none"/>
        </w:rPr>
      </w:pPr>
    </w:p>
    <w:p>
      <w:pPr>
        <w:tabs>
          <w:tab w:val="left" w:pos="5100"/>
        </w:tabs>
        <w:spacing w:line="560" w:lineRule="exact"/>
        <w:ind w:left="8400" w:hanging="8400" w:hangingChars="3000"/>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签约代表：                         签约代表：</w:t>
      </w:r>
    </w:p>
    <w:p>
      <w:pPr>
        <w:tabs>
          <w:tab w:val="left" w:pos="4170"/>
        </w:tabs>
        <w:spacing w:line="560" w:lineRule="exact"/>
        <w:rPr>
          <w:rFonts w:ascii="仿宋_GB2312" w:hAnsi="仿宋_GB2312" w:eastAsia="仿宋_GB2312" w:cs="仿宋_GB2312"/>
          <w:bCs/>
          <w:color w:val="auto"/>
          <w:sz w:val="28"/>
          <w:szCs w:val="28"/>
          <w:highlight w:val="none"/>
        </w:rPr>
      </w:pPr>
      <w:r>
        <w:rPr>
          <w:rFonts w:hint="eastAsia" w:ascii="仿宋_GB2312" w:hAnsi="仿宋_GB2312" w:eastAsia="仿宋_GB2312" w:cs="仿宋_GB2312"/>
          <w:bCs/>
          <w:color w:val="auto"/>
          <w:sz w:val="28"/>
          <w:szCs w:val="28"/>
          <w:highlight w:val="none"/>
        </w:rPr>
        <w:t>日期:    年  月  日</w:t>
      </w:r>
      <w:r>
        <w:rPr>
          <w:rFonts w:hint="eastAsia" w:ascii="仿宋_GB2312" w:hAnsi="仿宋_GB2312" w:eastAsia="仿宋_GB2312" w:cs="仿宋_GB2312"/>
          <w:bCs/>
          <w:color w:val="auto"/>
          <w:sz w:val="28"/>
          <w:szCs w:val="28"/>
          <w:highlight w:val="none"/>
        </w:rPr>
        <w:tab/>
      </w:r>
      <w:r>
        <w:rPr>
          <w:rFonts w:hint="eastAsia" w:ascii="仿宋_GB2312" w:hAnsi="仿宋_GB2312" w:eastAsia="仿宋_GB2312" w:cs="仿宋_GB2312"/>
          <w:bCs/>
          <w:color w:val="auto"/>
          <w:sz w:val="28"/>
          <w:szCs w:val="28"/>
          <w:highlight w:val="none"/>
        </w:rPr>
        <w:t>日期：  年  月  日</w:t>
      </w:r>
    </w:p>
    <w:p>
      <w:pPr>
        <w:spacing w:line="360" w:lineRule="auto"/>
        <w:ind w:firstLine="560" w:firstLineChars="200"/>
        <w:rPr>
          <w:rFonts w:ascii="仿宋_GB2312" w:hAnsi="仿宋_GB2312" w:eastAsia="仿宋_GB2312" w:cs="仿宋_GB2312"/>
          <w:bCs/>
          <w:color w:val="auto"/>
          <w:sz w:val="28"/>
          <w:szCs w:val="28"/>
          <w:highlight w:val="none"/>
        </w:rPr>
      </w:pPr>
    </w:p>
    <w:p>
      <w:pPr>
        <w:spacing w:line="360" w:lineRule="auto"/>
        <w:rPr>
          <w:rFonts w:ascii="仿宋_GB2312" w:hAnsi="仿宋_GB2312" w:eastAsia="仿宋_GB2312" w:cs="仿宋_GB2312"/>
          <w:bCs/>
          <w:color w:val="auto"/>
          <w:sz w:val="28"/>
          <w:szCs w:val="28"/>
          <w:highlight w:val="none"/>
        </w:rPr>
      </w:pPr>
    </w:p>
    <w:p>
      <w:pPr>
        <w:adjustRightInd w:val="0"/>
        <w:snapToGrid w:val="0"/>
        <w:rPr>
          <w:rFonts w:ascii="宋体" w:hAnsi="宋体" w:eastAsia="宋体" w:cs="宋体"/>
          <w:color w:val="auto"/>
          <w:szCs w:val="21"/>
          <w:highlight w:val="none"/>
        </w:rPr>
      </w:pPr>
      <w:r>
        <w:rPr>
          <w:rFonts w:hint="eastAsia" w:ascii="宋体" w:hAnsi="宋体" w:eastAsia="宋体" w:cs="宋体"/>
          <w:b/>
          <w:bCs/>
          <w:color w:val="auto"/>
          <w:szCs w:val="21"/>
          <w:highlight w:val="none"/>
        </w:rPr>
        <w:t>附件3.</w:t>
      </w:r>
      <w:r>
        <w:rPr>
          <w:rFonts w:hint="eastAsia" w:ascii="宋体" w:hAnsi="宋体" w:eastAsia="宋体" w:cs="宋体"/>
          <w:color w:val="auto"/>
          <w:szCs w:val="21"/>
          <w:highlight w:val="none"/>
        </w:rPr>
        <w:t>不诚信行为的情形及相应被暂停参与投标活动的处理标准</w:t>
      </w:r>
    </w:p>
    <w:tbl>
      <w:tblPr>
        <w:tblStyle w:val="21"/>
        <w:tblW w:w="97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
        <w:gridCol w:w="426"/>
        <w:gridCol w:w="5245"/>
        <w:gridCol w:w="850"/>
        <w:gridCol w:w="198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序号</w:t>
            </w:r>
          </w:p>
        </w:tc>
        <w:tc>
          <w:tcPr>
            <w:tcW w:w="5671"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不诚信行为的情形</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处理</w:t>
            </w:r>
          </w:p>
          <w:p>
            <w:pPr>
              <w:adjustRightInd w:val="0"/>
              <w:snapToGrid w:val="0"/>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期限</w:t>
            </w:r>
          </w:p>
        </w:tc>
        <w:tc>
          <w:tcPr>
            <w:tcW w:w="198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情节严重或拒不改正的延长处理期限</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w:t>
            </w:r>
          </w:p>
        </w:tc>
        <w:tc>
          <w:tcPr>
            <w:tcW w:w="426"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安全不诚信行为</w:t>
            </w: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（一）建设生产现场发生人员重伤或死亡的。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发生重伤或死亡1～2人的，暂停投标1年至2年（含）。</w:t>
            </w:r>
          </w:p>
          <w:p>
            <w:pPr>
              <w:adjustRightInd w:val="0"/>
              <w:snapToGrid w:val="0"/>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发生重伤或死亡3～9人的，暂停投标2年以上至4年。</w:t>
            </w:r>
          </w:p>
          <w:p>
            <w:pPr>
              <w:adjustRightInd w:val="0"/>
              <w:snapToGrid w:val="0"/>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发生重伤10人以上（含）、或重大及以上事故的，暂停投标4年或以上。</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政府认定责任事故增加6个月。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2"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2</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二）发生基坑坍塌、高支模坍塌、结构坍塌、周边建筑物沉降、管线损坏、火灾、爆炸等，虽无人员伤亡但造成重大社会负面影响的事件。重大社会负面影响包括但不限于交通中断、大面积停水停电停气、大范围通信中断、人员紧急疏散、中断行车2小时以上，大面积运营晚点，或群体性事件等。</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视情况暂停投标1至2年。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9"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3</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（三）根据《广州市净水有限公司工程项目承包单位考评细则》安全管理未达标且符合限制投标处罚标准的。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暂停投标1年。若至下一个自然年度项目尚未完结，仍出现该款情形的，继续暂停投标1年；同理执行至工程建设项目完工验收完成。</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4</w:t>
            </w:r>
          </w:p>
        </w:tc>
        <w:tc>
          <w:tcPr>
            <w:tcW w:w="426"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质量不诚信行为</w:t>
            </w: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（一）由于质量问题对建设项目的使用功能造成影响且无法挽回的。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暂停投标1年。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8"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5</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（二）根据《广州市净水有限公司工程项目承包单位考评细则》质量管理未达标且符合限制投标处罚标准的。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暂停投标1年。若至下一个自然年度项目尚未完结，仍出现该款情形的，继续暂停投标1年；同理执行至工程建设项目完工验收完成。</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6</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（三）发生其他由质量问题而引起的重大社会负面影响事件的。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视情况暂停投标6个月至2年。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7</w:t>
            </w:r>
          </w:p>
        </w:tc>
        <w:tc>
          <w:tcPr>
            <w:tcW w:w="426" w:type="dxa"/>
            <w:vMerge w:val="restart"/>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其他不诚信</w:t>
            </w:r>
          </w:p>
          <w:p>
            <w:pPr>
              <w:adjustRightInd w:val="0"/>
              <w:snapToGrid w:val="0"/>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行为</w:t>
            </w: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（一）投标、询价过程弄虚作假、串通报价投标、任意弃标</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198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8</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（二）发生质量事故或安全事故造成社会负面影响需要面对媒体和进行危机公关，参建企业法定代表人在规定的时间内未到现场面对媒体进行危机公关的。</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198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9</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（三）因参建企业原因造成信访、维稳事件，造成较大社会影响。</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198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10</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（四）中标后转包工程、非法分包工程、非法转让业务的。</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198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11</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（五）因人员、机械投入及配套服务投入不足，主要管理人员未按照投标文件响应到位，导致严重影响工期，被市水投集团相关部门及发包人督办、警告和约谈3次的。</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198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12</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（六）未经批准擅自更换项目经理的。</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6个月</w:t>
            </w:r>
          </w:p>
        </w:tc>
        <w:tc>
          <w:tcPr>
            <w:tcW w:w="198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13</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（七）严重违反合同约定的，具体包括但不限于以下行为：</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视情况暂停投标6个月至2年。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14</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1.提供或使用假冒伪劣或以次充好产品、不符合国家规范规定材料的。</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6个月</w:t>
            </w:r>
          </w:p>
        </w:tc>
        <w:tc>
          <w:tcPr>
            <w:tcW w:w="198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15</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2.工程竣工验收后，不出具质量保修书的，或质量保修的内容、期限违反规定的。</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6个月</w:t>
            </w:r>
          </w:p>
        </w:tc>
        <w:tc>
          <w:tcPr>
            <w:tcW w:w="198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16</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3.不履行保修义务或者拖延履行保修义务的。</w:t>
            </w:r>
          </w:p>
        </w:tc>
        <w:tc>
          <w:tcPr>
            <w:tcW w:w="850"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6个月</w:t>
            </w:r>
          </w:p>
        </w:tc>
        <w:tc>
          <w:tcPr>
            <w:tcW w:w="1985" w:type="dxa"/>
            <w:tcBorders>
              <w:top w:val="single" w:color="auto" w:sz="4" w:space="0"/>
              <w:left w:val="single" w:color="auto" w:sz="4" w:space="0"/>
              <w:bottom w:val="single" w:color="auto" w:sz="4" w:space="0"/>
              <w:right w:val="single" w:color="auto" w:sz="4" w:space="0"/>
            </w:tcBorders>
            <w:noWrap/>
            <w:vAlign w:val="center"/>
          </w:tcPr>
          <w:p>
            <w:pPr>
              <w:jc w:val="center"/>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17</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4.其他经认定为严重违反合同规定的。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视情况暂停投标6个月至2年。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18</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（八）违反廉洁协议约定的。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视情况暂停投标6个月至2年。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19</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（九）拖欠农民工工资，造成不良后果的。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视情况暂停投标6个月至2年。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20</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（十）为谋取非法利益，给市水投集团或发包人造成损失的。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视情况暂停投标6个月至2年。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21</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（十一）因参建企业原因造成第三者财产重大损失的。</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视情况暂停投标6个月至2年。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color w:val="auto"/>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42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center"/>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22</w:t>
            </w:r>
          </w:p>
        </w:tc>
        <w:tc>
          <w:tcPr>
            <w:tcW w:w="0" w:type="auto"/>
            <w:vMerge w:val="continue"/>
            <w:tcBorders>
              <w:top w:val="single" w:color="auto" w:sz="4" w:space="0"/>
              <w:left w:val="single" w:color="auto" w:sz="4" w:space="0"/>
              <w:bottom w:val="single" w:color="auto" w:sz="4" w:space="0"/>
              <w:right w:val="single" w:color="auto" w:sz="4" w:space="0"/>
            </w:tcBorders>
            <w:noWrap/>
            <w:vAlign w:val="center"/>
          </w:tcPr>
          <w:p>
            <w:pPr>
              <w:rPr>
                <w:rFonts w:ascii="仿宋_GB2312" w:hAnsi="仿宋_GB2312" w:eastAsia="仿宋_GB2312" w:cs="仿宋_GB2312"/>
                <w:color w:val="auto"/>
                <w:szCs w:val="24"/>
                <w:highlight w:val="none"/>
              </w:rPr>
            </w:pPr>
          </w:p>
        </w:tc>
        <w:tc>
          <w:tcPr>
            <w:tcW w:w="5245"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jc w:val="left"/>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（十二）经发包人认定的其他不诚信行为。</w:t>
            </w:r>
          </w:p>
        </w:tc>
        <w:tc>
          <w:tcPr>
            <w:tcW w:w="2835" w:type="dxa"/>
            <w:gridSpan w:val="2"/>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color w:val="auto"/>
                <w:szCs w:val="24"/>
                <w:highlight w:val="none"/>
              </w:rPr>
            </w:pPr>
            <w:r>
              <w:rPr>
                <w:rFonts w:hint="eastAsia" w:ascii="仿宋_GB2312" w:hAnsi="仿宋_GB2312" w:eastAsia="仿宋_GB2312" w:cs="仿宋_GB2312"/>
                <w:color w:val="auto"/>
                <w:szCs w:val="24"/>
                <w:highlight w:val="none"/>
              </w:rPr>
              <w:t>视情况暂停投标6个月至2年。</w:t>
            </w:r>
          </w:p>
        </w:tc>
        <w:tc>
          <w:tcPr>
            <w:tcW w:w="850" w:type="dxa"/>
            <w:tcBorders>
              <w:top w:val="single" w:color="auto" w:sz="4" w:space="0"/>
              <w:left w:val="single" w:color="auto" w:sz="4" w:space="0"/>
              <w:bottom w:val="single" w:color="auto" w:sz="4" w:space="0"/>
              <w:right w:val="single" w:color="auto" w:sz="4" w:space="0"/>
            </w:tcBorders>
            <w:noWrap/>
            <w:vAlign w:val="center"/>
          </w:tcPr>
          <w:p>
            <w:pPr>
              <w:adjustRightInd w:val="0"/>
              <w:snapToGrid w:val="0"/>
              <w:rPr>
                <w:rFonts w:ascii="仿宋_GB2312" w:hAnsi="仿宋_GB2312" w:eastAsia="仿宋_GB2312" w:cs="仿宋_GB2312"/>
                <w:color w:val="auto"/>
                <w:szCs w:val="24"/>
                <w:highlight w:val="none"/>
              </w:rPr>
            </w:pPr>
          </w:p>
        </w:tc>
      </w:tr>
    </w:tbl>
    <w:tbl>
      <w:tblPr>
        <w:tblStyle w:val="21"/>
        <w:tblpPr w:leftFromText="180" w:rightFromText="180" w:vertAnchor="text" w:horzAnchor="page" w:tblpX="1200" w:tblpY="618"/>
        <w:tblOverlap w:val="never"/>
        <w:tblW w:w="10478" w:type="dxa"/>
        <w:tblInd w:w="0" w:type="dxa"/>
        <w:tblLayout w:type="autofit"/>
        <w:tblCellMar>
          <w:top w:w="0" w:type="dxa"/>
          <w:left w:w="0" w:type="dxa"/>
          <w:bottom w:w="0" w:type="dxa"/>
          <w:right w:w="0" w:type="dxa"/>
        </w:tblCellMar>
      </w:tblPr>
      <w:tblGrid>
        <w:gridCol w:w="420"/>
        <w:gridCol w:w="875"/>
        <w:gridCol w:w="729"/>
        <w:gridCol w:w="4362"/>
        <w:gridCol w:w="1023"/>
        <w:gridCol w:w="1023"/>
        <w:gridCol w:w="1023"/>
        <w:gridCol w:w="1023"/>
      </w:tblGrid>
      <w:tr>
        <w:tblPrEx>
          <w:tblCellMar>
            <w:top w:w="0" w:type="dxa"/>
            <w:left w:w="0" w:type="dxa"/>
            <w:bottom w:w="0" w:type="dxa"/>
            <w:right w:w="0" w:type="dxa"/>
          </w:tblCellMar>
        </w:tblPrEx>
        <w:trPr>
          <w:trHeight w:val="300" w:hRule="atLeast"/>
        </w:trPr>
        <w:tc>
          <w:tcPr>
            <w:tcW w:w="1295" w:type="dxa"/>
            <w:gridSpan w:val="2"/>
            <w:tcBorders>
              <w:top w:val="nil"/>
              <w:left w:val="nil"/>
              <w:bottom w:val="nil"/>
              <w:right w:val="nil"/>
            </w:tcBorders>
            <w:shd w:val="clear" w:color="auto" w:fill="auto"/>
            <w:noWrap/>
            <w:tcMar>
              <w:top w:w="12" w:type="dxa"/>
              <w:left w:w="12" w:type="dxa"/>
              <w:right w:w="12" w:type="dxa"/>
            </w:tcMar>
            <w:vAlign w:val="center"/>
          </w:tcPr>
          <w:p>
            <w:pPr>
              <w:widowControl/>
              <w:jc w:val="left"/>
              <w:textAlignment w:val="center"/>
              <w:rPr>
                <w:rFonts w:ascii="等线" w:hAnsi="等线" w:eastAsia="等线" w:cs="等线"/>
                <w:color w:val="auto"/>
                <w:sz w:val="16"/>
                <w:szCs w:val="16"/>
                <w:highlight w:val="none"/>
              </w:rPr>
            </w:pPr>
            <w:r>
              <w:rPr>
                <w:rFonts w:hint="eastAsia" w:ascii="等线" w:hAnsi="等线" w:eastAsia="等线" w:cs="等线"/>
                <w:color w:val="auto"/>
                <w:kern w:val="0"/>
                <w:sz w:val="16"/>
                <w:szCs w:val="16"/>
                <w:highlight w:val="none"/>
                <w:lang w:bidi="ar"/>
              </w:rPr>
              <w:t>附件2-1</w:t>
            </w:r>
          </w:p>
        </w:tc>
        <w:tc>
          <w:tcPr>
            <w:tcW w:w="729" w:type="dxa"/>
            <w:tcBorders>
              <w:top w:val="nil"/>
              <w:left w:val="nil"/>
              <w:bottom w:val="nil"/>
              <w:right w:val="nil"/>
            </w:tcBorders>
            <w:shd w:val="clear" w:color="auto" w:fill="auto"/>
            <w:noWrap/>
            <w:tcMar>
              <w:top w:w="12" w:type="dxa"/>
              <w:left w:w="12" w:type="dxa"/>
              <w:right w:w="12" w:type="dxa"/>
            </w:tcMar>
            <w:vAlign w:val="center"/>
          </w:tcPr>
          <w:p>
            <w:pPr>
              <w:jc w:val="left"/>
              <w:rPr>
                <w:rFonts w:ascii="等线" w:hAnsi="等线" w:eastAsia="等线" w:cs="等线"/>
                <w:color w:val="auto"/>
                <w:sz w:val="16"/>
                <w:szCs w:val="16"/>
                <w:highlight w:val="none"/>
              </w:rPr>
            </w:pPr>
          </w:p>
        </w:tc>
        <w:tc>
          <w:tcPr>
            <w:tcW w:w="4362" w:type="dxa"/>
            <w:tcBorders>
              <w:top w:val="nil"/>
              <w:left w:val="nil"/>
              <w:bottom w:val="nil"/>
              <w:right w:val="nil"/>
            </w:tcBorders>
            <w:shd w:val="clear" w:color="auto" w:fill="auto"/>
            <w:noWrap/>
            <w:tcMar>
              <w:top w:w="12" w:type="dxa"/>
              <w:left w:w="12" w:type="dxa"/>
              <w:right w:w="12" w:type="dxa"/>
            </w:tcMar>
            <w:vAlign w:val="center"/>
          </w:tcPr>
          <w:p>
            <w:pPr>
              <w:rPr>
                <w:rFonts w:ascii="等线" w:hAnsi="等线" w:eastAsia="等线" w:cs="等线"/>
                <w:color w:val="auto"/>
                <w:sz w:val="16"/>
                <w:szCs w:val="16"/>
                <w:highlight w:val="none"/>
              </w:rPr>
            </w:pPr>
          </w:p>
        </w:tc>
        <w:tc>
          <w:tcPr>
            <w:tcW w:w="1023" w:type="dxa"/>
            <w:tcBorders>
              <w:top w:val="nil"/>
              <w:left w:val="nil"/>
              <w:bottom w:val="nil"/>
              <w:right w:val="nil"/>
            </w:tcBorders>
            <w:shd w:val="clear" w:color="auto" w:fill="auto"/>
            <w:noWrap/>
            <w:tcMar>
              <w:top w:w="12" w:type="dxa"/>
              <w:left w:w="12" w:type="dxa"/>
              <w:right w:w="12" w:type="dxa"/>
            </w:tcMar>
            <w:vAlign w:val="center"/>
          </w:tcPr>
          <w:p>
            <w:pPr>
              <w:rPr>
                <w:rFonts w:ascii="等线" w:hAnsi="等线" w:eastAsia="等线" w:cs="等线"/>
                <w:color w:val="auto"/>
                <w:sz w:val="16"/>
                <w:szCs w:val="16"/>
                <w:highlight w:val="none"/>
              </w:rPr>
            </w:pPr>
          </w:p>
        </w:tc>
        <w:tc>
          <w:tcPr>
            <w:tcW w:w="1023" w:type="dxa"/>
            <w:tcBorders>
              <w:top w:val="nil"/>
              <w:left w:val="nil"/>
              <w:bottom w:val="nil"/>
              <w:right w:val="nil"/>
            </w:tcBorders>
            <w:shd w:val="clear" w:color="auto" w:fill="auto"/>
            <w:noWrap/>
            <w:tcMar>
              <w:top w:w="12" w:type="dxa"/>
              <w:left w:w="12" w:type="dxa"/>
              <w:right w:w="12" w:type="dxa"/>
            </w:tcMar>
            <w:vAlign w:val="center"/>
          </w:tcPr>
          <w:p>
            <w:pPr>
              <w:rPr>
                <w:rFonts w:ascii="等线" w:hAnsi="等线" w:eastAsia="等线" w:cs="等线"/>
                <w:color w:val="auto"/>
                <w:sz w:val="16"/>
                <w:szCs w:val="16"/>
                <w:highlight w:val="none"/>
              </w:rPr>
            </w:pPr>
          </w:p>
        </w:tc>
        <w:tc>
          <w:tcPr>
            <w:tcW w:w="1023" w:type="dxa"/>
            <w:tcBorders>
              <w:top w:val="nil"/>
              <w:left w:val="nil"/>
              <w:bottom w:val="nil"/>
              <w:right w:val="nil"/>
            </w:tcBorders>
            <w:shd w:val="clear" w:color="auto" w:fill="auto"/>
            <w:noWrap/>
            <w:tcMar>
              <w:top w:w="12" w:type="dxa"/>
              <w:left w:w="12" w:type="dxa"/>
              <w:right w:w="12" w:type="dxa"/>
            </w:tcMar>
            <w:vAlign w:val="center"/>
          </w:tcPr>
          <w:p>
            <w:pPr>
              <w:rPr>
                <w:rFonts w:ascii="等线" w:hAnsi="等线" w:eastAsia="等线" w:cs="等线"/>
                <w:color w:val="auto"/>
                <w:sz w:val="16"/>
                <w:szCs w:val="16"/>
                <w:highlight w:val="none"/>
              </w:rPr>
            </w:pPr>
          </w:p>
        </w:tc>
        <w:tc>
          <w:tcPr>
            <w:tcW w:w="1023" w:type="dxa"/>
            <w:tcBorders>
              <w:top w:val="nil"/>
              <w:left w:val="nil"/>
              <w:bottom w:val="nil"/>
              <w:right w:val="nil"/>
            </w:tcBorders>
            <w:shd w:val="clear" w:color="auto" w:fill="auto"/>
            <w:noWrap/>
            <w:tcMar>
              <w:top w:w="12" w:type="dxa"/>
              <w:left w:w="12" w:type="dxa"/>
              <w:right w:w="12" w:type="dxa"/>
            </w:tcMar>
            <w:vAlign w:val="center"/>
          </w:tcPr>
          <w:p>
            <w:pPr>
              <w:jc w:val="center"/>
              <w:rPr>
                <w:rFonts w:ascii="等线" w:hAnsi="等线" w:eastAsia="等线" w:cs="等线"/>
                <w:color w:val="auto"/>
                <w:sz w:val="16"/>
                <w:szCs w:val="16"/>
                <w:highlight w:val="none"/>
              </w:rPr>
            </w:pPr>
          </w:p>
        </w:tc>
      </w:tr>
      <w:tr>
        <w:tblPrEx>
          <w:tblCellMar>
            <w:top w:w="0" w:type="dxa"/>
            <w:left w:w="0" w:type="dxa"/>
            <w:bottom w:w="0" w:type="dxa"/>
            <w:right w:w="0" w:type="dxa"/>
          </w:tblCellMar>
        </w:tblPrEx>
        <w:trPr>
          <w:trHeight w:val="320" w:hRule="atLeast"/>
        </w:trPr>
        <w:tc>
          <w:tcPr>
            <w:tcW w:w="10478" w:type="dxa"/>
            <w:gridSpan w:val="8"/>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b/>
                <w:color w:val="auto"/>
                <w:sz w:val="16"/>
                <w:szCs w:val="16"/>
                <w:highlight w:val="none"/>
              </w:rPr>
            </w:pPr>
            <w:r>
              <w:rPr>
                <w:rFonts w:hint="eastAsia" w:ascii="等线" w:hAnsi="等线" w:eastAsia="等线" w:cs="等线"/>
                <w:b/>
                <w:color w:val="auto"/>
                <w:kern w:val="0"/>
                <w:sz w:val="16"/>
                <w:szCs w:val="16"/>
                <w:highlight w:val="none"/>
                <w:lang w:bidi="ar"/>
              </w:rPr>
              <w:t>营运项目承包单位日常履约考评参照表（安全）</w:t>
            </w:r>
          </w:p>
        </w:tc>
      </w:tr>
      <w:tr>
        <w:tblPrEx>
          <w:tblCellMar>
            <w:top w:w="0" w:type="dxa"/>
            <w:left w:w="0" w:type="dxa"/>
            <w:bottom w:w="0" w:type="dxa"/>
            <w:right w:w="0" w:type="dxa"/>
          </w:tblCellMar>
        </w:tblPrEx>
        <w:trPr>
          <w:trHeight w:val="100" w:hRule="atLeast"/>
        </w:trPr>
        <w:tc>
          <w:tcPr>
            <w:tcW w:w="42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color w:val="auto"/>
                <w:sz w:val="16"/>
                <w:szCs w:val="16"/>
                <w:highlight w:val="none"/>
              </w:rPr>
            </w:pPr>
            <w:r>
              <w:rPr>
                <w:rFonts w:hint="eastAsia" w:ascii="等线" w:hAnsi="等线" w:eastAsia="等线" w:cs="等线"/>
                <w:color w:val="auto"/>
                <w:kern w:val="0"/>
                <w:sz w:val="16"/>
                <w:szCs w:val="16"/>
                <w:highlight w:val="none"/>
                <w:lang w:bidi="ar"/>
              </w:rPr>
              <w:t>序号</w:t>
            </w:r>
          </w:p>
        </w:tc>
        <w:tc>
          <w:tcPr>
            <w:tcW w:w="8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color w:val="auto"/>
                <w:sz w:val="16"/>
                <w:szCs w:val="16"/>
                <w:highlight w:val="none"/>
              </w:rPr>
            </w:pPr>
            <w:r>
              <w:rPr>
                <w:rFonts w:hint="eastAsia" w:ascii="等线" w:hAnsi="等线" w:eastAsia="等线" w:cs="等线"/>
                <w:color w:val="auto"/>
                <w:kern w:val="0"/>
                <w:sz w:val="16"/>
                <w:szCs w:val="16"/>
                <w:highlight w:val="none"/>
                <w:lang w:bidi="ar"/>
              </w:rPr>
              <w:t>考评项目</w:t>
            </w:r>
          </w:p>
        </w:tc>
        <w:tc>
          <w:tcPr>
            <w:tcW w:w="7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color w:val="auto"/>
                <w:sz w:val="16"/>
                <w:szCs w:val="16"/>
                <w:highlight w:val="none"/>
              </w:rPr>
            </w:pPr>
            <w:r>
              <w:rPr>
                <w:rFonts w:hint="eastAsia" w:ascii="等线" w:hAnsi="等线" w:eastAsia="等线" w:cs="等线"/>
                <w:color w:val="auto"/>
                <w:kern w:val="0"/>
                <w:sz w:val="16"/>
                <w:szCs w:val="16"/>
                <w:highlight w:val="none"/>
                <w:lang w:bidi="ar"/>
              </w:rPr>
              <w:t>考评分项</w:t>
            </w:r>
          </w:p>
        </w:tc>
        <w:tc>
          <w:tcPr>
            <w:tcW w:w="4362"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color w:val="auto"/>
                <w:sz w:val="16"/>
                <w:szCs w:val="16"/>
                <w:highlight w:val="none"/>
              </w:rPr>
            </w:pPr>
            <w:r>
              <w:rPr>
                <w:rFonts w:hint="eastAsia" w:ascii="等线" w:hAnsi="等线" w:eastAsia="等线" w:cs="等线"/>
                <w:color w:val="auto"/>
                <w:kern w:val="0"/>
                <w:sz w:val="16"/>
                <w:szCs w:val="16"/>
                <w:highlight w:val="none"/>
                <w:lang w:bidi="ar"/>
              </w:rPr>
              <w:t>考评内容</w:t>
            </w:r>
          </w:p>
        </w:tc>
        <w:tc>
          <w:tcPr>
            <w:tcW w:w="4092" w:type="dxa"/>
            <w:gridSpan w:val="4"/>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等线" w:hAnsi="等线" w:eastAsia="等线" w:cs="等线"/>
                <w:color w:val="auto"/>
                <w:sz w:val="16"/>
                <w:szCs w:val="16"/>
                <w:highlight w:val="none"/>
              </w:rPr>
            </w:pPr>
          </w:p>
        </w:tc>
      </w:tr>
      <w:tr>
        <w:tblPrEx>
          <w:tblCellMar>
            <w:top w:w="0" w:type="dxa"/>
            <w:left w:w="0" w:type="dxa"/>
            <w:bottom w:w="0" w:type="dxa"/>
            <w:right w:w="0" w:type="dxa"/>
          </w:tblCellMar>
        </w:tblPrEx>
        <w:trPr>
          <w:trHeight w:val="420" w:hRule="atLeast"/>
        </w:trPr>
        <w:tc>
          <w:tcPr>
            <w:tcW w:w="42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等线" w:hAnsi="等线" w:eastAsia="等线" w:cs="等线"/>
                <w:color w:val="auto"/>
                <w:sz w:val="16"/>
                <w:szCs w:val="16"/>
                <w:highlight w:val="none"/>
              </w:rPr>
            </w:pP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等线" w:hAnsi="等线" w:eastAsia="等线" w:cs="等线"/>
                <w:color w:val="auto"/>
                <w:sz w:val="16"/>
                <w:szCs w:val="16"/>
                <w:highlight w:val="none"/>
              </w:rPr>
            </w:pPr>
          </w:p>
        </w:tc>
        <w:tc>
          <w:tcPr>
            <w:tcW w:w="7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等线" w:hAnsi="等线" w:eastAsia="等线" w:cs="等线"/>
                <w:color w:val="auto"/>
                <w:sz w:val="16"/>
                <w:szCs w:val="16"/>
                <w:highlight w:val="none"/>
              </w:rPr>
            </w:pPr>
          </w:p>
        </w:tc>
        <w:tc>
          <w:tcPr>
            <w:tcW w:w="4362"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等线" w:hAnsi="等线" w:eastAsia="等线" w:cs="等线"/>
                <w:color w:val="auto"/>
                <w:sz w:val="16"/>
                <w:szCs w:val="16"/>
                <w:highlight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等线" w:hAnsi="等线" w:eastAsia="等线" w:cs="等线"/>
                <w:color w:val="auto"/>
                <w:sz w:val="16"/>
                <w:szCs w:val="16"/>
                <w:highlight w:val="none"/>
              </w:rPr>
            </w:pPr>
            <w:r>
              <w:rPr>
                <w:rFonts w:hint="eastAsia" w:ascii="等线" w:hAnsi="等线" w:eastAsia="等线" w:cs="等线"/>
                <w:color w:val="auto"/>
                <w:kern w:val="0"/>
                <w:sz w:val="16"/>
                <w:szCs w:val="16"/>
                <w:highlight w:val="none"/>
                <w:lang w:bidi="ar"/>
              </w:rPr>
              <w:t>合同金额＜5万</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等线" w:hAnsi="等线" w:eastAsia="等线" w:cs="等线"/>
                <w:color w:val="auto"/>
                <w:sz w:val="16"/>
                <w:szCs w:val="16"/>
                <w:highlight w:val="none"/>
              </w:rPr>
            </w:pPr>
            <w:r>
              <w:rPr>
                <w:rFonts w:hint="eastAsia" w:ascii="等线" w:hAnsi="等线" w:eastAsia="等线" w:cs="等线"/>
                <w:color w:val="auto"/>
                <w:kern w:val="0"/>
                <w:sz w:val="16"/>
                <w:szCs w:val="16"/>
                <w:highlight w:val="none"/>
                <w:lang w:bidi="ar"/>
              </w:rPr>
              <w:t>5万≤合同金额＜30万</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等线" w:hAnsi="等线" w:eastAsia="等线" w:cs="等线"/>
                <w:color w:val="auto"/>
                <w:sz w:val="16"/>
                <w:szCs w:val="16"/>
                <w:highlight w:val="none"/>
              </w:rPr>
            </w:pPr>
            <w:r>
              <w:rPr>
                <w:rFonts w:hint="eastAsia" w:ascii="等线" w:hAnsi="等线" w:eastAsia="等线" w:cs="等线"/>
                <w:color w:val="auto"/>
                <w:kern w:val="0"/>
                <w:sz w:val="16"/>
                <w:szCs w:val="16"/>
                <w:highlight w:val="none"/>
                <w:lang w:bidi="ar"/>
              </w:rPr>
              <w:t>30万≤合同金额＜100万</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等线" w:hAnsi="等线" w:eastAsia="等线" w:cs="等线"/>
                <w:color w:val="auto"/>
                <w:sz w:val="16"/>
                <w:szCs w:val="16"/>
                <w:highlight w:val="none"/>
              </w:rPr>
            </w:pPr>
            <w:r>
              <w:rPr>
                <w:rFonts w:hint="eastAsia" w:ascii="等线" w:hAnsi="等线" w:eastAsia="等线" w:cs="等线"/>
                <w:color w:val="auto"/>
                <w:kern w:val="0"/>
                <w:sz w:val="16"/>
                <w:szCs w:val="16"/>
                <w:highlight w:val="none"/>
                <w:lang w:bidi="ar"/>
              </w:rPr>
              <w:t>合同金额≥100万</w:t>
            </w:r>
          </w:p>
        </w:tc>
      </w:tr>
      <w:tr>
        <w:tblPrEx>
          <w:tblCellMar>
            <w:top w:w="0" w:type="dxa"/>
            <w:left w:w="0" w:type="dxa"/>
            <w:bottom w:w="0" w:type="dxa"/>
            <w:right w:w="0" w:type="dxa"/>
          </w:tblCellMar>
        </w:tblPrEx>
        <w:trPr>
          <w:trHeight w:val="700"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color w:val="auto"/>
                <w:sz w:val="16"/>
                <w:szCs w:val="16"/>
                <w:highlight w:val="none"/>
              </w:rPr>
            </w:pPr>
            <w:r>
              <w:rPr>
                <w:rFonts w:hint="eastAsia" w:ascii="等线" w:hAnsi="等线" w:eastAsia="等线" w:cs="等线"/>
                <w:color w:val="auto"/>
                <w:kern w:val="0"/>
                <w:sz w:val="16"/>
                <w:szCs w:val="16"/>
                <w:highlight w:val="none"/>
                <w:lang w:bidi="ar"/>
              </w:rPr>
              <w:t>1</w:t>
            </w:r>
          </w:p>
        </w:tc>
        <w:tc>
          <w:tcPr>
            <w:tcW w:w="8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安全事故</w:t>
            </w:r>
          </w:p>
        </w:tc>
        <w:tc>
          <w:tcPr>
            <w:tcW w:w="72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事故类型</w:t>
            </w:r>
          </w:p>
        </w:tc>
        <w:tc>
          <w:tcPr>
            <w:tcW w:w="43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发生发生3人及以上重伤或发生1人及以上死亡或直接经济损失达200万元以上的安全生产事故</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按“四不放过”调查后处理</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按“四不放过”调查后处理</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按“四不放过”调查后处理</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按“四不放过”调查后处理</w:t>
            </w:r>
          </w:p>
        </w:tc>
      </w:tr>
      <w:tr>
        <w:tblPrEx>
          <w:tblCellMar>
            <w:top w:w="0" w:type="dxa"/>
            <w:left w:w="0" w:type="dxa"/>
            <w:bottom w:w="0" w:type="dxa"/>
            <w:right w:w="0" w:type="dxa"/>
          </w:tblCellMar>
        </w:tblPrEx>
        <w:trPr>
          <w:trHeight w:val="900"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color w:val="auto"/>
                <w:sz w:val="16"/>
                <w:szCs w:val="16"/>
                <w:highlight w:val="none"/>
              </w:rPr>
            </w:pPr>
            <w:r>
              <w:rPr>
                <w:rFonts w:hint="eastAsia" w:ascii="等线" w:hAnsi="等线" w:eastAsia="等线" w:cs="等线"/>
                <w:color w:val="auto"/>
                <w:kern w:val="0"/>
                <w:sz w:val="16"/>
                <w:szCs w:val="16"/>
                <w:highlight w:val="none"/>
                <w:lang w:bidi="ar"/>
              </w:rPr>
              <w:t>2</w:t>
            </w: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仿宋_GB2312" w:hAnsi="等线" w:eastAsia="仿宋_GB2312" w:cs="仿宋_GB2312"/>
                <w:color w:val="auto"/>
                <w:sz w:val="16"/>
                <w:szCs w:val="16"/>
                <w:highlight w:val="none"/>
              </w:rPr>
            </w:pPr>
          </w:p>
        </w:tc>
        <w:tc>
          <w:tcPr>
            <w:tcW w:w="7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仿宋_GB2312" w:hAnsi="等线" w:eastAsia="仿宋_GB2312" w:cs="仿宋_GB2312"/>
                <w:color w:val="auto"/>
                <w:sz w:val="16"/>
                <w:szCs w:val="16"/>
                <w:highlight w:val="none"/>
              </w:rPr>
            </w:pPr>
          </w:p>
        </w:tc>
        <w:tc>
          <w:tcPr>
            <w:tcW w:w="43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发生重伤2人安全事故的</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扣合同金额的30%～50%；</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或1万～2万</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扣合同金额的20%～30%；</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或2万～4万</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扣合同金额的10%～20%；</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或4万～8万</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扣合同金额的5%～10%;</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或8万～12万</w:t>
            </w:r>
          </w:p>
        </w:tc>
      </w:tr>
      <w:tr>
        <w:tblPrEx>
          <w:tblCellMar>
            <w:top w:w="0" w:type="dxa"/>
            <w:left w:w="0" w:type="dxa"/>
            <w:bottom w:w="0" w:type="dxa"/>
            <w:right w:w="0" w:type="dxa"/>
          </w:tblCellMar>
        </w:tblPrEx>
        <w:trPr>
          <w:trHeight w:val="800"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color w:val="auto"/>
                <w:sz w:val="16"/>
                <w:szCs w:val="16"/>
                <w:highlight w:val="none"/>
              </w:rPr>
            </w:pPr>
            <w:r>
              <w:rPr>
                <w:rFonts w:hint="eastAsia" w:ascii="等线" w:hAnsi="等线" w:eastAsia="等线" w:cs="等线"/>
                <w:color w:val="auto"/>
                <w:kern w:val="0"/>
                <w:sz w:val="16"/>
                <w:szCs w:val="16"/>
                <w:highlight w:val="none"/>
                <w:lang w:bidi="ar"/>
              </w:rPr>
              <w:t>3</w:t>
            </w: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仿宋_GB2312" w:hAnsi="等线" w:eastAsia="仿宋_GB2312" w:cs="仿宋_GB2312"/>
                <w:color w:val="auto"/>
                <w:sz w:val="16"/>
                <w:szCs w:val="16"/>
                <w:highlight w:val="none"/>
              </w:rPr>
            </w:pPr>
          </w:p>
        </w:tc>
        <w:tc>
          <w:tcPr>
            <w:tcW w:w="7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仿宋_GB2312" w:hAnsi="等线" w:eastAsia="仿宋_GB2312" w:cs="仿宋_GB2312"/>
                <w:color w:val="auto"/>
                <w:sz w:val="16"/>
                <w:szCs w:val="16"/>
                <w:highlight w:val="none"/>
              </w:rPr>
            </w:pPr>
          </w:p>
        </w:tc>
        <w:tc>
          <w:tcPr>
            <w:tcW w:w="43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发生重伤1人安全事故的</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扣合同金额的20%～30%;</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或5000～1万</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扣合同金额的10%～20%；</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或1万～2万</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扣合同金额的5%～10%；</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或2万～4万</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扣合同金额的3%～5%；</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或4万～8万</w:t>
            </w:r>
          </w:p>
        </w:tc>
      </w:tr>
      <w:tr>
        <w:tblPrEx>
          <w:tblCellMar>
            <w:top w:w="0" w:type="dxa"/>
            <w:left w:w="0" w:type="dxa"/>
            <w:bottom w:w="0" w:type="dxa"/>
            <w:right w:w="0" w:type="dxa"/>
          </w:tblCellMar>
        </w:tblPrEx>
        <w:trPr>
          <w:trHeight w:val="620"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color w:val="auto"/>
                <w:sz w:val="16"/>
                <w:szCs w:val="16"/>
                <w:highlight w:val="none"/>
              </w:rPr>
            </w:pPr>
            <w:r>
              <w:rPr>
                <w:rFonts w:hint="eastAsia" w:ascii="等线" w:hAnsi="等线" w:eastAsia="等线" w:cs="等线"/>
                <w:color w:val="auto"/>
                <w:kern w:val="0"/>
                <w:sz w:val="16"/>
                <w:szCs w:val="16"/>
                <w:highlight w:val="none"/>
                <w:lang w:bidi="ar"/>
              </w:rPr>
              <w:t>4</w:t>
            </w: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仿宋_GB2312" w:hAnsi="等线" w:eastAsia="仿宋_GB2312" w:cs="仿宋_GB2312"/>
                <w:color w:val="auto"/>
                <w:sz w:val="16"/>
                <w:szCs w:val="16"/>
                <w:highlight w:val="none"/>
              </w:rPr>
            </w:pPr>
          </w:p>
        </w:tc>
        <w:tc>
          <w:tcPr>
            <w:tcW w:w="72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仿宋_GB2312" w:hAnsi="等线" w:eastAsia="仿宋_GB2312" w:cs="仿宋_GB2312"/>
                <w:color w:val="auto"/>
                <w:sz w:val="16"/>
                <w:szCs w:val="16"/>
                <w:highlight w:val="none"/>
              </w:rPr>
            </w:pPr>
          </w:p>
        </w:tc>
        <w:tc>
          <w:tcPr>
            <w:tcW w:w="43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发生停产、影响环境、破坏公共设施、造成不良影响等事故的</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扣合同金额的10%～20%；</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或2000～3000</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扣合同金额的5%～10%；</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或5000～1万</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扣合同金额的3%～5%；</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或1万～2万</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扣合同金额的1%～2%；</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或2万～4万</w:t>
            </w:r>
          </w:p>
        </w:tc>
      </w:tr>
      <w:tr>
        <w:tblPrEx>
          <w:tblCellMar>
            <w:top w:w="0" w:type="dxa"/>
            <w:left w:w="0" w:type="dxa"/>
            <w:bottom w:w="0" w:type="dxa"/>
            <w:right w:w="0" w:type="dxa"/>
          </w:tblCellMar>
        </w:tblPrEx>
        <w:trPr>
          <w:trHeight w:val="1420"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color w:val="auto"/>
                <w:sz w:val="16"/>
                <w:szCs w:val="16"/>
                <w:highlight w:val="none"/>
              </w:rPr>
            </w:pPr>
            <w:r>
              <w:rPr>
                <w:rFonts w:hint="eastAsia" w:ascii="等线" w:hAnsi="等线" w:eastAsia="等线" w:cs="等线"/>
                <w:color w:val="auto"/>
                <w:kern w:val="0"/>
                <w:sz w:val="16"/>
                <w:szCs w:val="16"/>
                <w:highlight w:val="none"/>
                <w:lang w:bidi="ar"/>
              </w:rPr>
              <w:t>5</w:t>
            </w: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仿宋_GB2312" w:hAnsi="等线" w:eastAsia="仿宋_GB2312" w:cs="仿宋_GB2312"/>
                <w:color w:val="auto"/>
                <w:sz w:val="16"/>
                <w:szCs w:val="16"/>
                <w:highlight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事故处理</w:t>
            </w:r>
          </w:p>
        </w:tc>
        <w:tc>
          <w:tcPr>
            <w:tcW w:w="43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1.发生事故或事件隐瞒不报的</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2.未在1小时内向业主单位上报事故的</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3.拒绝、不配合事故事件调查的或事故事件调查提供虚假信息</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4.未按规定和程序组织事故调查和事故处理的</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5.未及时处理导致事故扩大的</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6.未落实“四不放过”的</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扣合同金额的30%～50%；</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或1万～2万</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扣合同金额的20%～30%；</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或2万～4万</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扣合同金额的10%～20%；</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或4万～8万</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扣合同金额的5%～10%;</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或8万～12万</w:t>
            </w:r>
          </w:p>
        </w:tc>
      </w:tr>
      <w:tr>
        <w:tblPrEx>
          <w:tblCellMar>
            <w:top w:w="0" w:type="dxa"/>
            <w:left w:w="0" w:type="dxa"/>
            <w:bottom w:w="0" w:type="dxa"/>
            <w:right w:w="0" w:type="dxa"/>
          </w:tblCellMar>
        </w:tblPrEx>
        <w:trPr>
          <w:trHeight w:val="1380"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color w:val="auto"/>
                <w:sz w:val="16"/>
                <w:szCs w:val="16"/>
                <w:highlight w:val="none"/>
              </w:rPr>
            </w:pPr>
            <w:r>
              <w:rPr>
                <w:rFonts w:hint="eastAsia" w:ascii="等线" w:hAnsi="等线" w:eastAsia="等线" w:cs="等线"/>
                <w:color w:val="auto"/>
                <w:kern w:val="0"/>
                <w:sz w:val="16"/>
                <w:szCs w:val="16"/>
                <w:highlight w:val="none"/>
                <w:lang w:bidi="ar"/>
              </w:rPr>
              <w:t>6</w:t>
            </w:r>
          </w:p>
        </w:tc>
        <w:tc>
          <w:tcPr>
            <w:tcW w:w="87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首次备案施工单位须提供的资料</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一般资料</w:t>
            </w:r>
          </w:p>
        </w:tc>
        <w:tc>
          <w:tcPr>
            <w:tcW w:w="43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1.施工人员签名的安全交底表（交底内容由分公司编写），被交底人员应与人员花名册一致</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2.施工单位对施工人员的三级安全教育材料</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3.特殊时期需要增加的资料（如新冠疫情期间，需要增加的人员健康码和行程码资料）</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缺资料扣合同金额的5%或500；</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资料有问题扣合同金额的3%或300</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缺资料扣合同金额的2%或2000；</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资料有问题扣合同金额的1%或1000</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缺资料扣合同金额的1%或4500；</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资料有问题扣合同金额的0.4%或2000</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缺资料扣合同金额的0.4%或8000；</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资料有问题扣合同金额的0.2%或4000</w:t>
            </w:r>
          </w:p>
        </w:tc>
      </w:tr>
      <w:tr>
        <w:tblPrEx>
          <w:tblCellMar>
            <w:top w:w="0" w:type="dxa"/>
            <w:left w:w="0" w:type="dxa"/>
            <w:bottom w:w="0" w:type="dxa"/>
            <w:right w:w="0" w:type="dxa"/>
          </w:tblCellMar>
        </w:tblPrEx>
        <w:trPr>
          <w:trHeight w:val="1500"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color w:val="auto"/>
                <w:sz w:val="16"/>
                <w:szCs w:val="16"/>
                <w:highlight w:val="none"/>
              </w:rPr>
            </w:pPr>
            <w:r>
              <w:rPr>
                <w:rFonts w:hint="eastAsia" w:ascii="等线" w:hAnsi="等线" w:eastAsia="等线" w:cs="等线"/>
                <w:color w:val="auto"/>
                <w:kern w:val="0"/>
                <w:sz w:val="16"/>
                <w:szCs w:val="16"/>
                <w:highlight w:val="none"/>
                <w:lang w:bidi="ar"/>
              </w:rPr>
              <w:t>7</w:t>
            </w: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等线" w:eastAsia="仿宋_GB2312" w:cs="仿宋_GB2312"/>
                <w:color w:val="auto"/>
                <w:sz w:val="16"/>
                <w:szCs w:val="16"/>
                <w:highlight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施工方案</w:t>
            </w:r>
          </w:p>
        </w:tc>
        <w:tc>
          <w:tcPr>
            <w:tcW w:w="43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4.施工方案，应满足合同要求，内容至少包括：</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 xml:space="preserve">  施工点介绍</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 xml:space="preserve">  施工内容（含作业流程、风险分析、施工工艺等）</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 xml:space="preserve">  施工设备和材料（必要时含构件测试手段等）</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 xml:space="preserve">  安全措施（根据工程特点、分公司的风险评估和施工单位的施工工艺制定）</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 xml:space="preserve">  正常施工安全物资（主要是安全防护设备、劳保用品）</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缺施工方案扣合同金额的6%或700；</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资料有问题扣合同金额的3%或300</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缺施工方案扣合同金额的3%或3500；</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资料有问题扣合同金额的1%或1000</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缺施工方案扣合同金额的1.5%或5000；</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资料有问题扣合同金额的0.5%或2500</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缺施工方案扣合同金额的0.5%或1万；</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资料有问题扣合同金额的0.3%或5000</w:t>
            </w:r>
          </w:p>
        </w:tc>
      </w:tr>
      <w:tr>
        <w:tblPrEx>
          <w:tblCellMar>
            <w:top w:w="0" w:type="dxa"/>
            <w:left w:w="0" w:type="dxa"/>
            <w:bottom w:w="0" w:type="dxa"/>
            <w:right w:w="0" w:type="dxa"/>
          </w:tblCellMar>
        </w:tblPrEx>
        <w:trPr>
          <w:trHeight w:val="2100"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color w:val="auto"/>
                <w:sz w:val="16"/>
                <w:szCs w:val="16"/>
                <w:highlight w:val="none"/>
              </w:rPr>
            </w:pPr>
            <w:r>
              <w:rPr>
                <w:rFonts w:hint="eastAsia" w:ascii="等线" w:hAnsi="等线" w:eastAsia="等线" w:cs="等线"/>
                <w:color w:val="auto"/>
                <w:kern w:val="0"/>
                <w:sz w:val="16"/>
                <w:szCs w:val="16"/>
                <w:highlight w:val="none"/>
                <w:lang w:bidi="ar"/>
              </w:rPr>
              <w:t>8</w:t>
            </w: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等线" w:eastAsia="仿宋_GB2312" w:cs="仿宋_GB2312"/>
                <w:color w:val="auto"/>
                <w:sz w:val="16"/>
                <w:szCs w:val="16"/>
                <w:highlight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应急预案</w:t>
            </w:r>
          </w:p>
        </w:tc>
        <w:tc>
          <w:tcPr>
            <w:tcW w:w="43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5.应急预案，内容至少包括：</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 xml:space="preserve">  现场情况介绍</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 xml:space="preserve">  风险评估</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 xml:space="preserve">  应急架构（包括应急主管人员和安全员，以及各应急小组，落实到人和联系方式）</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 xml:space="preserve">  应急流程</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 xml:space="preserve">  各种风险情况下的应急措施（根据现场情况、分公司的风险评估制定）</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 xml:space="preserve">  应急物资清单</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 xml:space="preserve">  外单位救援力量及联系方式等</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缺应急预案扣合同金额的6%或700；</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资料有问题扣合同金额的3%或300</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缺应急预案扣合同金额的3%或3500；</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资料有问题扣合同金额的1%或1000</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缺应急预案扣合同金额的1.5%或5000；</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资料有问题扣合同金额的0.5%或2500</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缺应急预案扣合同金额的0.5%或1万；</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资料有问题扣合同金额的0.3%或5000</w:t>
            </w:r>
          </w:p>
        </w:tc>
      </w:tr>
      <w:tr>
        <w:tblPrEx>
          <w:tblCellMar>
            <w:top w:w="0" w:type="dxa"/>
            <w:left w:w="0" w:type="dxa"/>
            <w:bottom w:w="0" w:type="dxa"/>
            <w:right w:w="0" w:type="dxa"/>
          </w:tblCellMar>
        </w:tblPrEx>
        <w:trPr>
          <w:trHeight w:val="1540"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color w:val="auto"/>
                <w:sz w:val="16"/>
                <w:szCs w:val="16"/>
                <w:highlight w:val="none"/>
              </w:rPr>
            </w:pPr>
            <w:r>
              <w:rPr>
                <w:rFonts w:hint="eastAsia" w:ascii="等线" w:hAnsi="等线" w:eastAsia="等线" w:cs="等线"/>
                <w:color w:val="auto"/>
                <w:kern w:val="0"/>
                <w:sz w:val="16"/>
                <w:szCs w:val="16"/>
                <w:highlight w:val="none"/>
                <w:lang w:bidi="ar"/>
              </w:rPr>
              <w:t>9</w:t>
            </w: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等线" w:eastAsia="仿宋_GB2312" w:cs="仿宋_GB2312"/>
                <w:color w:val="auto"/>
                <w:sz w:val="16"/>
                <w:szCs w:val="16"/>
                <w:highlight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安全架构</w:t>
            </w:r>
          </w:p>
        </w:tc>
        <w:tc>
          <w:tcPr>
            <w:tcW w:w="43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6.安全架构和相应安全责任制（落实到人和联系方式），可编写入施工方案内，架构人员主要包括：</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 xml:space="preserve">  安全责任人</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 xml:space="preserve">  施工负责人（可与安全责任人为同一个人）</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 xml:space="preserve">  安全员</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 xml:space="preserve">  设备、物资管理人员</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 xml:space="preserve">  关键岗位人员、特种作业人员</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缺安全架构扣合同金额的10%或2000；</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缺少任何一类人员及其职责的扣合同金额的6%或700</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缺安全架构扣合同金额的5%或5000；</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缺少任何一类人员及其职责的扣合同金额的2%或2000</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缺安全架构扣合同金额的2%或1万；</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缺少任何一类人员及其职责的扣合同金额的1%或5000</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缺安全架构扣合同金额的1%或2万；</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缺少任何一类人员及其职责的扣合同金额的0.5%或1万</w:t>
            </w:r>
          </w:p>
        </w:tc>
      </w:tr>
      <w:tr>
        <w:tblPrEx>
          <w:tblCellMar>
            <w:top w:w="0" w:type="dxa"/>
            <w:left w:w="0" w:type="dxa"/>
            <w:bottom w:w="0" w:type="dxa"/>
            <w:right w:w="0" w:type="dxa"/>
          </w:tblCellMar>
        </w:tblPrEx>
        <w:trPr>
          <w:trHeight w:val="2900"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color w:val="auto"/>
                <w:sz w:val="16"/>
                <w:szCs w:val="16"/>
                <w:highlight w:val="none"/>
              </w:rPr>
            </w:pPr>
            <w:r>
              <w:rPr>
                <w:rFonts w:hint="eastAsia" w:ascii="等线" w:hAnsi="等线" w:eastAsia="等线" w:cs="等线"/>
                <w:color w:val="auto"/>
                <w:kern w:val="0"/>
                <w:sz w:val="16"/>
                <w:szCs w:val="16"/>
                <w:highlight w:val="none"/>
                <w:lang w:bidi="ar"/>
              </w:rPr>
              <w:t>10</w:t>
            </w: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等线" w:eastAsia="仿宋_GB2312" w:cs="仿宋_GB2312"/>
                <w:color w:val="auto"/>
                <w:sz w:val="16"/>
                <w:szCs w:val="16"/>
                <w:highlight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人员资质</w:t>
            </w:r>
          </w:p>
        </w:tc>
        <w:tc>
          <w:tcPr>
            <w:tcW w:w="43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7.施工人员花名册，人员应包含：</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 xml:space="preserve">  施工负责人（需要施工管理人员资格证书）</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 xml:space="preserve">  安全员（涉及动火、临时用电、有限空间、高空、抽堵盲板、吊装、动土、断路、设备检修等9大危险作业的，安全员需要有安全员证）</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 xml:space="preserve">  特种作业人员（附证件号，同时要复印特种作业证，特种作业人数应满足合同要求）</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 xml:space="preserve">  一般施工人员</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 xml:space="preserve">  可能需要进入厂区的其他人员（如监理人员、资料员等）</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注：如作业涉及危险作业，作业人员须有作业人员岗前职业病体检和筛选</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缺花名册扣合同金额的5%或500；</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缺特种作业人员或特种作业人员不满足合同要求，扣合同金额的5%或500；</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其他人员或资料有缺漏扣合同金额的3%或300</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缺花名册扣合同金额的2%或2000；</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缺特种作业人员或特种作业人员不满足合同要求，扣合同金额的2%或2000；</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其他人员或资料有缺漏扣合同金额的1%或1000</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缺花名册扣合同金额的1%或4500；</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缺特种作业人员或特种作业人员不满足合同要求，扣合同金额的1%或4500；</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其他人员或资料有缺漏扣合同金额的0.4%或2000</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缺花名册扣合同金额的0.4%或8000；</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缺特种作业人员或特种作业人员不满足合同要求，扣合同金额的0.4%或8000；</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其他人员或资料有缺漏扣合同金额的0.2%或4000</w:t>
            </w:r>
          </w:p>
        </w:tc>
      </w:tr>
      <w:tr>
        <w:tblPrEx>
          <w:tblCellMar>
            <w:top w:w="0" w:type="dxa"/>
            <w:left w:w="0" w:type="dxa"/>
            <w:bottom w:w="0" w:type="dxa"/>
            <w:right w:w="0" w:type="dxa"/>
          </w:tblCellMar>
        </w:tblPrEx>
        <w:trPr>
          <w:trHeight w:val="1240"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color w:val="auto"/>
                <w:sz w:val="16"/>
                <w:szCs w:val="16"/>
                <w:highlight w:val="none"/>
              </w:rPr>
            </w:pPr>
            <w:r>
              <w:rPr>
                <w:rFonts w:hint="eastAsia" w:ascii="等线" w:hAnsi="等线" w:eastAsia="等线" w:cs="等线"/>
                <w:color w:val="auto"/>
                <w:kern w:val="0"/>
                <w:sz w:val="16"/>
                <w:szCs w:val="16"/>
                <w:highlight w:val="none"/>
                <w:lang w:bidi="ar"/>
              </w:rPr>
              <w:t>11</w:t>
            </w:r>
          </w:p>
        </w:tc>
        <w:tc>
          <w:tcPr>
            <w:tcW w:w="87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施工现场管理</w:t>
            </w: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现场面貌</w:t>
            </w:r>
          </w:p>
        </w:tc>
        <w:tc>
          <w:tcPr>
            <w:tcW w:w="43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1.施工现场未开展有效围蔽</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2.无七牌一图或有缺漏（七牌：工程概况牌：管理人员名单及监督电话牌、现场事故应急救援预案公示牌、安全生产牌、文明施工牌、消防保卫牌、环境保护牌；一图：施工现场平面图）</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3.现场无危险源公示、告知及相应警示</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4.材料堆放存在重大隐患</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扣合同金额的6%或700</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扣合同金额的3%或3500</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扣合同金额的1.5%或5000</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扣合同金额的0.5%或1万</w:t>
            </w:r>
          </w:p>
        </w:tc>
      </w:tr>
      <w:tr>
        <w:tblPrEx>
          <w:tblCellMar>
            <w:top w:w="0" w:type="dxa"/>
            <w:left w:w="0" w:type="dxa"/>
            <w:bottom w:w="0" w:type="dxa"/>
            <w:right w:w="0" w:type="dxa"/>
          </w:tblCellMar>
        </w:tblPrEx>
        <w:trPr>
          <w:trHeight w:val="780"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color w:val="auto"/>
                <w:sz w:val="16"/>
                <w:szCs w:val="16"/>
                <w:highlight w:val="none"/>
              </w:rPr>
            </w:pPr>
            <w:r>
              <w:rPr>
                <w:rFonts w:hint="eastAsia" w:ascii="等线" w:hAnsi="等线" w:eastAsia="等线" w:cs="等线"/>
                <w:color w:val="auto"/>
                <w:kern w:val="0"/>
                <w:sz w:val="16"/>
                <w:szCs w:val="16"/>
                <w:highlight w:val="none"/>
                <w:lang w:bidi="ar"/>
              </w:rPr>
              <w:t>12</w:t>
            </w: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等线" w:eastAsia="仿宋_GB2312" w:cs="仿宋_GB2312"/>
                <w:color w:val="auto"/>
                <w:sz w:val="16"/>
                <w:szCs w:val="16"/>
                <w:highlight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施工管理</w:t>
            </w:r>
          </w:p>
        </w:tc>
        <w:tc>
          <w:tcPr>
            <w:tcW w:w="43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1.现场未按施工方案落实安全防范措施的</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2.危险作业未经业主人员审批先行施工的</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3.未按施工方案施工的</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扣合同金额的10%或2000</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扣合同金额的5%或5000</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扣合同金额的2%或1万</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扣合同金额的1%或2万</w:t>
            </w:r>
          </w:p>
        </w:tc>
      </w:tr>
      <w:tr>
        <w:tblPrEx>
          <w:tblCellMar>
            <w:top w:w="0" w:type="dxa"/>
            <w:left w:w="0" w:type="dxa"/>
            <w:bottom w:w="0" w:type="dxa"/>
            <w:right w:w="0" w:type="dxa"/>
          </w:tblCellMar>
        </w:tblPrEx>
        <w:trPr>
          <w:trHeight w:val="940"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color w:val="auto"/>
                <w:sz w:val="16"/>
                <w:szCs w:val="16"/>
                <w:highlight w:val="none"/>
              </w:rPr>
            </w:pPr>
            <w:r>
              <w:rPr>
                <w:rFonts w:hint="eastAsia" w:ascii="等线" w:hAnsi="等线" w:eastAsia="等线" w:cs="等线"/>
                <w:color w:val="auto"/>
                <w:kern w:val="0"/>
                <w:sz w:val="16"/>
                <w:szCs w:val="16"/>
                <w:highlight w:val="none"/>
                <w:lang w:bidi="ar"/>
              </w:rPr>
              <w:t>13</w:t>
            </w: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等线" w:eastAsia="仿宋_GB2312" w:cs="仿宋_GB2312"/>
                <w:color w:val="auto"/>
                <w:sz w:val="16"/>
                <w:szCs w:val="16"/>
                <w:highlight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每日安全交底</w:t>
            </w:r>
          </w:p>
        </w:tc>
        <w:tc>
          <w:tcPr>
            <w:tcW w:w="43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1.缺少书面交底、未留存书面资料或交底资料缺少交底人、被交底人及安全员签字的</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2.内容未结合当天的现场状况、特点、工序，对危险因素、施工内容、安全作业和应急措施进行交底的</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扣合同金额的3%或300</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扣合同金额的1%或1000</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扣合同金额的0.5%或2500</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扣合同金额的0.3%或5000</w:t>
            </w:r>
          </w:p>
        </w:tc>
      </w:tr>
      <w:tr>
        <w:tblPrEx>
          <w:tblCellMar>
            <w:top w:w="0" w:type="dxa"/>
            <w:left w:w="0" w:type="dxa"/>
            <w:bottom w:w="0" w:type="dxa"/>
            <w:right w:w="0" w:type="dxa"/>
          </w:tblCellMar>
        </w:tblPrEx>
        <w:trPr>
          <w:trHeight w:val="900"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color w:val="auto"/>
                <w:sz w:val="16"/>
                <w:szCs w:val="16"/>
                <w:highlight w:val="none"/>
              </w:rPr>
            </w:pPr>
            <w:r>
              <w:rPr>
                <w:rFonts w:hint="eastAsia" w:ascii="等线" w:hAnsi="等线" w:eastAsia="等线" w:cs="等线"/>
                <w:color w:val="auto"/>
                <w:kern w:val="0"/>
                <w:sz w:val="16"/>
                <w:szCs w:val="16"/>
                <w:highlight w:val="none"/>
                <w:lang w:bidi="ar"/>
              </w:rPr>
              <w:t>14</w:t>
            </w: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等线" w:eastAsia="仿宋_GB2312" w:cs="仿宋_GB2312"/>
                <w:color w:val="auto"/>
                <w:sz w:val="16"/>
                <w:szCs w:val="16"/>
                <w:highlight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作业行为管理</w:t>
            </w:r>
          </w:p>
        </w:tc>
        <w:tc>
          <w:tcPr>
            <w:tcW w:w="43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1.违反9大危险作业相关作业规范的</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2.现场存在违章作业、违章指挥等违反相关安全管理规定或制度的</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3.人员错误使用劳保用品3次以上的</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扣合同金额的6%或700</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扣合同金额的3%或3500</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扣合同金额的1.5%或5000</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扣合同金额的0.5%或1万</w:t>
            </w:r>
          </w:p>
        </w:tc>
      </w:tr>
      <w:tr>
        <w:tblPrEx>
          <w:tblCellMar>
            <w:top w:w="0" w:type="dxa"/>
            <w:left w:w="0" w:type="dxa"/>
            <w:bottom w:w="0" w:type="dxa"/>
            <w:right w:w="0" w:type="dxa"/>
          </w:tblCellMar>
        </w:tblPrEx>
        <w:trPr>
          <w:trHeight w:val="680"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color w:val="auto"/>
                <w:sz w:val="16"/>
                <w:szCs w:val="16"/>
                <w:highlight w:val="none"/>
              </w:rPr>
            </w:pPr>
            <w:r>
              <w:rPr>
                <w:rFonts w:hint="eastAsia" w:ascii="等线" w:hAnsi="等线" w:eastAsia="等线" w:cs="等线"/>
                <w:color w:val="auto"/>
                <w:kern w:val="0"/>
                <w:sz w:val="16"/>
                <w:szCs w:val="16"/>
                <w:highlight w:val="none"/>
                <w:lang w:bidi="ar"/>
              </w:rPr>
              <w:t>15</w:t>
            </w: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等线" w:eastAsia="仿宋_GB2312" w:cs="仿宋_GB2312"/>
                <w:color w:val="auto"/>
                <w:sz w:val="16"/>
                <w:szCs w:val="16"/>
                <w:highlight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安全记录</w:t>
            </w:r>
          </w:p>
        </w:tc>
        <w:tc>
          <w:tcPr>
            <w:tcW w:w="43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未按施工要求开展现场记录或记录内容有缺失</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扣合同金额的3%或300</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扣合同金额的1%或1000</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扣合同金额的0.5%或2500</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扣合同金额的0.3%或5000</w:t>
            </w:r>
          </w:p>
        </w:tc>
      </w:tr>
      <w:tr>
        <w:tblPrEx>
          <w:tblCellMar>
            <w:top w:w="0" w:type="dxa"/>
            <w:left w:w="0" w:type="dxa"/>
            <w:bottom w:w="0" w:type="dxa"/>
            <w:right w:w="0" w:type="dxa"/>
          </w:tblCellMar>
        </w:tblPrEx>
        <w:trPr>
          <w:trHeight w:val="720"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color w:val="auto"/>
                <w:sz w:val="16"/>
                <w:szCs w:val="16"/>
                <w:highlight w:val="none"/>
              </w:rPr>
            </w:pPr>
            <w:r>
              <w:rPr>
                <w:rFonts w:hint="eastAsia" w:ascii="等线" w:hAnsi="等线" w:eastAsia="等线" w:cs="等线"/>
                <w:color w:val="auto"/>
                <w:kern w:val="0"/>
                <w:sz w:val="16"/>
                <w:szCs w:val="16"/>
                <w:highlight w:val="none"/>
                <w:lang w:bidi="ar"/>
              </w:rPr>
              <w:t>16</w:t>
            </w: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等线" w:eastAsia="仿宋_GB2312" w:cs="仿宋_GB2312"/>
                <w:color w:val="auto"/>
                <w:sz w:val="16"/>
                <w:szCs w:val="16"/>
                <w:highlight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应急管理</w:t>
            </w:r>
          </w:p>
        </w:tc>
        <w:tc>
          <w:tcPr>
            <w:tcW w:w="43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1.未设置应急物资点，未统一存放应急物资</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2.应急物资点无应急物资清单或无应急物资每日检查表</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3.无开展日常应急培训、训练、演练或无资料留档的</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扣合同金额的3%或300</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扣合同金额的1%或1000</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扣合同金额的0.5%或2500</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扣合同金额的0.3%或5000</w:t>
            </w:r>
          </w:p>
        </w:tc>
      </w:tr>
      <w:tr>
        <w:tblPrEx>
          <w:tblCellMar>
            <w:top w:w="0" w:type="dxa"/>
            <w:left w:w="0" w:type="dxa"/>
            <w:bottom w:w="0" w:type="dxa"/>
            <w:right w:w="0" w:type="dxa"/>
          </w:tblCellMar>
        </w:tblPrEx>
        <w:trPr>
          <w:trHeight w:val="700"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color w:val="auto"/>
                <w:sz w:val="16"/>
                <w:szCs w:val="16"/>
                <w:highlight w:val="none"/>
              </w:rPr>
            </w:pPr>
            <w:r>
              <w:rPr>
                <w:rFonts w:hint="eastAsia" w:ascii="等线" w:hAnsi="等线" w:eastAsia="等线" w:cs="等线"/>
                <w:color w:val="auto"/>
                <w:kern w:val="0"/>
                <w:sz w:val="16"/>
                <w:szCs w:val="16"/>
                <w:highlight w:val="none"/>
                <w:lang w:bidi="ar"/>
              </w:rPr>
              <w:t>17</w:t>
            </w: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等线" w:eastAsia="仿宋_GB2312" w:cs="仿宋_GB2312"/>
                <w:color w:val="auto"/>
                <w:sz w:val="16"/>
                <w:szCs w:val="16"/>
                <w:highlight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人员管理</w:t>
            </w:r>
          </w:p>
        </w:tc>
        <w:tc>
          <w:tcPr>
            <w:tcW w:w="43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人员变更无完善的手续及资料的</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扣合同金额的3%或300</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扣合同金额的1%或1000</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扣合同金额的0.5%或2500</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扣合同金额的0.3%或5000</w:t>
            </w:r>
          </w:p>
        </w:tc>
      </w:tr>
      <w:tr>
        <w:tblPrEx>
          <w:tblCellMar>
            <w:top w:w="0" w:type="dxa"/>
            <w:left w:w="0" w:type="dxa"/>
            <w:bottom w:w="0" w:type="dxa"/>
            <w:right w:w="0" w:type="dxa"/>
          </w:tblCellMar>
        </w:tblPrEx>
        <w:trPr>
          <w:trHeight w:val="500"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color w:val="auto"/>
                <w:sz w:val="16"/>
                <w:szCs w:val="16"/>
                <w:highlight w:val="none"/>
              </w:rPr>
            </w:pPr>
            <w:r>
              <w:rPr>
                <w:rFonts w:hint="eastAsia" w:ascii="等线" w:hAnsi="等线" w:eastAsia="等线" w:cs="等线"/>
                <w:color w:val="auto"/>
                <w:kern w:val="0"/>
                <w:sz w:val="16"/>
                <w:szCs w:val="16"/>
                <w:highlight w:val="none"/>
                <w:lang w:bidi="ar"/>
              </w:rPr>
              <w:t>18</w:t>
            </w: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等线" w:eastAsia="仿宋_GB2312" w:cs="仿宋_GB2312"/>
                <w:color w:val="auto"/>
                <w:sz w:val="16"/>
                <w:szCs w:val="16"/>
                <w:highlight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隐患管理</w:t>
            </w:r>
          </w:p>
        </w:tc>
        <w:tc>
          <w:tcPr>
            <w:tcW w:w="43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未及时对发现的隐患开展整改的</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扣合同金额的5%或500</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扣合同金额的2%或2000</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扣合同金额的1%或4500</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扣合同金额的0.4%或8000</w:t>
            </w:r>
          </w:p>
        </w:tc>
      </w:tr>
      <w:tr>
        <w:tblPrEx>
          <w:tblCellMar>
            <w:top w:w="0" w:type="dxa"/>
            <w:left w:w="0" w:type="dxa"/>
            <w:bottom w:w="0" w:type="dxa"/>
            <w:right w:w="0" w:type="dxa"/>
          </w:tblCellMar>
        </w:tblPrEx>
        <w:trPr>
          <w:trHeight w:val="620"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color w:val="auto"/>
                <w:sz w:val="16"/>
                <w:szCs w:val="16"/>
                <w:highlight w:val="none"/>
              </w:rPr>
            </w:pPr>
            <w:r>
              <w:rPr>
                <w:rFonts w:hint="eastAsia" w:ascii="等线" w:hAnsi="等线" w:eastAsia="等线" w:cs="等线"/>
                <w:color w:val="auto"/>
                <w:kern w:val="0"/>
                <w:sz w:val="16"/>
                <w:szCs w:val="16"/>
                <w:highlight w:val="none"/>
                <w:lang w:bidi="ar"/>
              </w:rPr>
              <w:t>19</w:t>
            </w:r>
          </w:p>
        </w:tc>
        <w:tc>
          <w:tcPr>
            <w:tcW w:w="8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等线" w:eastAsia="仿宋_GB2312" w:cs="仿宋_GB2312"/>
                <w:color w:val="auto"/>
                <w:sz w:val="16"/>
                <w:szCs w:val="16"/>
                <w:highlight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其他</w:t>
            </w:r>
          </w:p>
        </w:tc>
        <w:tc>
          <w:tcPr>
            <w:tcW w:w="43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违反业主或上级主管部门提出的其他管理要求、文件、规定或拒不执行的</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扣合同金额的3%～5%；</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或300～500</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扣合同金额的1%～2%；</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或1000～2000</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扣合同金额的0.5%～1%；</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或2500～4500</w:t>
            </w: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扣合同金额的0.3%～0.4%；</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或5000～8000</w:t>
            </w:r>
          </w:p>
        </w:tc>
      </w:tr>
      <w:tr>
        <w:tblPrEx>
          <w:tblCellMar>
            <w:top w:w="0" w:type="dxa"/>
            <w:left w:w="0" w:type="dxa"/>
            <w:bottom w:w="0" w:type="dxa"/>
            <w:right w:w="0" w:type="dxa"/>
          </w:tblCellMar>
        </w:tblPrEx>
        <w:trPr>
          <w:trHeight w:val="440" w:hRule="atLeast"/>
        </w:trPr>
        <w:tc>
          <w:tcPr>
            <w:tcW w:w="42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color w:val="auto"/>
                <w:sz w:val="16"/>
                <w:szCs w:val="16"/>
                <w:highlight w:val="none"/>
              </w:rPr>
            </w:pPr>
            <w:r>
              <w:rPr>
                <w:rFonts w:hint="eastAsia" w:ascii="等线" w:hAnsi="等线" w:eastAsia="等线" w:cs="等线"/>
                <w:color w:val="auto"/>
                <w:kern w:val="0"/>
                <w:sz w:val="16"/>
                <w:szCs w:val="16"/>
                <w:highlight w:val="none"/>
                <w:lang w:bidi="ar"/>
              </w:rPr>
              <w:t>20</w:t>
            </w:r>
          </w:p>
        </w:tc>
        <w:tc>
          <w:tcPr>
            <w:tcW w:w="87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仿宋_GB2312" w:hAnsi="等线" w:eastAsia="仿宋_GB2312" w:cs="仿宋_GB2312"/>
                <w:color w:val="auto"/>
                <w:sz w:val="16"/>
                <w:szCs w:val="16"/>
                <w:highlight w:val="none"/>
              </w:rPr>
            </w:pPr>
          </w:p>
        </w:tc>
        <w:tc>
          <w:tcPr>
            <w:tcW w:w="72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仿宋_GB2312" w:hAnsi="等线" w:eastAsia="仿宋_GB2312" w:cs="仿宋_GB2312"/>
                <w:color w:val="auto"/>
                <w:sz w:val="16"/>
                <w:szCs w:val="16"/>
                <w:highlight w:val="none"/>
              </w:rPr>
            </w:pPr>
          </w:p>
        </w:tc>
        <w:tc>
          <w:tcPr>
            <w:tcW w:w="43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等线" w:eastAsia="仿宋_GB2312" w:cs="仿宋_GB2312"/>
                <w:color w:val="auto"/>
                <w:sz w:val="16"/>
                <w:szCs w:val="16"/>
                <w:highlight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等线" w:eastAsia="仿宋_GB2312" w:cs="仿宋_GB2312"/>
                <w:color w:val="auto"/>
                <w:sz w:val="16"/>
                <w:szCs w:val="16"/>
                <w:highlight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等线" w:eastAsia="仿宋_GB2312" w:cs="仿宋_GB2312"/>
                <w:color w:val="auto"/>
                <w:sz w:val="16"/>
                <w:szCs w:val="16"/>
                <w:highlight w:val="none"/>
              </w:rPr>
            </w:pPr>
          </w:p>
        </w:tc>
        <w:tc>
          <w:tcPr>
            <w:tcW w:w="102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等线" w:eastAsia="仿宋_GB2312" w:cs="仿宋_GB2312"/>
                <w:color w:val="auto"/>
                <w:sz w:val="16"/>
                <w:szCs w:val="16"/>
                <w:highlight w:val="none"/>
              </w:rPr>
            </w:pPr>
          </w:p>
        </w:tc>
      </w:tr>
      <w:tr>
        <w:tblPrEx>
          <w:tblCellMar>
            <w:top w:w="0" w:type="dxa"/>
            <w:left w:w="0" w:type="dxa"/>
            <w:bottom w:w="0" w:type="dxa"/>
            <w:right w:w="0" w:type="dxa"/>
          </w:tblCellMar>
        </w:tblPrEx>
        <w:trPr>
          <w:trHeight w:val="280" w:hRule="atLeast"/>
        </w:trPr>
        <w:tc>
          <w:tcPr>
            <w:tcW w:w="10478" w:type="dxa"/>
            <w:gridSpan w:val="8"/>
            <w:tcBorders>
              <w:top w:val="nil"/>
              <w:left w:val="nil"/>
              <w:bottom w:val="nil"/>
              <w:right w:val="nil"/>
            </w:tcBorders>
            <w:shd w:val="clear" w:color="auto" w:fill="auto"/>
            <w:tcMar>
              <w:top w:w="12" w:type="dxa"/>
              <w:left w:w="12" w:type="dxa"/>
              <w:right w:w="12" w:type="dxa"/>
            </w:tcMar>
            <w:vAlign w:val="center"/>
          </w:tcPr>
          <w:p>
            <w:pPr>
              <w:widowControl/>
              <w:jc w:val="left"/>
              <w:textAlignment w:val="center"/>
              <w:rPr>
                <w:color w:val="auto"/>
                <w:sz w:val="13"/>
                <w:szCs w:val="13"/>
                <w:highlight w:val="none"/>
              </w:rPr>
            </w:pPr>
            <w:r>
              <w:rPr>
                <w:rFonts w:hint="eastAsia"/>
                <w:color w:val="auto"/>
                <w:sz w:val="13"/>
                <w:szCs w:val="13"/>
                <w:highlight w:val="none"/>
              </w:rPr>
              <w:t>注：1、与安全管理相关的考评内容具体考评标准内容参照广州市净水有限公司标准《工程项目安全管理规范》（Q/GZJSA 1-2021）执行。</w:t>
            </w:r>
          </w:p>
          <w:p>
            <w:pPr>
              <w:contextualSpacing/>
              <w:jc w:val="left"/>
              <w:rPr>
                <w:rFonts w:ascii="仿宋_GB2312" w:hAnsi="仿宋_GB2312" w:eastAsia="仿宋_GB2312" w:cs="仿宋_GB2312"/>
                <w:color w:val="auto"/>
                <w:sz w:val="13"/>
                <w:szCs w:val="13"/>
                <w:highlight w:val="none"/>
              </w:rPr>
            </w:pPr>
            <w:r>
              <w:rPr>
                <w:rFonts w:hint="eastAsia" w:ascii="仿宋_GB2312" w:hAnsi="仿宋_GB2312" w:eastAsia="仿宋_GB2312" w:cs="仿宋_GB2312"/>
                <w:color w:val="auto"/>
                <w:sz w:val="13"/>
                <w:szCs w:val="13"/>
                <w:highlight w:val="none"/>
              </w:rPr>
              <w:t>2.本处理标准出自《</w:t>
            </w:r>
            <w:r>
              <w:rPr>
                <w:rFonts w:hint="eastAsia" w:ascii="宋体" w:hAnsi="宋体" w:eastAsia="宋体" w:cs="宋体"/>
                <w:color w:val="auto"/>
                <w:sz w:val="13"/>
                <w:szCs w:val="13"/>
                <w:highlight w:val="none"/>
              </w:rPr>
              <w:t>广州净水公司工程项目承包单位质量安全考评细则（试行）</w:t>
            </w:r>
            <w:r>
              <w:rPr>
                <w:rFonts w:hint="eastAsia" w:ascii="仿宋_GB2312" w:hAnsi="仿宋_GB2312" w:eastAsia="仿宋_GB2312" w:cs="仿宋_GB2312"/>
                <w:color w:val="auto"/>
                <w:sz w:val="13"/>
                <w:szCs w:val="13"/>
                <w:highlight w:val="none"/>
              </w:rPr>
              <w:t>》。</w:t>
            </w:r>
          </w:p>
          <w:p>
            <w:pPr>
              <w:pStyle w:val="2"/>
              <w:rPr>
                <w:color w:val="auto"/>
                <w:highlight w:val="none"/>
              </w:rPr>
            </w:pPr>
          </w:p>
        </w:tc>
      </w:tr>
    </w:tbl>
    <w:p>
      <w:pPr>
        <w:contextualSpacing/>
        <w:jc w:val="left"/>
        <w:rPr>
          <w:rFonts w:ascii="仿宋_GB2312" w:hAnsi="仿宋_GB2312" w:eastAsia="仿宋_GB2312" w:cs="仿宋_GB2312"/>
          <w:color w:val="auto"/>
          <w:sz w:val="24"/>
          <w:szCs w:val="24"/>
          <w:highlight w:val="none"/>
        </w:rPr>
      </w:pPr>
      <w:r>
        <w:rPr>
          <w:rFonts w:hint="eastAsia" w:ascii="仿宋_GB2312" w:hAnsi="仿宋_GB2312" w:eastAsia="仿宋_GB2312" w:cs="仿宋_GB2312"/>
          <w:color w:val="auto"/>
          <w:sz w:val="24"/>
          <w:szCs w:val="24"/>
          <w:highlight w:val="none"/>
        </w:rPr>
        <w:t>备注：本处理标准出自《广州市净水有限公司经营建设项目参建企业不诚信行为管理办法》。</w:t>
      </w:r>
    </w:p>
    <w:p>
      <w:pPr>
        <w:pStyle w:val="2"/>
        <w:ind w:firstLine="0"/>
        <w:rPr>
          <w:rFonts w:cs="宋体"/>
          <w:b/>
          <w:bCs/>
          <w:color w:val="auto"/>
          <w:highlight w:val="none"/>
        </w:rPr>
      </w:pPr>
    </w:p>
    <w:p>
      <w:pPr>
        <w:pStyle w:val="2"/>
        <w:ind w:firstLine="0"/>
        <w:rPr>
          <w:rFonts w:cs="宋体"/>
          <w:b/>
          <w:bCs/>
          <w:color w:val="auto"/>
          <w:highlight w:val="none"/>
        </w:rPr>
      </w:pPr>
    </w:p>
    <w:tbl>
      <w:tblPr>
        <w:tblStyle w:val="21"/>
        <w:tblW w:w="9300" w:type="dxa"/>
        <w:tblInd w:w="0" w:type="dxa"/>
        <w:tblLayout w:type="autofit"/>
        <w:tblCellMar>
          <w:top w:w="0" w:type="dxa"/>
          <w:left w:w="0" w:type="dxa"/>
          <w:bottom w:w="0" w:type="dxa"/>
          <w:right w:w="0" w:type="dxa"/>
        </w:tblCellMar>
      </w:tblPr>
      <w:tblGrid>
        <w:gridCol w:w="344"/>
        <w:gridCol w:w="454"/>
        <w:gridCol w:w="495"/>
        <w:gridCol w:w="3993"/>
        <w:gridCol w:w="1091"/>
        <w:gridCol w:w="757"/>
        <w:gridCol w:w="757"/>
        <w:gridCol w:w="757"/>
        <w:gridCol w:w="757"/>
        <w:gridCol w:w="756"/>
      </w:tblGrid>
      <w:tr>
        <w:tblPrEx>
          <w:tblCellMar>
            <w:top w:w="0" w:type="dxa"/>
            <w:left w:w="0" w:type="dxa"/>
            <w:bottom w:w="0" w:type="dxa"/>
            <w:right w:w="0" w:type="dxa"/>
          </w:tblCellMar>
        </w:tblPrEx>
        <w:trPr>
          <w:trHeight w:val="300" w:hRule="atLeast"/>
        </w:trPr>
        <w:tc>
          <w:tcPr>
            <w:tcW w:w="798" w:type="dxa"/>
            <w:gridSpan w:val="2"/>
            <w:tcBorders>
              <w:top w:val="nil"/>
              <w:left w:val="nil"/>
              <w:bottom w:val="nil"/>
              <w:right w:val="nil"/>
            </w:tcBorders>
            <w:shd w:val="clear" w:color="auto" w:fill="auto"/>
            <w:noWrap/>
            <w:tcMar>
              <w:top w:w="12" w:type="dxa"/>
              <w:left w:w="12" w:type="dxa"/>
              <w:right w:w="12" w:type="dxa"/>
            </w:tcMar>
            <w:vAlign w:val="center"/>
          </w:tcPr>
          <w:p>
            <w:pPr>
              <w:widowControl/>
              <w:jc w:val="left"/>
              <w:textAlignment w:val="center"/>
              <w:rPr>
                <w:rFonts w:ascii="等线" w:hAnsi="等线" w:eastAsia="等线" w:cs="等线"/>
                <w:color w:val="auto"/>
                <w:sz w:val="16"/>
                <w:szCs w:val="16"/>
                <w:highlight w:val="none"/>
              </w:rPr>
            </w:pPr>
            <w:r>
              <w:rPr>
                <w:rFonts w:hint="eastAsia" w:ascii="等线" w:hAnsi="等线" w:eastAsia="等线" w:cs="等线"/>
                <w:color w:val="auto"/>
                <w:kern w:val="0"/>
                <w:sz w:val="16"/>
                <w:szCs w:val="16"/>
                <w:highlight w:val="none"/>
                <w:lang w:bidi="ar"/>
              </w:rPr>
              <w:t>附件2-2</w:t>
            </w:r>
          </w:p>
        </w:tc>
        <w:tc>
          <w:tcPr>
            <w:tcW w:w="495" w:type="dxa"/>
            <w:tcBorders>
              <w:top w:val="nil"/>
              <w:left w:val="nil"/>
              <w:bottom w:val="nil"/>
              <w:right w:val="nil"/>
            </w:tcBorders>
            <w:shd w:val="clear" w:color="auto" w:fill="auto"/>
            <w:noWrap/>
            <w:tcMar>
              <w:top w:w="12" w:type="dxa"/>
              <w:left w:w="12" w:type="dxa"/>
              <w:right w:w="12" w:type="dxa"/>
            </w:tcMar>
            <w:vAlign w:val="center"/>
          </w:tcPr>
          <w:p>
            <w:pPr>
              <w:jc w:val="left"/>
              <w:rPr>
                <w:rFonts w:ascii="等线" w:hAnsi="等线" w:eastAsia="等线" w:cs="等线"/>
                <w:color w:val="auto"/>
                <w:sz w:val="16"/>
                <w:szCs w:val="16"/>
                <w:highlight w:val="none"/>
              </w:rPr>
            </w:pPr>
          </w:p>
        </w:tc>
        <w:tc>
          <w:tcPr>
            <w:tcW w:w="3993" w:type="dxa"/>
            <w:tcBorders>
              <w:top w:val="nil"/>
              <w:left w:val="nil"/>
              <w:bottom w:val="nil"/>
              <w:right w:val="nil"/>
            </w:tcBorders>
            <w:shd w:val="clear" w:color="auto" w:fill="auto"/>
            <w:noWrap/>
            <w:tcMar>
              <w:top w:w="12" w:type="dxa"/>
              <w:left w:w="12" w:type="dxa"/>
              <w:right w:w="12" w:type="dxa"/>
            </w:tcMar>
            <w:vAlign w:val="center"/>
          </w:tcPr>
          <w:p>
            <w:pPr>
              <w:rPr>
                <w:rFonts w:ascii="等线" w:hAnsi="等线" w:eastAsia="等线" w:cs="等线"/>
                <w:color w:val="auto"/>
                <w:sz w:val="16"/>
                <w:szCs w:val="16"/>
                <w:highlight w:val="none"/>
              </w:rPr>
            </w:pPr>
          </w:p>
        </w:tc>
        <w:tc>
          <w:tcPr>
            <w:tcW w:w="1091" w:type="dxa"/>
            <w:tcBorders>
              <w:top w:val="nil"/>
              <w:left w:val="nil"/>
              <w:bottom w:val="nil"/>
              <w:right w:val="nil"/>
            </w:tcBorders>
            <w:shd w:val="clear" w:color="auto" w:fill="auto"/>
            <w:noWrap/>
            <w:tcMar>
              <w:top w:w="12" w:type="dxa"/>
              <w:left w:w="12" w:type="dxa"/>
              <w:right w:w="12" w:type="dxa"/>
            </w:tcMar>
            <w:vAlign w:val="center"/>
          </w:tcPr>
          <w:p>
            <w:pPr>
              <w:rPr>
                <w:rFonts w:ascii="等线" w:hAnsi="等线" w:eastAsia="等线" w:cs="等线"/>
                <w:color w:val="auto"/>
                <w:sz w:val="16"/>
                <w:szCs w:val="16"/>
                <w:highlight w:val="none"/>
              </w:rPr>
            </w:pPr>
          </w:p>
        </w:tc>
        <w:tc>
          <w:tcPr>
            <w:tcW w:w="585" w:type="dxa"/>
            <w:tcBorders>
              <w:top w:val="nil"/>
              <w:left w:val="nil"/>
              <w:bottom w:val="nil"/>
              <w:right w:val="nil"/>
            </w:tcBorders>
            <w:shd w:val="clear" w:color="auto" w:fill="auto"/>
            <w:noWrap/>
            <w:tcMar>
              <w:top w:w="12" w:type="dxa"/>
              <w:left w:w="12" w:type="dxa"/>
              <w:right w:w="12" w:type="dxa"/>
            </w:tcMar>
            <w:vAlign w:val="center"/>
          </w:tcPr>
          <w:p>
            <w:pPr>
              <w:rPr>
                <w:rFonts w:ascii="等线" w:hAnsi="等线" w:eastAsia="等线" w:cs="等线"/>
                <w:color w:val="auto"/>
                <w:sz w:val="16"/>
                <w:szCs w:val="16"/>
                <w:highlight w:val="none"/>
              </w:rPr>
            </w:pPr>
          </w:p>
        </w:tc>
        <w:tc>
          <w:tcPr>
            <w:tcW w:w="585" w:type="dxa"/>
            <w:tcBorders>
              <w:top w:val="nil"/>
              <w:left w:val="nil"/>
              <w:bottom w:val="nil"/>
              <w:right w:val="nil"/>
            </w:tcBorders>
            <w:shd w:val="clear" w:color="auto" w:fill="auto"/>
            <w:noWrap/>
            <w:tcMar>
              <w:top w:w="12" w:type="dxa"/>
              <w:left w:w="12" w:type="dxa"/>
              <w:right w:w="12" w:type="dxa"/>
            </w:tcMar>
            <w:vAlign w:val="center"/>
          </w:tcPr>
          <w:p>
            <w:pPr>
              <w:rPr>
                <w:rFonts w:ascii="等线" w:hAnsi="等线" w:eastAsia="等线" w:cs="等线"/>
                <w:color w:val="auto"/>
                <w:sz w:val="16"/>
                <w:szCs w:val="16"/>
                <w:highlight w:val="none"/>
              </w:rPr>
            </w:pPr>
          </w:p>
        </w:tc>
        <w:tc>
          <w:tcPr>
            <w:tcW w:w="585" w:type="dxa"/>
            <w:tcBorders>
              <w:top w:val="nil"/>
              <w:left w:val="nil"/>
              <w:bottom w:val="nil"/>
              <w:right w:val="nil"/>
            </w:tcBorders>
            <w:shd w:val="clear" w:color="auto" w:fill="auto"/>
            <w:noWrap/>
            <w:tcMar>
              <w:top w:w="12" w:type="dxa"/>
              <w:left w:w="12" w:type="dxa"/>
              <w:right w:w="12" w:type="dxa"/>
            </w:tcMar>
            <w:vAlign w:val="center"/>
          </w:tcPr>
          <w:p>
            <w:pPr>
              <w:rPr>
                <w:rFonts w:ascii="等线" w:hAnsi="等线" w:eastAsia="等线" w:cs="等线"/>
                <w:color w:val="auto"/>
                <w:sz w:val="16"/>
                <w:szCs w:val="16"/>
                <w:highlight w:val="none"/>
              </w:rPr>
            </w:pPr>
          </w:p>
        </w:tc>
        <w:tc>
          <w:tcPr>
            <w:tcW w:w="585" w:type="dxa"/>
            <w:tcBorders>
              <w:top w:val="nil"/>
              <w:left w:val="nil"/>
              <w:bottom w:val="nil"/>
              <w:right w:val="nil"/>
            </w:tcBorders>
            <w:shd w:val="clear" w:color="auto" w:fill="auto"/>
            <w:noWrap/>
            <w:tcMar>
              <w:top w:w="12" w:type="dxa"/>
              <w:left w:w="12" w:type="dxa"/>
              <w:right w:w="12" w:type="dxa"/>
            </w:tcMar>
            <w:vAlign w:val="center"/>
          </w:tcPr>
          <w:p>
            <w:pPr>
              <w:rPr>
                <w:rFonts w:ascii="等线" w:hAnsi="等线" w:eastAsia="等线" w:cs="等线"/>
                <w:color w:val="auto"/>
                <w:sz w:val="16"/>
                <w:szCs w:val="16"/>
                <w:highlight w:val="none"/>
              </w:rPr>
            </w:pPr>
          </w:p>
        </w:tc>
        <w:tc>
          <w:tcPr>
            <w:tcW w:w="585" w:type="dxa"/>
            <w:tcBorders>
              <w:top w:val="nil"/>
              <w:left w:val="nil"/>
              <w:bottom w:val="nil"/>
              <w:right w:val="nil"/>
            </w:tcBorders>
            <w:shd w:val="clear" w:color="auto" w:fill="auto"/>
            <w:noWrap/>
            <w:tcMar>
              <w:top w:w="12" w:type="dxa"/>
              <w:left w:w="12" w:type="dxa"/>
              <w:right w:w="12" w:type="dxa"/>
            </w:tcMar>
            <w:vAlign w:val="center"/>
          </w:tcPr>
          <w:p>
            <w:pPr>
              <w:rPr>
                <w:rFonts w:ascii="等线" w:hAnsi="等线" w:eastAsia="等线" w:cs="等线"/>
                <w:color w:val="auto"/>
                <w:sz w:val="16"/>
                <w:szCs w:val="16"/>
                <w:highlight w:val="none"/>
              </w:rPr>
            </w:pPr>
          </w:p>
        </w:tc>
      </w:tr>
      <w:tr>
        <w:tblPrEx>
          <w:tblCellMar>
            <w:top w:w="0" w:type="dxa"/>
            <w:left w:w="0" w:type="dxa"/>
            <w:bottom w:w="0" w:type="dxa"/>
            <w:right w:w="0" w:type="dxa"/>
          </w:tblCellMar>
        </w:tblPrEx>
        <w:trPr>
          <w:trHeight w:val="320" w:hRule="atLeast"/>
        </w:trPr>
        <w:tc>
          <w:tcPr>
            <w:tcW w:w="0" w:type="auto"/>
            <w:gridSpan w:val="10"/>
            <w:tcBorders>
              <w:top w:val="nil"/>
              <w:left w:val="nil"/>
              <w:bottom w:val="nil"/>
              <w:right w:val="nil"/>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b/>
                <w:color w:val="auto"/>
                <w:sz w:val="16"/>
                <w:szCs w:val="16"/>
                <w:highlight w:val="none"/>
              </w:rPr>
            </w:pPr>
            <w:r>
              <w:rPr>
                <w:rFonts w:hint="eastAsia" w:ascii="等线" w:hAnsi="等线" w:eastAsia="等线" w:cs="等线"/>
                <w:b/>
                <w:color w:val="auto"/>
                <w:kern w:val="0"/>
                <w:sz w:val="16"/>
                <w:szCs w:val="16"/>
                <w:highlight w:val="none"/>
                <w:lang w:bidi="ar"/>
              </w:rPr>
              <w:t>营运项目承包单位综合履约考评表（安全）</w:t>
            </w:r>
          </w:p>
        </w:tc>
      </w:tr>
      <w:tr>
        <w:tblPrEx>
          <w:tblCellMar>
            <w:top w:w="0" w:type="dxa"/>
            <w:left w:w="0" w:type="dxa"/>
            <w:bottom w:w="0" w:type="dxa"/>
            <w:right w:w="0" w:type="dxa"/>
          </w:tblCellMar>
        </w:tblPrEx>
        <w:trPr>
          <w:trHeight w:val="380" w:hRule="atLeast"/>
        </w:trPr>
        <w:tc>
          <w:tcPr>
            <w:tcW w:w="0" w:type="auto"/>
            <w:gridSpan w:val="4"/>
            <w:tcBorders>
              <w:top w:val="nil"/>
              <w:left w:val="nil"/>
              <w:bottom w:val="nil"/>
              <w:right w:val="nil"/>
            </w:tcBorders>
            <w:shd w:val="clear" w:color="auto" w:fill="auto"/>
            <w:noWrap/>
            <w:tcMar>
              <w:top w:w="12" w:type="dxa"/>
              <w:left w:w="12" w:type="dxa"/>
              <w:right w:w="12" w:type="dxa"/>
            </w:tcMar>
            <w:vAlign w:val="center"/>
          </w:tcPr>
          <w:p>
            <w:pPr>
              <w:widowControl/>
              <w:jc w:val="left"/>
              <w:textAlignment w:val="center"/>
              <w:rPr>
                <w:rFonts w:ascii="等线" w:hAnsi="等线" w:eastAsia="等线" w:cs="等线"/>
                <w:b/>
                <w:color w:val="auto"/>
                <w:sz w:val="16"/>
                <w:szCs w:val="16"/>
                <w:highlight w:val="none"/>
              </w:rPr>
            </w:pPr>
            <w:r>
              <w:rPr>
                <w:rFonts w:hint="eastAsia" w:ascii="等线" w:hAnsi="等线" w:eastAsia="等线" w:cs="等线"/>
                <w:b/>
                <w:color w:val="auto"/>
                <w:kern w:val="0"/>
                <w:sz w:val="16"/>
                <w:szCs w:val="16"/>
                <w:highlight w:val="none"/>
                <w:lang w:bidi="ar"/>
              </w:rPr>
              <w:t>项目名称：</w:t>
            </w:r>
          </w:p>
        </w:tc>
        <w:tc>
          <w:tcPr>
            <w:tcW w:w="0" w:type="auto"/>
            <w:tcBorders>
              <w:top w:val="nil"/>
              <w:left w:val="nil"/>
              <w:bottom w:val="nil"/>
              <w:right w:val="nil"/>
            </w:tcBorders>
            <w:shd w:val="clear" w:color="auto" w:fill="auto"/>
            <w:noWrap/>
            <w:tcMar>
              <w:top w:w="12" w:type="dxa"/>
              <w:left w:w="12" w:type="dxa"/>
              <w:right w:w="12" w:type="dxa"/>
            </w:tcMar>
            <w:vAlign w:val="center"/>
          </w:tcPr>
          <w:p>
            <w:pPr>
              <w:jc w:val="center"/>
              <w:rPr>
                <w:rFonts w:ascii="等线" w:hAnsi="等线" w:eastAsia="等线" w:cs="等线"/>
                <w:b/>
                <w:color w:val="auto"/>
                <w:sz w:val="16"/>
                <w:szCs w:val="16"/>
                <w:highlight w:val="none"/>
              </w:rPr>
            </w:pPr>
          </w:p>
        </w:tc>
        <w:tc>
          <w:tcPr>
            <w:tcW w:w="0" w:type="auto"/>
            <w:gridSpan w:val="5"/>
            <w:tcBorders>
              <w:top w:val="nil"/>
              <w:left w:val="nil"/>
              <w:bottom w:val="nil"/>
              <w:right w:val="nil"/>
            </w:tcBorders>
            <w:shd w:val="clear" w:color="auto" w:fill="auto"/>
            <w:noWrap/>
            <w:tcMar>
              <w:top w:w="12" w:type="dxa"/>
              <w:left w:w="12" w:type="dxa"/>
              <w:right w:w="12" w:type="dxa"/>
            </w:tcMar>
            <w:vAlign w:val="center"/>
          </w:tcPr>
          <w:p>
            <w:pPr>
              <w:widowControl/>
              <w:jc w:val="left"/>
              <w:textAlignment w:val="center"/>
              <w:rPr>
                <w:rFonts w:ascii="等线" w:hAnsi="等线" w:eastAsia="等线" w:cs="等线"/>
                <w:b/>
                <w:color w:val="auto"/>
                <w:sz w:val="16"/>
                <w:szCs w:val="16"/>
                <w:highlight w:val="none"/>
              </w:rPr>
            </w:pPr>
            <w:r>
              <w:rPr>
                <w:rFonts w:hint="eastAsia" w:ascii="等线" w:hAnsi="等线" w:eastAsia="等线" w:cs="等线"/>
                <w:b/>
                <w:color w:val="auto"/>
                <w:kern w:val="0"/>
                <w:sz w:val="16"/>
                <w:szCs w:val="16"/>
                <w:highlight w:val="none"/>
                <w:lang w:bidi="ar"/>
              </w:rPr>
              <w:t>综合考评日期：           年        月        日</w:t>
            </w:r>
          </w:p>
        </w:tc>
      </w:tr>
      <w:tr>
        <w:tblPrEx>
          <w:tblCellMar>
            <w:top w:w="0" w:type="dxa"/>
            <w:left w:w="0" w:type="dxa"/>
            <w:bottom w:w="0" w:type="dxa"/>
            <w:right w:w="0" w:type="dxa"/>
          </w:tblCellMar>
        </w:tblPrEx>
        <w:trPr>
          <w:trHeight w:val="380"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序号</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考评项目</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考评分项</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考评内容</w:t>
            </w:r>
          </w:p>
        </w:tc>
        <w:tc>
          <w:tcPr>
            <w:tcW w:w="1091"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考评标准</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监理单位考评</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分公司考评</w:t>
            </w:r>
          </w:p>
        </w:tc>
        <w:tc>
          <w:tcPr>
            <w:tcW w:w="117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公司考评</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综合考评</w:t>
            </w:r>
          </w:p>
        </w:tc>
      </w:tr>
      <w:tr>
        <w:tblPrEx>
          <w:tblCellMar>
            <w:top w:w="0" w:type="dxa"/>
            <w:left w:w="0" w:type="dxa"/>
            <w:bottom w:w="0" w:type="dxa"/>
            <w:right w:w="0" w:type="dxa"/>
          </w:tblCellMar>
        </w:tblPrEx>
        <w:trPr>
          <w:trHeight w:val="380"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仿宋_GB2312" w:hAnsi="等线" w:eastAsia="仿宋_GB2312" w:cs="仿宋_GB2312"/>
                <w:color w:val="auto"/>
                <w:sz w:val="16"/>
                <w:szCs w:val="16"/>
                <w:highlight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等线" w:eastAsia="仿宋_GB2312" w:cs="仿宋_GB2312"/>
                <w:color w:val="auto"/>
                <w:sz w:val="16"/>
                <w:szCs w:val="16"/>
                <w:highlight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等线" w:eastAsia="仿宋_GB2312" w:cs="仿宋_GB2312"/>
                <w:color w:val="auto"/>
                <w:sz w:val="16"/>
                <w:szCs w:val="16"/>
                <w:highlight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仿宋_GB2312" w:hAnsi="等线" w:eastAsia="仿宋_GB2312" w:cs="仿宋_GB2312"/>
                <w:color w:val="auto"/>
                <w:sz w:val="16"/>
                <w:szCs w:val="16"/>
                <w:highlight w:val="none"/>
              </w:rPr>
            </w:pPr>
          </w:p>
        </w:tc>
        <w:tc>
          <w:tcPr>
            <w:tcW w:w="1091"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等线" w:eastAsia="仿宋_GB2312" w:cs="仿宋_GB2312"/>
                <w:color w:val="auto"/>
                <w:sz w:val="16"/>
                <w:szCs w:val="16"/>
                <w:highlight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等线" w:eastAsia="仿宋_GB2312" w:cs="仿宋_GB2312"/>
                <w:color w:val="auto"/>
                <w:sz w:val="16"/>
                <w:szCs w:val="16"/>
                <w:highlight w:val="none"/>
              </w:rPr>
            </w:pP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业务主管部门</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安全管理部门</w:t>
            </w:r>
          </w:p>
        </w:tc>
        <w:tc>
          <w:tcPr>
            <w:tcW w:w="58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等线" w:eastAsia="仿宋_GB2312" w:cs="仿宋_GB2312"/>
                <w:color w:val="auto"/>
                <w:sz w:val="16"/>
                <w:szCs w:val="16"/>
                <w:highlight w:val="none"/>
              </w:rPr>
            </w:pPr>
          </w:p>
        </w:tc>
      </w:tr>
      <w:tr>
        <w:tblPrEx>
          <w:tblCellMar>
            <w:top w:w="0" w:type="dxa"/>
            <w:left w:w="0" w:type="dxa"/>
            <w:bottom w:w="0" w:type="dxa"/>
            <w:right w:w="0" w:type="dxa"/>
          </w:tblCellMar>
        </w:tblPrEx>
        <w:trPr>
          <w:trHeight w:val="300" w:hRule="atLeast"/>
        </w:trPr>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一、加分部分</w:t>
            </w:r>
          </w:p>
        </w:tc>
      </w:tr>
      <w:tr>
        <w:tblPrEx>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color w:val="auto"/>
                <w:sz w:val="16"/>
                <w:szCs w:val="16"/>
                <w:highlight w:val="none"/>
              </w:rPr>
            </w:pPr>
            <w:r>
              <w:rPr>
                <w:rFonts w:hint="eastAsia" w:ascii="等线" w:hAnsi="等线" w:eastAsia="等线" w:cs="等线"/>
                <w:color w:val="auto"/>
                <w:kern w:val="0"/>
                <w:sz w:val="16"/>
                <w:szCs w:val="16"/>
                <w:highlight w:val="none"/>
                <w:lang w:bidi="ar"/>
              </w:rPr>
              <w:t>1</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综合管理</w:t>
            </w:r>
          </w:p>
        </w:tc>
        <w:tc>
          <w:tcPr>
            <w:tcW w:w="39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受到业主单位或上级管理部门通报表扬的</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加5～10分/项，可叠加</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r>
      <w:tr>
        <w:tblPrEx>
          <w:tblCellMar>
            <w:top w:w="0" w:type="dxa"/>
            <w:left w:w="0" w:type="dxa"/>
            <w:bottom w:w="0" w:type="dxa"/>
            <w:right w:w="0" w:type="dxa"/>
          </w:tblCellMar>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color w:val="auto"/>
                <w:sz w:val="16"/>
                <w:szCs w:val="16"/>
                <w:highlight w:val="none"/>
              </w:rPr>
            </w:pPr>
            <w:r>
              <w:rPr>
                <w:rFonts w:hint="eastAsia" w:ascii="等线" w:hAnsi="等线" w:eastAsia="等线" w:cs="等线"/>
                <w:color w:val="auto"/>
                <w:kern w:val="0"/>
                <w:sz w:val="16"/>
                <w:szCs w:val="16"/>
                <w:highlight w:val="none"/>
                <w:lang w:bidi="ar"/>
              </w:rPr>
              <w:t>2</w:t>
            </w:r>
          </w:p>
        </w:tc>
        <w:tc>
          <w:tcPr>
            <w:tcW w:w="990"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现场管理</w:t>
            </w:r>
          </w:p>
        </w:tc>
        <w:tc>
          <w:tcPr>
            <w:tcW w:w="39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积极配合业主单位做好安全工作及相关宣传教育，积极主动排查隐患的</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加5分/项</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r>
      <w:tr>
        <w:tblPrEx>
          <w:tblCellMar>
            <w:top w:w="0" w:type="dxa"/>
            <w:left w:w="0" w:type="dxa"/>
            <w:bottom w:w="0" w:type="dxa"/>
            <w:right w:w="0" w:type="dxa"/>
          </w:tblCellMar>
        </w:tblPrEx>
        <w:trPr>
          <w:trHeight w:val="260" w:hRule="atLeast"/>
        </w:trPr>
        <w:tc>
          <w:tcPr>
            <w:tcW w:w="0" w:type="auto"/>
            <w:gridSpan w:val="10"/>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二、扣分部分</w:t>
            </w:r>
          </w:p>
        </w:tc>
      </w:tr>
      <w:tr>
        <w:tblPrEx>
          <w:tblCellMar>
            <w:top w:w="0" w:type="dxa"/>
            <w:left w:w="0" w:type="dxa"/>
            <w:bottom w:w="0" w:type="dxa"/>
            <w:right w:w="0" w:type="dxa"/>
          </w:tblCellMar>
        </w:tblPrEx>
        <w:trPr>
          <w:trHeight w:val="9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color w:val="auto"/>
                <w:sz w:val="16"/>
                <w:szCs w:val="16"/>
                <w:highlight w:val="none"/>
              </w:rPr>
            </w:pPr>
            <w:r>
              <w:rPr>
                <w:rFonts w:hint="eastAsia" w:ascii="等线" w:hAnsi="等线" w:eastAsia="等线" w:cs="等线"/>
                <w:color w:val="auto"/>
                <w:kern w:val="0"/>
                <w:sz w:val="16"/>
                <w:szCs w:val="16"/>
                <w:highlight w:val="none"/>
                <w:lang w:bidi="ar"/>
              </w:rPr>
              <w:t>3</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安全事故</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事故类型</w:t>
            </w:r>
          </w:p>
        </w:tc>
        <w:tc>
          <w:tcPr>
            <w:tcW w:w="39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发生重伤1人及以上安全事故，或直接经济损失达200万元以上的安全生产事故</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扣100分/项，同时3年内禁止来我公司投标</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r>
      <w:tr>
        <w:tblPrEx>
          <w:tblCellMar>
            <w:top w:w="0" w:type="dxa"/>
            <w:left w:w="0" w:type="dxa"/>
            <w:bottom w:w="0" w:type="dxa"/>
            <w:right w:w="0" w:type="dxa"/>
          </w:tblCellMar>
        </w:tblPrEx>
        <w:trPr>
          <w:trHeight w:val="7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color w:val="auto"/>
                <w:sz w:val="16"/>
                <w:szCs w:val="16"/>
                <w:highlight w:val="none"/>
              </w:rPr>
            </w:pPr>
            <w:r>
              <w:rPr>
                <w:rFonts w:hint="eastAsia" w:ascii="等线" w:hAnsi="等线" w:eastAsia="等线" w:cs="等线"/>
                <w:color w:val="auto"/>
                <w:kern w:val="0"/>
                <w:sz w:val="16"/>
                <w:szCs w:val="16"/>
                <w:highlight w:val="none"/>
                <w:lang w:bidi="ar"/>
              </w:rPr>
              <w:t>6</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等线" w:eastAsia="仿宋_GB2312" w:cs="仿宋_GB2312"/>
                <w:color w:val="auto"/>
                <w:sz w:val="16"/>
                <w:szCs w:val="16"/>
                <w:highlight w:val="none"/>
              </w:rPr>
            </w:pP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等线" w:eastAsia="仿宋_GB2312" w:cs="仿宋_GB2312"/>
                <w:color w:val="auto"/>
                <w:sz w:val="16"/>
                <w:szCs w:val="16"/>
                <w:highlight w:val="none"/>
              </w:rPr>
            </w:pPr>
          </w:p>
        </w:tc>
        <w:tc>
          <w:tcPr>
            <w:tcW w:w="39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发生停产、影响环境、破坏公共设施、造成不良影响等事故的</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扣40分/项，可叠加，到达100分，3年内禁止来我公司投标</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r>
      <w:tr>
        <w:tblPrEx>
          <w:tblCellMar>
            <w:top w:w="0" w:type="dxa"/>
            <w:left w:w="0" w:type="dxa"/>
            <w:bottom w:w="0" w:type="dxa"/>
            <w:right w:w="0" w:type="dxa"/>
          </w:tblCellMar>
        </w:tblPrEx>
        <w:trPr>
          <w:trHeight w:val="1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color w:val="auto"/>
                <w:sz w:val="16"/>
                <w:szCs w:val="16"/>
                <w:highlight w:val="none"/>
              </w:rPr>
            </w:pPr>
            <w:r>
              <w:rPr>
                <w:rFonts w:hint="eastAsia" w:ascii="等线" w:hAnsi="等线" w:eastAsia="等线" w:cs="等线"/>
                <w:color w:val="auto"/>
                <w:kern w:val="0"/>
                <w:sz w:val="16"/>
                <w:szCs w:val="16"/>
                <w:highlight w:val="none"/>
                <w:lang w:bidi="ar"/>
              </w:rPr>
              <w:t>7</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等线" w:eastAsia="仿宋_GB2312" w:cs="仿宋_GB2312"/>
                <w:color w:val="auto"/>
                <w:sz w:val="16"/>
                <w:szCs w:val="16"/>
                <w:highlight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事故处理</w:t>
            </w:r>
          </w:p>
        </w:tc>
        <w:tc>
          <w:tcPr>
            <w:tcW w:w="39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1.发生事故或事件隐瞒不报的</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2.未在1小时内向业主单位上报事故的</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3.拒绝、不配合事故事件调查的或事故事件调查提供虚假信息</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4.未按规定和程序组织事故调查和事故处理的</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5.未及时处理导致事故扩大的</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6.未落实“四不放过”的</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扣100分/项，同时3年内禁止来我公司投标</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r>
      <w:tr>
        <w:tblPrEx>
          <w:tblCellMar>
            <w:top w:w="0" w:type="dxa"/>
            <w:left w:w="0" w:type="dxa"/>
            <w:bottom w:w="0" w:type="dxa"/>
            <w:right w:w="0" w:type="dxa"/>
          </w:tblCellMar>
        </w:tblPrEx>
        <w:trPr>
          <w:trHeight w:val="12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color w:val="auto"/>
                <w:sz w:val="16"/>
                <w:szCs w:val="16"/>
                <w:highlight w:val="none"/>
              </w:rPr>
            </w:pPr>
            <w:r>
              <w:rPr>
                <w:rFonts w:hint="eastAsia" w:ascii="等线" w:hAnsi="等线" w:eastAsia="等线" w:cs="等线"/>
                <w:color w:val="auto"/>
                <w:kern w:val="0"/>
                <w:sz w:val="16"/>
                <w:szCs w:val="16"/>
                <w:highlight w:val="none"/>
                <w:lang w:bidi="ar"/>
              </w:rPr>
              <w:t>8</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首次备案施工单位须提供的资料</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一般资料</w:t>
            </w:r>
          </w:p>
        </w:tc>
        <w:tc>
          <w:tcPr>
            <w:tcW w:w="39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1.施工人员签名的安全交底表（交底内容由分公司编写），被交底人员应与人员花名册一致</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2.施工单位对施工人员的三级安全教育材料</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3.特殊时期需要增加的资料（如新冠疫情期间，需要增加的人员健康码和行程码资料）</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缺资料扣3～5分/项；</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资料有问题扣1～3分/项</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r>
      <w:tr>
        <w:tblPrEx>
          <w:tblCellMar>
            <w:top w:w="0" w:type="dxa"/>
            <w:left w:w="0" w:type="dxa"/>
            <w:bottom w:w="0" w:type="dxa"/>
            <w:right w:w="0" w:type="dxa"/>
          </w:tblCellMar>
        </w:tblPrEx>
        <w:trPr>
          <w:trHeight w:val="138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color w:val="auto"/>
                <w:sz w:val="16"/>
                <w:szCs w:val="16"/>
                <w:highlight w:val="none"/>
              </w:rPr>
            </w:pPr>
            <w:r>
              <w:rPr>
                <w:rFonts w:hint="eastAsia" w:ascii="等线" w:hAnsi="等线" w:eastAsia="等线" w:cs="等线"/>
                <w:color w:val="auto"/>
                <w:kern w:val="0"/>
                <w:sz w:val="16"/>
                <w:szCs w:val="16"/>
                <w:highlight w:val="none"/>
                <w:lang w:bidi="ar"/>
              </w:rPr>
              <w:t>9</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等线" w:eastAsia="仿宋_GB2312" w:cs="仿宋_GB2312"/>
                <w:color w:val="auto"/>
                <w:sz w:val="16"/>
                <w:szCs w:val="16"/>
                <w:highlight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施工方案</w:t>
            </w:r>
          </w:p>
        </w:tc>
        <w:tc>
          <w:tcPr>
            <w:tcW w:w="39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4.施工方案，应满足合同要求，内容至少包括：</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 xml:space="preserve">  施工点介绍</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 xml:space="preserve">  施工内容（含作业流程、风险分析、施工工艺等）</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 xml:space="preserve">  施工设备和材料（必要时含构件测试手段等）</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 xml:space="preserve">  安全措施（根据工程特点、分公司的风险评估和施工单位的施工工艺制定）</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 xml:space="preserve">  正常施工安全物资（主要是安全防护设备、劳保用品）</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缺施工方案扣4～8分/项；</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资料有问题扣1～3分/项</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r>
      <w:tr>
        <w:tblPrEx>
          <w:tblCellMar>
            <w:top w:w="0" w:type="dxa"/>
            <w:left w:w="0" w:type="dxa"/>
            <w:bottom w:w="0" w:type="dxa"/>
            <w:right w:w="0" w:type="dxa"/>
          </w:tblCellMar>
        </w:tblPrEx>
        <w:trPr>
          <w:trHeight w:val="537"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color w:val="auto"/>
                <w:sz w:val="16"/>
                <w:szCs w:val="16"/>
                <w:highlight w:val="none"/>
              </w:rPr>
            </w:pPr>
            <w:r>
              <w:rPr>
                <w:rFonts w:hint="eastAsia" w:ascii="等线" w:hAnsi="等线" w:eastAsia="等线" w:cs="等线"/>
                <w:color w:val="auto"/>
                <w:kern w:val="0"/>
                <w:sz w:val="16"/>
                <w:szCs w:val="16"/>
                <w:highlight w:val="none"/>
                <w:lang w:bidi="ar"/>
              </w:rPr>
              <w:t>10</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等线" w:eastAsia="仿宋_GB2312" w:cs="仿宋_GB2312"/>
                <w:color w:val="auto"/>
                <w:sz w:val="16"/>
                <w:szCs w:val="16"/>
                <w:highlight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应急预案</w:t>
            </w:r>
          </w:p>
        </w:tc>
        <w:tc>
          <w:tcPr>
            <w:tcW w:w="39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5.应急预案，内容至少包括：</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 xml:space="preserve">  现场情况介绍</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 xml:space="preserve">  风险评估</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 xml:space="preserve">  应急架构（包括应急主管人员和安全员，以及各应急小组，落实到人和联系方式）</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 xml:space="preserve">  应急流程</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 xml:space="preserve">  各种风险情况下的应急措施（根据现场情况、分公司的风险评估制定）</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 xml:space="preserve">  应急物资清单</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 xml:space="preserve">  外单位救援力量及联系方式等</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缺应急预案扣4～8分/项；</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资料有问题扣1～3分/项</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r>
      <w:tr>
        <w:tblPrEx>
          <w:tblCellMar>
            <w:top w:w="0" w:type="dxa"/>
            <w:left w:w="0" w:type="dxa"/>
            <w:bottom w:w="0" w:type="dxa"/>
            <w:right w:w="0" w:type="dxa"/>
          </w:tblCellMar>
        </w:tblPrEx>
        <w:trPr>
          <w:trHeight w:val="15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color w:val="auto"/>
                <w:sz w:val="16"/>
                <w:szCs w:val="16"/>
                <w:highlight w:val="none"/>
              </w:rPr>
            </w:pPr>
            <w:r>
              <w:rPr>
                <w:rFonts w:hint="eastAsia" w:ascii="等线" w:hAnsi="等线" w:eastAsia="等线" w:cs="等线"/>
                <w:color w:val="auto"/>
                <w:kern w:val="0"/>
                <w:sz w:val="16"/>
                <w:szCs w:val="16"/>
                <w:highlight w:val="none"/>
                <w:lang w:bidi="ar"/>
              </w:rPr>
              <w:t>11</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等线" w:eastAsia="仿宋_GB2312" w:cs="仿宋_GB2312"/>
                <w:color w:val="auto"/>
                <w:sz w:val="16"/>
                <w:szCs w:val="16"/>
                <w:highlight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安全架构</w:t>
            </w:r>
          </w:p>
        </w:tc>
        <w:tc>
          <w:tcPr>
            <w:tcW w:w="39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6.安全架构和相应安全责任制（落实到人和联系方式），可编写入施工方案内，架构人员主要包括：</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 xml:space="preserve">  安全责任人</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 xml:space="preserve">  施工负责人（可与安全责任人为同一个人）</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 xml:space="preserve">  安全员</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 xml:space="preserve">  设备、物资管理人员</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 xml:space="preserve">  关键岗位人员、特种作业人员</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缺安全架构扣5～10分/项；</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缺任何一类人员及其职责有问题扣2～4分/项</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r>
      <w:tr>
        <w:tblPrEx>
          <w:tblCellMar>
            <w:top w:w="0" w:type="dxa"/>
            <w:left w:w="0" w:type="dxa"/>
            <w:bottom w:w="0" w:type="dxa"/>
            <w:right w:w="0" w:type="dxa"/>
          </w:tblCellMar>
        </w:tblPrEx>
        <w:trPr>
          <w:trHeight w:val="24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color w:val="auto"/>
                <w:sz w:val="16"/>
                <w:szCs w:val="16"/>
                <w:highlight w:val="none"/>
              </w:rPr>
            </w:pPr>
            <w:r>
              <w:rPr>
                <w:rFonts w:hint="eastAsia" w:ascii="等线" w:hAnsi="等线" w:eastAsia="等线" w:cs="等线"/>
                <w:color w:val="auto"/>
                <w:kern w:val="0"/>
                <w:sz w:val="16"/>
                <w:szCs w:val="16"/>
                <w:highlight w:val="none"/>
                <w:lang w:bidi="ar"/>
              </w:rPr>
              <w:t>12</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等线" w:eastAsia="仿宋_GB2312" w:cs="仿宋_GB2312"/>
                <w:color w:val="auto"/>
                <w:sz w:val="16"/>
                <w:szCs w:val="16"/>
                <w:highlight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人员资质</w:t>
            </w:r>
          </w:p>
        </w:tc>
        <w:tc>
          <w:tcPr>
            <w:tcW w:w="39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7.施工人员花名册，人员应包含：</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 xml:space="preserve">  施工负责人（需要施工管理人员资格证书）</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 xml:space="preserve">  安全员（涉及动火、临时用电、有限空间、高空、抽堵盲板、吊装、动土、断路、设备检修等9大危险作业的，安全员需要有安全员证）</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 xml:space="preserve">  特种作业人员（附证件号，同时要复印特种作业证，特种作业人数应满足合同要求）</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 xml:space="preserve">  一般施工人员</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 xml:space="preserve">  可能需要进入厂区的其他人员（如监理人员、资料员等）</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注：如作业涉及危险作业，作业人员须有作业人员岗前职业病体检和筛选</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缺花名册扣3～5分/项；</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缺特种作业人员或特种作业人员不满足合同要求扣3～5分/项；</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其他人员或资料有缺漏扣1～3分/项</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r>
      <w:tr>
        <w:tblPrEx>
          <w:tblCellMar>
            <w:top w:w="0" w:type="dxa"/>
            <w:left w:w="0" w:type="dxa"/>
            <w:bottom w:w="0" w:type="dxa"/>
            <w:right w:w="0" w:type="dxa"/>
          </w:tblCellMar>
        </w:tblPrEx>
        <w:trPr>
          <w:trHeight w:val="1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color w:val="auto"/>
                <w:sz w:val="16"/>
                <w:szCs w:val="16"/>
                <w:highlight w:val="none"/>
              </w:rPr>
            </w:pPr>
            <w:r>
              <w:rPr>
                <w:rFonts w:hint="eastAsia" w:ascii="等线" w:hAnsi="等线" w:eastAsia="等线" w:cs="等线"/>
                <w:color w:val="auto"/>
                <w:kern w:val="0"/>
                <w:sz w:val="16"/>
                <w:szCs w:val="16"/>
                <w:highlight w:val="none"/>
                <w:lang w:bidi="ar"/>
              </w:rPr>
              <w:t>13</w:t>
            </w:r>
          </w:p>
        </w:tc>
        <w:tc>
          <w:tcPr>
            <w:tcW w:w="495"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施工现场管理</w:t>
            </w: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现场面貌</w:t>
            </w:r>
          </w:p>
        </w:tc>
        <w:tc>
          <w:tcPr>
            <w:tcW w:w="39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1.施工现场未开展有效围蔽</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2.无七牌一图或有缺漏（七牌：工程概况牌：管理人员名单及监督电话牌、现场事故应急救援预案公示牌、安全生产牌、文明施工牌、消防保卫牌、环境保护牌；一图：施工现场平面图）</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3.现场无危险源公示、告知及相应警示</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4.材料堆放存在重大隐患</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扣2～4分/项</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r>
      <w:tr>
        <w:tblPrEx>
          <w:tblCellMar>
            <w:top w:w="0" w:type="dxa"/>
            <w:left w:w="0" w:type="dxa"/>
            <w:bottom w:w="0" w:type="dxa"/>
            <w:right w:w="0" w:type="dxa"/>
          </w:tblCellMar>
        </w:tblPrEx>
        <w:trPr>
          <w:trHeight w:val="8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color w:val="auto"/>
                <w:sz w:val="16"/>
                <w:szCs w:val="16"/>
                <w:highlight w:val="none"/>
              </w:rPr>
            </w:pPr>
            <w:r>
              <w:rPr>
                <w:rFonts w:hint="eastAsia" w:ascii="等线" w:hAnsi="等线" w:eastAsia="等线" w:cs="等线"/>
                <w:color w:val="auto"/>
                <w:kern w:val="0"/>
                <w:sz w:val="16"/>
                <w:szCs w:val="16"/>
                <w:highlight w:val="none"/>
                <w:lang w:bidi="ar"/>
              </w:rPr>
              <w:t>14</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等线" w:eastAsia="仿宋_GB2312" w:cs="仿宋_GB2312"/>
                <w:color w:val="auto"/>
                <w:sz w:val="16"/>
                <w:szCs w:val="16"/>
                <w:highlight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施工管理</w:t>
            </w:r>
          </w:p>
        </w:tc>
        <w:tc>
          <w:tcPr>
            <w:tcW w:w="39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1.现场未按施工方案落实安全防范措施的</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2.危险作业未经业主人员审批先行施工的</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3.未按施工方案施工的</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扣3～5分/项</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r>
      <w:tr>
        <w:tblPrEx>
          <w:tblCellMar>
            <w:top w:w="0" w:type="dxa"/>
            <w:left w:w="0" w:type="dxa"/>
            <w:bottom w:w="0" w:type="dxa"/>
            <w:right w:w="0" w:type="dxa"/>
          </w:tblCellMar>
        </w:tblPrEx>
        <w:trPr>
          <w:trHeight w:val="8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color w:val="auto"/>
                <w:sz w:val="16"/>
                <w:szCs w:val="16"/>
                <w:highlight w:val="none"/>
              </w:rPr>
            </w:pPr>
            <w:r>
              <w:rPr>
                <w:rFonts w:hint="eastAsia" w:ascii="等线" w:hAnsi="等线" w:eastAsia="等线" w:cs="等线"/>
                <w:color w:val="auto"/>
                <w:kern w:val="0"/>
                <w:sz w:val="16"/>
                <w:szCs w:val="16"/>
                <w:highlight w:val="none"/>
                <w:lang w:bidi="ar"/>
              </w:rPr>
              <w:t>15</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等线" w:eastAsia="仿宋_GB2312" w:cs="仿宋_GB2312"/>
                <w:color w:val="auto"/>
                <w:sz w:val="16"/>
                <w:szCs w:val="16"/>
                <w:highlight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每日安全交底</w:t>
            </w:r>
          </w:p>
        </w:tc>
        <w:tc>
          <w:tcPr>
            <w:tcW w:w="39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1.缺少书面交底、未留存书面资料或交底资料缺少交底人、被交底人及安全员签字的</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2.内容未结合当天的现场状况、特点、工序，对危险因素、施工内容、安全作业和应急措施进行交底的</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扣2～4分/项</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r>
      <w:tr>
        <w:tblPrEx>
          <w:tblCellMar>
            <w:top w:w="0" w:type="dxa"/>
            <w:left w:w="0" w:type="dxa"/>
            <w:bottom w:w="0" w:type="dxa"/>
            <w:right w:w="0" w:type="dxa"/>
          </w:tblCellMar>
        </w:tblPrEx>
        <w:trPr>
          <w:trHeight w:val="11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color w:val="auto"/>
                <w:sz w:val="16"/>
                <w:szCs w:val="16"/>
                <w:highlight w:val="none"/>
              </w:rPr>
            </w:pPr>
            <w:r>
              <w:rPr>
                <w:rFonts w:hint="eastAsia" w:ascii="等线" w:hAnsi="等线" w:eastAsia="等线" w:cs="等线"/>
                <w:color w:val="auto"/>
                <w:kern w:val="0"/>
                <w:sz w:val="16"/>
                <w:szCs w:val="16"/>
                <w:highlight w:val="none"/>
                <w:lang w:bidi="ar"/>
              </w:rPr>
              <w:t>16</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等线" w:eastAsia="仿宋_GB2312" w:cs="仿宋_GB2312"/>
                <w:color w:val="auto"/>
                <w:sz w:val="16"/>
                <w:szCs w:val="16"/>
                <w:highlight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作业行为管理</w:t>
            </w:r>
          </w:p>
        </w:tc>
        <w:tc>
          <w:tcPr>
            <w:tcW w:w="39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1.违反9大危险作业相关作业规范的</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2.现场存在违章作业、违章指挥等违反相关安全管理规定或制度的</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3.人员错误使用劳保用品3次以上的</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扣3～5分/项</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r>
      <w:tr>
        <w:tblPrEx>
          <w:tblCellMar>
            <w:top w:w="0" w:type="dxa"/>
            <w:left w:w="0" w:type="dxa"/>
            <w:bottom w:w="0" w:type="dxa"/>
            <w:right w:w="0" w:type="dxa"/>
          </w:tblCellMar>
        </w:tblPrEx>
        <w:trPr>
          <w:trHeight w:val="50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color w:val="auto"/>
                <w:sz w:val="16"/>
                <w:szCs w:val="16"/>
                <w:highlight w:val="none"/>
              </w:rPr>
            </w:pPr>
            <w:r>
              <w:rPr>
                <w:rFonts w:hint="eastAsia" w:ascii="等线" w:hAnsi="等线" w:eastAsia="等线" w:cs="等线"/>
                <w:color w:val="auto"/>
                <w:kern w:val="0"/>
                <w:sz w:val="16"/>
                <w:szCs w:val="16"/>
                <w:highlight w:val="none"/>
                <w:lang w:bidi="ar"/>
              </w:rPr>
              <w:t>17</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等线" w:eastAsia="仿宋_GB2312" w:cs="仿宋_GB2312"/>
                <w:color w:val="auto"/>
                <w:sz w:val="16"/>
                <w:szCs w:val="16"/>
                <w:highlight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安全记录</w:t>
            </w:r>
          </w:p>
        </w:tc>
        <w:tc>
          <w:tcPr>
            <w:tcW w:w="39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未按施工要求开展现场记录或记录内容有缺失</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扣2～4分/项</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r>
      <w:tr>
        <w:tblPrEx>
          <w:tblCellMar>
            <w:top w:w="0" w:type="dxa"/>
            <w:left w:w="0" w:type="dxa"/>
            <w:bottom w:w="0" w:type="dxa"/>
            <w:right w:w="0" w:type="dxa"/>
          </w:tblCellMar>
        </w:tblPrEx>
        <w:trPr>
          <w:trHeight w:val="7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color w:val="auto"/>
                <w:sz w:val="16"/>
                <w:szCs w:val="16"/>
                <w:highlight w:val="none"/>
              </w:rPr>
            </w:pPr>
            <w:r>
              <w:rPr>
                <w:rFonts w:hint="eastAsia" w:ascii="等线" w:hAnsi="等线" w:eastAsia="等线" w:cs="等线"/>
                <w:color w:val="auto"/>
                <w:kern w:val="0"/>
                <w:sz w:val="16"/>
                <w:szCs w:val="16"/>
                <w:highlight w:val="none"/>
                <w:lang w:bidi="ar"/>
              </w:rPr>
              <w:t>18</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等线" w:eastAsia="仿宋_GB2312" w:cs="仿宋_GB2312"/>
                <w:color w:val="auto"/>
                <w:sz w:val="16"/>
                <w:szCs w:val="16"/>
                <w:highlight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应急管理</w:t>
            </w:r>
          </w:p>
        </w:tc>
        <w:tc>
          <w:tcPr>
            <w:tcW w:w="39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1.未设置应急物资点，未统一存放应急物资</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2.应急物资点无应急物资清单或无应急物资每日检查表</w:t>
            </w:r>
            <w:r>
              <w:rPr>
                <w:rFonts w:hint="eastAsia" w:ascii="仿宋_GB2312" w:hAnsi="等线" w:eastAsia="仿宋_GB2312" w:cs="仿宋_GB2312"/>
                <w:color w:val="auto"/>
                <w:kern w:val="0"/>
                <w:sz w:val="16"/>
                <w:szCs w:val="16"/>
                <w:highlight w:val="none"/>
                <w:lang w:bidi="ar"/>
              </w:rPr>
              <w:br w:type="textWrapping"/>
            </w:r>
            <w:r>
              <w:rPr>
                <w:rFonts w:hint="eastAsia" w:ascii="仿宋_GB2312" w:hAnsi="等线" w:eastAsia="仿宋_GB2312" w:cs="仿宋_GB2312"/>
                <w:color w:val="auto"/>
                <w:kern w:val="0"/>
                <w:sz w:val="16"/>
                <w:szCs w:val="16"/>
                <w:highlight w:val="none"/>
                <w:lang w:bidi="ar"/>
              </w:rPr>
              <w:t>3.无开展日常应急培训、训练、演练或无资料留档的</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扣2～4分/项</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r>
      <w:tr>
        <w:trPr>
          <w:trHeight w:val="5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color w:val="auto"/>
                <w:sz w:val="16"/>
                <w:szCs w:val="16"/>
                <w:highlight w:val="none"/>
              </w:rPr>
            </w:pPr>
            <w:r>
              <w:rPr>
                <w:rFonts w:hint="eastAsia" w:ascii="等线" w:hAnsi="等线" w:eastAsia="等线" w:cs="等线"/>
                <w:color w:val="auto"/>
                <w:kern w:val="0"/>
                <w:sz w:val="16"/>
                <w:szCs w:val="16"/>
                <w:highlight w:val="none"/>
                <w:lang w:bidi="ar"/>
              </w:rPr>
              <w:t>19</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等线" w:eastAsia="仿宋_GB2312" w:cs="仿宋_GB2312"/>
                <w:color w:val="auto"/>
                <w:sz w:val="16"/>
                <w:szCs w:val="16"/>
                <w:highlight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人员管理</w:t>
            </w:r>
          </w:p>
        </w:tc>
        <w:tc>
          <w:tcPr>
            <w:tcW w:w="39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人员变更无完善的手续及资料的</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扣3～5分/项</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r>
      <w:tr>
        <w:tblPrEx>
          <w:tblCellMar>
            <w:top w:w="0" w:type="dxa"/>
            <w:left w:w="0" w:type="dxa"/>
            <w:bottom w:w="0" w:type="dxa"/>
            <w:right w:w="0" w:type="dxa"/>
          </w:tblCellMar>
        </w:tblPrEx>
        <w:trPr>
          <w:trHeight w:val="44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color w:val="auto"/>
                <w:sz w:val="16"/>
                <w:szCs w:val="16"/>
                <w:highlight w:val="none"/>
              </w:rPr>
            </w:pPr>
            <w:r>
              <w:rPr>
                <w:rFonts w:hint="eastAsia" w:ascii="等线" w:hAnsi="等线" w:eastAsia="等线" w:cs="等线"/>
                <w:color w:val="auto"/>
                <w:kern w:val="0"/>
                <w:sz w:val="16"/>
                <w:szCs w:val="16"/>
                <w:highlight w:val="none"/>
                <w:lang w:bidi="ar"/>
              </w:rPr>
              <w:t>20</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等线" w:eastAsia="仿宋_GB2312" w:cs="仿宋_GB2312"/>
                <w:color w:val="auto"/>
                <w:sz w:val="16"/>
                <w:szCs w:val="16"/>
                <w:highlight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隐患管理</w:t>
            </w:r>
          </w:p>
        </w:tc>
        <w:tc>
          <w:tcPr>
            <w:tcW w:w="39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未及时对发现的隐患开展整改的</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扣4～8分/项</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r>
      <w:tr>
        <w:tblPrEx>
          <w:tblCellMar>
            <w:top w:w="0" w:type="dxa"/>
            <w:left w:w="0" w:type="dxa"/>
            <w:bottom w:w="0" w:type="dxa"/>
            <w:right w:w="0" w:type="dxa"/>
          </w:tblCellMar>
        </w:tblPrEx>
        <w:trPr>
          <w:trHeight w:val="56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color w:val="auto"/>
                <w:sz w:val="16"/>
                <w:szCs w:val="16"/>
                <w:highlight w:val="none"/>
              </w:rPr>
            </w:pPr>
            <w:r>
              <w:rPr>
                <w:rFonts w:hint="eastAsia" w:ascii="等线" w:hAnsi="等线" w:eastAsia="等线" w:cs="等线"/>
                <w:color w:val="auto"/>
                <w:kern w:val="0"/>
                <w:sz w:val="16"/>
                <w:szCs w:val="16"/>
                <w:highlight w:val="none"/>
                <w:lang w:bidi="ar"/>
              </w:rPr>
              <w:t>21</w:t>
            </w:r>
          </w:p>
        </w:tc>
        <w:tc>
          <w:tcPr>
            <w:tcW w:w="495"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ascii="仿宋_GB2312" w:hAnsi="等线" w:eastAsia="仿宋_GB2312" w:cs="仿宋_GB2312"/>
                <w:color w:val="auto"/>
                <w:sz w:val="16"/>
                <w:szCs w:val="16"/>
                <w:highlight w:val="none"/>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其他</w:t>
            </w:r>
          </w:p>
        </w:tc>
        <w:tc>
          <w:tcPr>
            <w:tcW w:w="39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违反业主或上级主管部门提出的其他管理要求、文件、规定或拒不执行的</w:t>
            </w: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left"/>
              <w:textAlignment w:val="center"/>
              <w:rPr>
                <w:rFonts w:ascii="仿宋_GB2312" w:hAnsi="等线" w:eastAsia="仿宋_GB2312" w:cs="仿宋_GB2312"/>
                <w:color w:val="auto"/>
                <w:sz w:val="16"/>
                <w:szCs w:val="16"/>
                <w:highlight w:val="none"/>
              </w:rPr>
            </w:pPr>
            <w:r>
              <w:rPr>
                <w:rFonts w:hint="eastAsia" w:ascii="仿宋_GB2312" w:hAnsi="等线" w:eastAsia="仿宋_GB2312" w:cs="仿宋_GB2312"/>
                <w:color w:val="auto"/>
                <w:kern w:val="0"/>
                <w:sz w:val="16"/>
                <w:szCs w:val="16"/>
                <w:highlight w:val="none"/>
                <w:lang w:bidi="ar"/>
              </w:rPr>
              <w:t>扣2～5分/项</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r>
      <w:tr>
        <w:tblPrEx>
          <w:tblCellMar>
            <w:top w:w="0" w:type="dxa"/>
            <w:left w:w="0" w:type="dxa"/>
            <w:bottom w:w="0" w:type="dxa"/>
            <w:right w:w="0" w:type="dxa"/>
          </w:tblCellMar>
        </w:tblPrEx>
        <w:trPr>
          <w:trHeight w:val="320"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widowControl/>
              <w:jc w:val="center"/>
              <w:textAlignment w:val="center"/>
              <w:rPr>
                <w:rFonts w:ascii="等线" w:hAnsi="等线" w:eastAsia="等线" w:cs="等线"/>
                <w:color w:val="auto"/>
                <w:sz w:val="16"/>
                <w:szCs w:val="16"/>
                <w:highlight w:val="none"/>
              </w:rPr>
            </w:pPr>
            <w:r>
              <w:rPr>
                <w:rFonts w:hint="eastAsia" w:ascii="等线" w:hAnsi="等线" w:eastAsia="等线" w:cs="等线"/>
                <w:color w:val="auto"/>
                <w:kern w:val="0"/>
                <w:sz w:val="16"/>
                <w:szCs w:val="16"/>
                <w:highlight w:val="none"/>
                <w:lang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仿宋_GB2312" w:hAnsi="等线" w:eastAsia="仿宋_GB2312" w:cs="仿宋_GB2312"/>
                <w:color w:val="auto"/>
                <w:sz w:val="16"/>
                <w:szCs w:val="16"/>
                <w:highlight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ascii="仿宋_GB2312" w:hAnsi="等线" w:eastAsia="仿宋_GB2312" w:cs="仿宋_GB2312"/>
                <w:color w:val="auto"/>
                <w:sz w:val="16"/>
                <w:szCs w:val="16"/>
                <w:highlight w:val="none"/>
              </w:rPr>
            </w:pPr>
          </w:p>
        </w:tc>
        <w:tc>
          <w:tcPr>
            <w:tcW w:w="399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109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rPr>
                <w:rFonts w:ascii="仿宋_GB2312" w:hAnsi="等线" w:eastAsia="仿宋_GB2312" w:cs="仿宋_GB2312"/>
                <w:color w:val="auto"/>
                <w:sz w:val="16"/>
                <w:szCs w:val="16"/>
                <w:highlight w:val="none"/>
              </w:rPr>
            </w:pPr>
          </w:p>
        </w:tc>
      </w:tr>
      <w:tr>
        <w:trPr>
          <w:trHeight w:val="1440" w:hRule="atLeast"/>
        </w:trPr>
        <w:tc>
          <w:tcPr>
            <w:tcW w:w="9302" w:type="dxa"/>
            <w:gridSpan w:val="10"/>
            <w:tcBorders>
              <w:top w:val="nil"/>
              <w:left w:val="nil"/>
              <w:bottom w:val="nil"/>
              <w:right w:val="nil"/>
            </w:tcBorders>
            <w:shd w:val="clear" w:color="auto" w:fill="auto"/>
            <w:tcMar>
              <w:top w:w="12" w:type="dxa"/>
              <w:left w:w="12" w:type="dxa"/>
              <w:right w:w="12" w:type="dxa"/>
            </w:tcMar>
            <w:vAlign w:val="center"/>
          </w:tcPr>
          <w:p>
            <w:pPr>
              <w:widowControl/>
              <w:jc w:val="left"/>
              <w:textAlignment w:val="center"/>
              <w:rPr>
                <w:color w:val="auto"/>
                <w:sz w:val="13"/>
                <w:szCs w:val="13"/>
                <w:highlight w:val="none"/>
              </w:rPr>
            </w:pPr>
            <w:r>
              <w:rPr>
                <w:rFonts w:hint="eastAsia"/>
                <w:color w:val="auto"/>
                <w:sz w:val="13"/>
                <w:szCs w:val="13"/>
                <w:highlight w:val="none"/>
              </w:rPr>
              <w:t>注：1、综合考评满分100分，各考评项目扣分不设上限；</w:t>
            </w:r>
            <w:r>
              <w:rPr>
                <w:rFonts w:hint="eastAsia"/>
                <w:color w:val="auto"/>
                <w:sz w:val="13"/>
                <w:szCs w:val="13"/>
                <w:highlight w:val="none"/>
              </w:rPr>
              <w:br w:type="textWrapping"/>
            </w:r>
            <w:r>
              <w:rPr>
                <w:rFonts w:hint="eastAsia"/>
                <w:color w:val="auto"/>
                <w:sz w:val="13"/>
                <w:szCs w:val="13"/>
                <w:highlight w:val="none"/>
              </w:rPr>
              <w:t xml:space="preserve">    2、监理单位考评只作为参考及履职依据，不计入考评，无监理单位不需填写；</w:t>
            </w:r>
            <w:r>
              <w:rPr>
                <w:rFonts w:hint="eastAsia"/>
                <w:color w:val="auto"/>
                <w:sz w:val="13"/>
                <w:szCs w:val="13"/>
                <w:highlight w:val="none"/>
              </w:rPr>
              <w:br w:type="textWrapping"/>
            </w:r>
            <w:r>
              <w:rPr>
                <w:rFonts w:hint="eastAsia"/>
                <w:color w:val="auto"/>
                <w:sz w:val="13"/>
                <w:szCs w:val="13"/>
                <w:highlight w:val="none"/>
              </w:rPr>
              <w:t xml:space="preserve">    3、“公司考评”业务主管部门和安全办针对本部门检查发现的内容进行扣（奖）分，项目部已经进行扣（奖）分的不重复执行；</w:t>
            </w:r>
            <w:r>
              <w:rPr>
                <w:rFonts w:hint="eastAsia"/>
                <w:color w:val="auto"/>
                <w:sz w:val="13"/>
                <w:szCs w:val="13"/>
                <w:highlight w:val="none"/>
              </w:rPr>
              <w:br w:type="textWrapping"/>
            </w:r>
            <w:r>
              <w:rPr>
                <w:rFonts w:hint="eastAsia"/>
                <w:color w:val="auto"/>
                <w:sz w:val="13"/>
                <w:szCs w:val="13"/>
                <w:highlight w:val="none"/>
              </w:rPr>
              <w:t xml:space="preserve">    4、各分公司考评填写相应的得（扣）分数值，如奖2分则填写“2”，扣2分则填写“-2”；</w:t>
            </w:r>
            <w:r>
              <w:rPr>
                <w:rFonts w:hint="eastAsia"/>
                <w:color w:val="auto"/>
                <w:sz w:val="13"/>
                <w:szCs w:val="13"/>
                <w:highlight w:val="none"/>
              </w:rPr>
              <w:br w:type="textWrapping"/>
            </w:r>
            <w:r>
              <w:rPr>
                <w:rFonts w:hint="eastAsia"/>
                <w:color w:val="auto"/>
                <w:sz w:val="13"/>
                <w:szCs w:val="13"/>
                <w:highlight w:val="none"/>
              </w:rPr>
              <w:t xml:space="preserve">    5、单项“综合考评”=项目部考评+公司考评；综合考评总分=各单项“综合考评”+100</w:t>
            </w:r>
            <w:r>
              <w:rPr>
                <w:rFonts w:hint="eastAsia"/>
                <w:color w:val="auto"/>
                <w:sz w:val="13"/>
                <w:szCs w:val="13"/>
                <w:highlight w:val="none"/>
              </w:rPr>
              <w:br w:type="textWrapping"/>
            </w:r>
            <w:r>
              <w:rPr>
                <w:rFonts w:hint="eastAsia"/>
                <w:color w:val="auto"/>
                <w:sz w:val="13"/>
                <w:szCs w:val="13"/>
                <w:highlight w:val="none"/>
              </w:rPr>
              <w:t xml:space="preserve">    6、最后得分=综合考评总分X类别系数；</w:t>
            </w:r>
            <w:r>
              <w:rPr>
                <w:rFonts w:hint="eastAsia"/>
                <w:color w:val="auto"/>
                <w:sz w:val="13"/>
                <w:szCs w:val="13"/>
                <w:highlight w:val="none"/>
              </w:rPr>
              <w:br w:type="textWrapping"/>
            </w:r>
            <w:r>
              <w:rPr>
                <w:rFonts w:hint="eastAsia"/>
                <w:color w:val="auto"/>
                <w:sz w:val="13"/>
                <w:szCs w:val="13"/>
                <w:highlight w:val="none"/>
              </w:rPr>
              <w:t xml:space="preserve">    7、各考评项目具体考评标准内容参照广州市净水有限公司标准《工程项目安全管理规范》（Q/GZJSA 1-2021）执行。 </w:t>
            </w:r>
          </w:p>
          <w:p>
            <w:pPr>
              <w:ind w:firstLine="260" w:firstLineChars="200"/>
              <w:contextualSpacing/>
              <w:jc w:val="left"/>
              <w:rPr>
                <w:rFonts w:ascii="仿宋_GB2312" w:hAnsi="仿宋_GB2312" w:eastAsia="仿宋_GB2312" w:cs="仿宋_GB2312"/>
                <w:color w:val="auto"/>
                <w:sz w:val="13"/>
                <w:szCs w:val="13"/>
                <w:highlight w:val="none"/>
              </w:rPr>
            </w:pPr>
            <w:r>
              <w:rPr>
                <w:rFonts w:hint="eastAsia" w:ascii="仿宋_GB2312" w:hAnsi="仿宋_GB2312" w:eastAsia="仿宋_GB2312" w:cs="仿宋_GB2312"/>
                <w:color w:val="auto"/>
                <w:sz w:val="13"/>
                <w:szCs w:val="13"/>
                <w:highlight w:val="none"/>
              </w:rPr>
              <w:t>8、本处理标准出自《</w:t>
            </w:r>
            <w:r>
              <w:rPr>
                <w:rFonts w:hint="eastAsia" w:ascii="宋体" w:hAnsi="宋体" w:eastAsia="宋体" w:cs="宋体"/>
                <w:color w:val="auto"/>
                <w:sz w:val="13"/>
                <w:szCs w:val="13"/>
                <w:highlight w:val="none"/>
              </w:rPr>
              <w:t>广州净水公司工程项目承包单位质量安全考评细则（试行）</w:t>
            </w:r>
            <w:r>
              <w:rPr>
                <w:rFonts w:hint="eastAsia" w:ascii="仿宋_GB2312" w:hAnsi="仿宋_GB2312" w:eastAsia="仿宋_GB2312" w:cs="仿宋_GB2312"/>
                <w:color w:val="auto"/>
                <w:sz w:val="13"/>
                <w:szCs w:val="13"/>
                <w:highlight w:val="none"/>
              </w:rPr>
              <w:t>》。</w:t>
            </w:r>
          </w:p>
          <w:p>
            <w:pPr>
              <w:pStyle w:val="2"/>
              <w:rPr>
                <w:color w:val="auto"/>
                <w:highlight w:val="none"/>
              </w:rPr>
            </w:pPr>
          </w:p>
        </w:tc>
      </w:tr>
    </w:tbl>
    <w:p>
      <w:pPr>
        <w:spacing w:line="360" w:lineRule="auto"/>
        <w:rPr>
          <w:rFonts w:ascii="宋体" w:hAnsi="宋体" w:eastAsia="宋体" w:cs="Times New Roman"/>
          <w:b/>
          <w:color w:val="auto"/>
          <w:sz w:val="24"/>
          <w:szCs w:val="24"/>
          <w:highlight w:val="none"/>
        </w:rPr>
      </w:pPr>
    </w:p>
    <w:p>
      <w:pPr>
        <w:spacing w:line="360" w:lineRule="auto"/>
        <w:rPr>
          <w:rFonts w:ascii="宋体" w:hAnsi="宋体" w:eastAsia="宋体" w:cs="宋体"/>
          <w:b/>
          <w:color w:val="auto"/>
          <w:szCs w:val="21"/>
          <w:highlight w:val="none"/>
        </w:rPr>
      </w:pPr>
    </w:p>
    <w:p>
      <w:pPr>
        <w:spacing w:line="360" w:lineRule="auto"/>
        <w:ind w:firstLine="643" w:firstLineChars="200"/>
        <w:rPr>
          <w:rFonts w:ascii="宋体" w:hAnsi="宋体" w:eastAsia="仿宋_GB2312" w:cs="宋体"/>
          <w:b/>
          <w:color w:val="auto"/>
          <w:sz w:val="32"/>
          <w:szCs w:val="21"/>
          <w:highlight w:val="none"/>
        </w:rPr>
      </w:pPr>
    </w:p>
    <w:p>
      <w:pPr>
        <w:spacing w:line="360" w:lineRule="auto"/>
        <w:ind w:firstLine="643" w:firstLineChars="200"/>
        <w:rPr>
          <w:rFonts w:ascii="宋体" w:hAnsi="宋体" w:eastAsia="仿宋_GB2312" w:cs="宋体"/>
          <w:b/>
          <w:color w:val="auto"/>
          <w:sz w:val="32"/>
          <w:szCs w:val="21"/>
          <w:highlight w:val="none"/>
        </w:rPr>
      </w:pPr>
    </w:p>
    <w:p>
      <w:pPr>
        <w:spacing w:line="360" w:lineRule="auto"/>
        <w:ind w:firstLine="643" w:firstLineChars="200"/>
        <w:rPr>
          <w:rFonts w:ascii="宋体" w:hAnsi="宋体" w:eastAsia="仿宋_GB2312" w:cs="宋体"/>
          <w:b/>
          <w:color w:val="auto"/>
          <w:sz w:val="32"/>
          <w:szCs w:val="21"/>
          <w:highlight w:val="none"/>
        </w:rPr>
      </w:pPr>
    </w:p>
    <w:p>
      <w:pPr>
        <w:spacing w:line="360" w:lineRule="auto"/>
        <w:rPr>
          <w:rFonts w:ascii="宋体" w:hAnsi="宋体" w:eastAsia="宋体" w:cs="宋体"/>
          <w:b/>
          <w:color w:val="auto"/>
          <w:szCs w:val="21"/>
          <w:highlight w:val="none"/>
        </w:rPr>
      </w:pPr>
      <w:r>
        <w:rPr>
          <w:rFonts w:hint="eastAsia" w:ascii="宋体" w:hAnsi="宋体" w:eastAsia="宋体" w:cs="宋体"/>
          <w:b/>
          <w:color w:val="auto"/>
          <w:szCs w:val="21"/>
          <w:highlight w:val="none"/>
        </w:rPr>
        <w:t>附件4：</w:t>
      </w:r>
      <w:bookmarkEnd w:id="155"/>
      <w:bookmarkEnd w:id="156"/>
      <w:bookmarkEnd w:id="157"/>
      <w:r>
        <w:rPr>
          <w:rFonts w:hint="eastAsia" w:ascii="宋体" w:hAnsi="宋体" w:eastAsia="宋体" w:cs="宋体"/>
          <w:b/>
          <w:color w:val="auto"/>
          <w:szCs w:val="21"/>
          <w:highlight w:val="none"/>
        </w:rPr>
        <w:t>安全管理协议书</w:t>
      </w:r>
    </w:p>
    <w:p>
      <w:pPr>
        <w:spacing w:line="360" w:lineRule="auto"/>
        <w:jc w:val="center"/>
        <w:rPr>
          <w:rFonts w:ascii="宋体" w:hAnsi="宋体" w:eastAsia="宋体" w:cs="宋体"/>
          <w:b/>
          <w:bCs/>
          <w:color w:val="auto"/>
          <w:sz w:val="24"/>
          <w:szCs w:val="24"/>
          <w:highlight w:val="none"/>
        </w:rPr>
      </w:pPr>
    </w:p>
    <w:p>
      <w:pPr>
        <w:spacing w:line="560" w:lineRule="exact"/>
        <w:jc w:val="center"/>
        <w:rPr>
          <w:rFonts w:ascii="黑体" w:hAnsi="Batang" w:eastAsia="黑体" w:cs="Batang"/>
          <w:bCs/>
          <w:color w:val="auto"/>
          <w:kern w:val="0"/>
          <w:sz w:val="44"/>
          <w:szCs w:val="44"/>
          <w:highlight w:val="none"/>
        </w:rPr>
      </w:pPr>
      <w:r>
        <w:rPr>
          <w:rFonts w:hint="eastAsia" w:ascii="黑体" w:hAnsi="Batang" w:eastAsia="黑体" w:cs="Batang"/>
          <w:bCs/>
          <w:color w:val="auto"/>
          <w:kern w:val="0"/>
          <w:sz w:val="44"/>
          <w:szCs w:val="44"/>
          <w:highlight w:val="none"/>
        </w:rPr>
        <w:t>营运场所施工安全协议书</w:t>
      </w:r>
    </w:p>
    <w:p>
      <w:pPr>
        <w:spacing w:line="560" w:lineRule="exact"/>
        <w:rPr>
          <w:rFonts w:ascii="仿宋_GB2312" w:hAnsi="宋体" w:eastAsia="仿宋_GB2312" w:cs="Times New Roman"/>
          <w:color w:val="auto"/>
          <w:sz w:val="24"/>
          <w:szCs w:val="24"/>
          <w:highlight w:val="none"/>
        </w:rPr>
      </w:pPr>
    </w:p>
    <w:p>
      <w:pPr>
        <w:spacing w:line="560" w:lineRule="exact"/>
        <w:rPr>
          <w:rFonts w:ascii="宋体" w:hAnsi="宋体" w:eastAsia="宋体" w:cs="Arial"/>
          <w:color w:val="auto"/>
          <w:kern w:val="0"/>
          <w:sz w:val="24"/>
          <w:szCs w:val="24"/>
          <w:highlight w:val="none"/>
        </w:rPr>
      </w:pPr>
      <w:bookmarkStart w:id="158" w:name="_Toc21391"/>
      <w:r>
        <w:rPr>
          <w:rFonts w:hint="eastAsia" w:ascii="宋体" w:hAnsi="宋体" w:eastAsia="宋体" w:cs="Arial"/>
          <w:color w:val="auto"/>
          <w:kern w:val="0"/>
          <w:sz w:val="24"/>
          <w:szCs w:val="24"/>
          <w:highlight w:val="none"/>
        </w:rPr>
        <w:t>甲方：</w:t>
      </w:r>
      <w:r>
        <w:rPr>
          <w:rFonts w:hint="eastAsia" w:ascii="Times New Roman" w:hAnsi="Times New Roman" w:eastAsia="宋体" w:cs="Times New Roman"/>
          <w:color w:val="auto"/>
          <w:sz w:val="24"/>
          <w:szCs w:val="24"/>
          <w:highlight w:val="none"/>
        </w:rPr>
        <w:t>广州市净水有限公司</w:t>
      </w:r>
    </w:p>
    <w:p>
      <w:pPr>
        <w:spacing w:line="560" w:lineRule="exact"/>
        <w:rPr>
          <w:rFonts w:ascii="宋体" w:hAnsi="宋体" w:eastAsia="宋体" w:cs="Arial"/>
          <w:color w:val="auto"/>
          <w:kern w:val="0"/>
          <w:sz w:val="24"/>
          <w:szCs w:val="24"/>
          <w:highlight w:val="none"/>
        </w:rPr>
      </w:pPr>
      <w:r>
        <w:rPr>
          <w:rFonts w:hint="eastAsia" w:ascii="宋体" w:hAnsi="宋体" w:eastAsia="宋体" w:cs="Arial"/>
          <w:color w:val="auto"/>
          <w:kern w:val="0"/>
          <w:sz w:val="24"/>
          <w:szCs w:val="24"/>
          <w:highlight w:val="none"/>
        </w:rPr>
        <w:t xml:space="preserve">乙方： </w:t>
      </w:r>
    </w:p>
    <w:p>
      <w:pPr>
        <w:adjustRightInd w:val="0"/>
        <w:snapToGrid w:val="0"/>
        <w:spacing w:line="560" w:lineRule="exact"/>
        <w:jc w:val="left"/>
        <w:rPr>
          <w:rFonts w:cs="Times New Roman" w:asciiTheme="minorEastAsia" w:hAnsiTheme="minorEastAsia"/>
          <w:bCs/>
          <w:color w:val="auto"/>
          <w:sz w:val="24"/>
          <w:szCs w:val="24"/>
          <w:highlight w:val="none"/>
          <w:u w:val="single"/>
        </w:rPr>
      </w:pPr>
    </w:p>
    <w:bookmarkEnd w:id="158"/>
    <w:p>
      <w:pPr>
        <w:adjustRightInd w:val="0"/>
        <w:snapToGrid w:val="0"/>
        <w:spacing w:line="560" w:lineRule="exact"/>
        <w:ind w:firstLine="480" w:firstLineChars="200"/>
        <w:jc w:val="left"/>
        <w:rPr>
          <w:rFonts w:cs="Times New Roman" w:asciiTheme="minorEastAsia" w:hAnsiTheme="minorEastAsia"/>
          <w:color w:val="auto"/>
          <w:sz w:val="24"/>
          <w:szCs w:val="24"/>
          <w:highlight w:val="none"/>
        </w:rPr>
      </w:pPr>
      <w:r>
        <w:rPr>
          <w:rFonts w:hint="eastAsia" w:cs="Times New Roman" w:asciiTheme="minorEastAsia" w:hAnsiTheme="minorEastAsia"/>
          <w:color w:val="auto"/>
          <w:sz w:val="24"/>
          <w:szCs w:val="24"/>
          <w:highlight w:val="none"/>
        </w:rPr>
        <w:t>根据《中华人民共和国安全生产法》《中华人民共和国建筑法》《建设工程安全生产管理条例》《生产安全事故报告和调查处理条例》《中华人民共和国职业病防治法》《工作场所职业卫生管理规定》《用人单位职业健康监护监督管理办法》《广州市职业卫生监督管理规定》等法律法规, 经双方协商，签订本协议书，以明确各自的安全生产、职业卫生责任并共同遵守。</w:t>
      </w:r>
    </w:p>
    <w:p>
      <w:pPr>
        <w:adjustRightInd w:val="0"/>
        <w:snapToGrid w:val="0"/>
        <w:spacing w:line="560" w:lineRule="exact"/>
        <w:ind w:firstLine="482" w:firstLineChars="200"/>
        <w:jc w:val="left"/>
        <w:rPr>
          <w:rFonts w:cs="Times New Roman" w:asciiTheme="minorEastAsia" w:hAnsiTheme="minorEastAsia"/>
          <w:b/>
          <w:color w:val="auto"/>
          <w:sz w:val="24"/>
          <w:szCs w:val="24"/>
          <w:highlight w:val="none"/>
        </w:rPr>
      </w:pPr>
      <w:r>
        <w:rPr>
          <w:rFonts w:hint="eastAsia" w:cs="Times New Roman" w:asciiTheme="minorEastAsia" w:hAnsiTheme="minorEastAsia"/>
          <w:b/>
          <w:color w:val="auto"/>
          <w:sz w:val="24"/>
          <w:szCs w:val="24"/>
          <w:highlight w:val="none"/>
        </w:rPr>
        <w:t>一、本协议与主合同的关系</w:t>
      </w:r>
    </w:p>
    <w:p>
      <w:pPr>
        <w:adjustRightInd w:val="0"/>
        <w:snapToGrid w:val="0"/>
        <w:spacing w:line="560" w:lineRule="exact"/>
        <w:ind w:firstLine="480" w:firstLineChars="200"/>
        <w:jc w:val="left"/>
        <w:rPr>
          <w:rFonts w:cs="Times New Roman" w:asciiTheme="minorEastAsia" w:hAnsiTheme="minorEastAsia"/>
          <w:color w:val="auto"/>
          <w:sz w:val="24"/>
          <w:szCs w:val="24"/>
          <w:highlight w:val="none"/>
        </w:rPr>
      </w:pPr>
      <w:r>
        <w:rPr>
          <w:rFonts w:hint="eastAsia" w:cs="Times New Roman" w:asciiTheme="minorEastAsia" w:hAnsiTheme="minorEastAsia"/>
          <w:color w:val="auto"/>
          <w:sz w:val="24"/>
          <w:szCs w:val="24"/>
          <w:highlight w:val="none"/>
        </w:rPr>
        <w:t>本协议作为</w:t>
      </w:r>
      <w:r>
        <w:rPr>
          <w:rFonts w:hint="eastAsia" w:cs="Times New Roman" w:asciiTheme="minorEastAsia" w:hAnsiTheme="minorEastAsia"/>
          <w:color w:val="auto"/>
          <w:sz w:val="24"/>
          <w:szCs w:val="24"/>
          <w:highlight w:val="none"/>
          <w:u w:val="single"/>
        </w:rPr>
        <w:t xml:space="preserve">                          </w:t>
      </w:r>
      <w:r>
        <w:rPr>
          <w:rFonts w:hint="eastAsia" w:cs="Times New Roman" w:asciiTheme="minorEastAsia" w:hAnsiTheme="minorEastAsia"/>
          <w:color w:val="auto"/>
          <w:sz w:val="24"/>
          <w:szCs w:val="24"/>
          <w:highlight w:val="none"/>
        </w:rPr>
        <w:t>的组成部分，与主合同具有同等法律效力。</w:t>
      </w:r>
    </w:p>
    <w:p>
      <w:pPr>
        <w:adjustRightInd w:val="0"/>
        <w:snapToGrid w:val="0"/>
        <w:spacing w:line="560" w:lineRule="exact"/>
        <w:ind w:firstLine="482" w:firstLineChars="200"/>
        <w:jc w:val="left"/>
        <w:rPr>
          <w:rFonts w:cs="Times New Roman" w:asciiTheme="minorEastAsia" w:hAnsiTheme="minorEastAsia"/>
          <w:b/>
          <w:color w:val="auto"/>
          <w:sz w:val="24"/>
          <w:szCs w:val="24"/>
          <w:highlight w:val="none"/>
        </w:rPr>
      </w:pPr>
      <w:r>
        <w:rPr>
          <w:rFonts w:cs="Times New Roman" w:asciiTheme="minorEastAsia" w:hAnsiTheme="minorEastAsia"/>
          <w:b/>
          <w:color w:val="auto"/>
          <w:sz w:val="24"/>
          <w:szCs w:val="24"/>
          <w:highlight w:val="none"/>
        </w:rPr>
        <w:t xml:space="preserve"> 二、</w:t>
      </w:r>
      <w:r>
        <w:rPr>
          <w:rFonts w:hint="eastAsia" w:cs="Times New Roman" w:asciiTheme="minorEastAsia" w:hAnsiTheme="minorEastAsia"/>
          <w:b/>
          <w:color w:val="auto"/>
          <w:sz w:val="24"/>
          <w:szCs w:val="24"/>
          <w:highlight w:val="none"/>
        </w:rPr>
        <w:t>甲方权责</w:t>
      </w:r>
    </w:p>
    <w:p>
      <w:pPr>
        <w:adjustRightInd w:val="0"/>
        <w:snapToGrid w:val="0"/>
        <w:spacing w:line="560" w:lineRule="exact"/>
        <w:ind w:firstLine="480" w:firstLineChars="200"/>
        <w:jc w:val="left"/>
        <w:rPr>
          <w:rFonts w:cs="Times New Roman" w:asciiTheme="minorEastAsia" w:hAnsiTheme="minorEastAsia"/>
          <w:color w:val="auto"/>
          <w:sz w:val="24"/>
          <w:szCs w:val="24"/>
          <w:highlight w:val="none"/>
        </w:rPr>
      </w:pPr>
      <w:r>
        <w:rPr>
          <w:rFonts w:hint="eastAsia" w:cs="Times New Roman" w:asciiTheme="minorEastAsia" w:hAnsiTheme="minorEastAsia"/>
          <w:color w:val="auto"/>
          <w:sz w:val="24"/>
          <w:szCs w:val="24"/>
          <w:highlight w:val="none"/>
        </w:rPr>
        <w:t>（一）在甲方生产营运场所内施工的，告知乙方该场所已知存在的安全风险，并要求乙方在作业前应重新识别现场的安全风险并采取措施进行管控。</w:t>
      </w:r>
    </w:p>
    <w:p>
      <w:pPr>
        <w:adjustRightInd w:val="0"/>
        <w:snapToGrid w:val="0"/>
        <w:spacing w:line="560" w:lineRule="exact"/>
        <w:ind w:firstLine="480" w:firstLineChars="200"/>
        <w:jc w:val="left"/>
        <w:rPr>
          <w:rFonts w:cs="Times New Roman" w:asciiTheme="minorEastAsia" w:hAnsiTheme="minorEastAsia"/>
          <w:color w:val="auto"/>
          <w:sz w:val="24"/>
          <w:szCs w:val="24"/>
          <w:highlight w:val="none"/>
        </w:rPr>
      </w:pPr>
      <w:r>
        <w:rPr>
          <w:rFonts w:hint="eastAsia" w:cs="Times New Roman" w:asciiTheme="minorEastAsia" w:hAnsiTheme="minorEastAsia"/>
          <w:color w:val="auto"/>
          <w:sz w:val="24"/>
          <w:szCs w:val="24"/>
          <w:highlight w:val="none"/>
        </w:rPr>
        <w:t>（二）落实生产营运等相关配合措施，提供必要的施工条件。</w:t>
      </w:r>
    </w:p>
    <w:p>
      <w:pPr>
        <w:adjustRightInd w:val="0"/>
        <w:snapToGrid w:val="0"/>
        <w:spacing w:line="560" w:lineRule="exact"/>
        <w:ind w:firstLine="480" w:firstLineChars="200"/>
        <w:jc w:val="left"/>
        <w:rPr>
          <w:rFonts w:cs="Times New Roman" w:asciiTheme="minorEastAsia" w:hAnsiTheme="minorEastAsia"/>
          <w:color w:val="auto"/>
          <w:sz w:val="24"/>
          <w:szCs w:val="24"/>
          <w:highlight w:val="none"/>
        </w:rPr>
      </w:pPr>
      <w:r>
        <w:rPr>
          <w:rFonts w:hint="eastAsia" w:cs="Times New Roman" w:asciiTheme="minorEastAsia" w:hAnsiTheme="minorEastAsia"/>
          <w:color w:val="auto"/>
          <w:sz w:val="24"/>
          <w:szCs w:val="24"/>
          <w:highlight w:val="none"/>
        </w:rPr>
        <w:t>（三）要求乙方遵守的甲方安全管理要求。</w:t>
      </w:r>
    </w:p>
    <w:p>
      <w:pPr>
        <w:adjustRightInd w:val="0"/>
        <w:snapToGrid w:val="0"/>
        <w:spacing w:line="560" w:lineRule="exact"/>
        <w:ind w:firstLine="480" w:firstLineChars="200"/>
        <w:jc w:val="left"/>
        <w:rPr>
          <w:rFonts w:cs="Times New Roman" w:asciiTheme="minorEastAsia" w:hAnsiTheme="minorEastAsia"/>
          <w:color w:val="auto"/>
          <w:sz w:val="24"/>
          <w:szCs w:val="24"/>
          <w:highlight w:val="none"/>
        </w:rPr>
      </w:pPr>
      <w:r>
        <w:rPr>
          <w:rFonts w:hint="eastAsia" w:cs="Times New Roman" w:asciiTheme="minorEastAsia" w:hAnsiTheme="minorEastAsia"/>
          <w:color w:val="auto"/>
          <w:sz w:val="24"/>
          <w:szCs w:val="24"/>
          <w:highlight w:val="none"/>
        </w:rPr>
        <w:t>（四）有权对乙方安全措施投入、现场安全施工情况等进行安全监督检查，并提出整改。</w:t>
      </w:r>
    </w:p>
    <w:p>
      <w:pPr>
        <w:adjustRightInd w:val="0"/>
        <w:snapToGrid w:val="0"/>
        <w:spacing w:line="560" w:lineRule="exact"/>
        <w:ind w:firstLine="480" w:firstLineChars="200"/>
        <w:jc w:val="left"/>
        <w:rPr>
          <w:rFonts w:cs="Times New Roman" w:asciiTheme="minorEastAsia" w:hAnsiTheme="minorEastAsia"/>
          <w:color w:val="auto"/>
          <w:sz w:val="24"/>
          <w:szCs w:val="24"/>
          <w:highlight w:val="none"/>
        </w:rPr>
      </w:pPr>
      <w:r>
        <w:rPr>
          <w:rFonts w:hint="eastAsia" w:cs="Times New Roman" w:asciiTheme="minorEastAsia" w:hAnsiTheme="minorEastAsia"/>
          <w:color w:val="auto"/>
          <w:sz w:val="24"/>
          <w:szCs w:val="24"/>
          <w:highlight w:val="none"/>
        </w:rPr>
        <w:t>（五）按照《广州市净水有限公司工程项目安全管理规范》等办法对乙方进行施工安全管理评价。</w:t>
      </w:r>
    </w:p>
    <w:p>
      <w:pPr>
        <w:adjustRightInd w:val="0"/>
        <w:snapToGrid w:val="0"/>
        <w:spacing w:line="560" w:lineRule="exact"/>
        <w:ind w:firstLine="480" w:firstLineChars="200"/>
        <w:jc w:val="left"/>
        <w:rPr>
          <w:rFonts w:cs="Times New Roman" w:asciiTheme="minorEastAsia" w:hAnsiTheme="minorEastAsia"/>
          <w:color w:val="auto"/>
          <w:sz w:val="24"/>
          <w:szCs w:val="24"/>
          <w:highlight w:val="none"/>
        </w:rPr>
      </w:pPr>
      <w:r>
        <w:rPr>
          <w:rFonts w:hint="eastAsia" w:cs="Times New Roman" w:asciiTheme="minorEastAsia" w:hAnsiTheme="minorEastAsia"/>
          <w:color w:val="auto"/>
          <w:sz w:val="24"/>
          <w:szCs w:val="24"/>
          <w:highlight w:val="none"/>
        </w:rPr>
        <w:t>（六）对于乙方不服从甲方管理，违反安全生产管理规定等违约行为的，甲方有权对乙方采取以下一种或以上的方式处理：</w:t>
      </w:r>
    </w:p>
    <w:p>
      <w:pPr>
        <w:adjustRightInd w:val="0"/>
        <w:snapToGrid w:val="0"/>
        <w:spacing w:line="560" w:lineRule="exact"/>
        <w:ind w:firstLine="480" w:firstLineChars="200"/>
        <w:jc w:val="left"/>
        <w:rPr>
          <w:rFonts w:cs="Times New Roman" w:asciiTheme="minorEastAsia" w:hAnsiTheme="minorEastAsia"/>
          <w:color w:val="auto"/>
          <w:sz w:val="24"/>
          <w:szCs w:val="24"/>
          <w:highlight w:val="none"/>
        </w:rPr>
      </w:pPr>
      <w:r>
        <w:rPr>
          <w:rFonts w:cs="Times New Roman" w:asciiTheme="minorEastAsia" w:hAnsiTheme="minorEastAsia"/>
          <w:color w:val="auto"/>
          <w:sz w:val="24"/>
          <w:szCs w:val="24"/>
          <w:highlight w:val="none"/>
        </w:rPr>
        <w:t>1.</w:t>
      </w:r>
      <w:r>
        <w:rPr>
          <w:rFonts w:hint="eastAsia" w:cs="Times New Roman" w:asciiTheme="minorEastAsia" w:hAnsiTheme="minorEastAsia"/>
          <w:color w:val="auto"/>
          <w:sz w:val="24"/>
          <w:szCs w:val="24"/>
          <w:highlight w:val="none"/>
        </w:rPr>
        <w:t>按主合同相关条款进行经济扣罚；</w:t>
      </w:r>
    </w:p>
    <w:p>
      <w:pPr>
        <w:adjustRightInd w:val="0"/>
        <w:snapToGrid w:val="0"/>
        <w:spacing w:line="560" w:lineRule="exact"/>
        <w:ind w:firstLine="480" w:firstLineChars="200"/>
        <w:jc w:val="left"/>
        <w:rPr>
          <w:rFonts w:cs="Times New Roman" w:asciiTheme="minorEastAsia" w:hAnsiTheme="minorEastAsia"/>
          <w:color w:val="auto"/>
          <w:sz w:val="24"/>
          <w:szCs w:val="24"/>
          <w:highlight w:val="none"/>
        </w:rPr>
      </w:pPr>
      <w:r>
        <w:rPr>
          <w:rFonts w:cs="Times New Roman" w:asciiTheme="minorEastAsia" w:hAnsiTheme="minorEastAsia"/>
          <w:color w:val="auto"/>
          <w:sz w:val="24"/>
          <w:szCs w:val="24"/>
          <w:highlight w:val="none"/>
        </w:rPr>
        <w:t>2.</w:t>
      </w:r>
      <w:r>
        <w:rPr>
          <w:rFonts w:hint="eastAsia" w:cs="Times New Roman" w:asciiTheme="minorEastAsia" w:hAnsiTheme="minorEastAsia"/>
          <w:color w:val="auto"/>
          <w:sz w:val="24"/>
          <w:szCs w:val="24"/>
          <w:highlight w:val="none"/>
        </w:rPr>
        <w:t>根据《广州市水务局关于印发广州市水务工程施工和监理企业诚信评价管理办法的通知》（穗水建设〔2</w:t>
      </w:r>
      <w:r>
        <w:rPr>
          <w:rFonts w:cs="Times New Roman" w:asciiTheme="minorEastAsia" w:hAnsiTheme="minorEastAsia"/>
          <w:color w:val="auto"/>
          <w:sz w:val="24"/>
          <w:szCs w:val="24"/>
          <w:highlight w:val="none"/>
        </w:rPr>
        <w:t>014</w:t>
      </w:r>
      <w:r>
        <w:rPr>
          <w:rFonts w:hint="eastAsia" w:cs="Times New Roman" w:asciiTheme="minorEastAsia" w:hAnsiTheme="minorEastAsia"/>
          <w:color w:val="auto"/>
          <w:sz w:val="24"/>
          <w:szCs w:val="24"/>
          <w:highlight w:val="none"/>
        </w:rPr>
        <w:t>〕1</w:t>
      </w:r>
      <w:r>
        <w:rPr>
          <w:rFonts w:cs="Times New Roman" w:asciiTheme="minorEastAsia" w:hAnsiTheme="minorEastAsia"/>
          <w:color w:val="auto"/>
          <w:sz w:val="24"/>
          <w:szCs w:val="24"/>
          <w:highlight w:val="none"/>
        </w:rPr>
        <w:t>0</w:t>
      </w:r>
      <w:r>
        <w:rPr>
          <w:rFonts w:hint="eastAsia" w:cs="Times New Roman" w:asciiTheme="minorEastAsia" w:hAnsiTheme="minorEastAsia"/>
          <w:color w:val="auto"/>
          <w:sz w:val="24"/>
          <w:szCs w:val="24"/>
          <w:highlight w:val="none"/>
        </w:rPr>
        <w:t>号）、《市净水公司关于印发施工和监理企业诚信评价工作实施办法的通知》（穗净水〔201</w:t>
      </w:r>
      <w:r>
        <w:rPr>
          <w:rFonts w:cs="Times New Roman" w:asciiTheme="minorEastAsia" w:hAnsiTheme="minorEastAsia"/>
          <w:color w:val="auto"/>
          <w:sz w:val="24"/>
          <w:szCs w:val="24"/>
          <w:highlight w:val="none"/>
        </w:rPr>
        <w:t>5</w:t>
      </w:r>
      <w:r>
        <w:rPr>
          <w:rFonts w:hint="eastAsia" w:cs="Times New Roman" w:asciiTheme="minorEastAsia" w:hAnsiTheme="minorEastAsia"/>
          <w:color w:val="auto"/>
          <w:sz w:val="24"/>
          <w:szCs w:val="24"/>
          <w:highlight w:val="none"/>
        </w:rPr>
        <w:t>〕2</w:t>
      </w:r>
      <w:r>
        <w:rPr>
          <w:rFonts w:cs="Times New Roman" w:asciiTheme="minorEastAsia" w:hAnsiTheme="minorEastAsia"/>
          <w:color w:val="auto"/>
          <w:sz w:val="24"/>
          <w:szCs w:val="24"/>
          <w:highlight w:val="none"/>
        </w:rPr>
        <w:t>40</w:t>
      </w:r>
      <w:r>
        <w:rPr>
          <w:rFonts w:hint="eastAsia" w:cs="Times New Roman" w:asciiTheme="minorEastAsia" w:hAnsiTheme="minorEastAsia"/>
          <w:color w:val="auto"/>
          <w:sz w:val="24"/>
          <w:szCs w:val="24"/>
          <w:highlight w:val="none"/>
        </w:rPr>
        <w:t>号），进行诚信扣分（合同期内有新的文件印发的，按照最新的文件执行）；</w:t>
      </w:r>
    </w:p>
    <w:p>
      <w:pPr>
        <w:adjustRightInd w:val="0"/>
        <w:snapToGrid w:val="0"/>
        <w:spacing w:line="560" w:lineRule="exact"/>
        <w:ind w:firstLine="480" w:firstLineChars="200"/>
        <w:jc w:val="left"/>
        <w:rPr>
          <w:rFonts w:cs="Times New Roman" w:asciiTheme="minorEastAsia" w:hAnsiTheme="minorEastAsia"/>
          <w:color w:val="auto"/>
          <w:sz w:val="24"/>
          <w:szCs w:val="24"/>
          <w:highlight w:val="none"/>
        </w:rPr>
      </w:pPr>
      <w:r>
        <w:rPr>
          <w:rFonts w:hint="eastAsia" w:cs="Times New Roman" w:asciiTheme="minorEastAsia" w:hAnsiTheme="minorEastAsia"/>
          <w:color w:val="auto"/>
          <w:sz w:val="24"/>
          <w:szCs w:val="24"/>
          <w:highlight w:val="none"/>
        </w:rPr>
        <w:t>3</w:t>
      </w:r>
      <w:r>
        <w:rPr>
          <w:rFonts w:cs="Times New Roman" w:asciiTheme="minorEastAsia" w:hAnsiTheme="minorEastAsia"/>
          <w:color w:val="auto"/>
          <w:sz w:val="24"/>
          <w:szCs w:val="24"/>
          <w:highlight w:val="none"/>
        </w:rPr>
        <w:t>.</w:t>
      </w:r>
      <w:r>
        <w:rPr>
          <w:rFonts w:hint="eastAsia" w:cs="Times New Roman" w:asciiTheme="minorEastAsia" w:hAnsiTheme="minorEastAsia"/>
          <w:color w:val="auto"/>
          <w:sz w:val="24"/>
          <w:szCs w:val="24"/>
          <w:highlight w:val="none"/>
        </w:rPr>
        <w:t>限制投保，或经其他单位承包后以分别方参与项目实施；</w:t>
      </w:r>
    </w:p>
    <w:p>
      <w:pPr>
        <w:adjustRightInd w:val="0"/>
        <w:snapToGrid w:val="0"/>
        <w:spacing w:line="560" w:lineRule="exact"/>
        <w:ind w:firstLine="480" w:firstLineChars="200"/>
        <w:jc w:val="left"/>
        <w:rPr>
          <w:rFonts w:cs="Times New Roman" w:asciiTheme="minorEastAsia" w:hAnsiTheme="minorEastAsia"/>
          <w:color w:val="auto"/>
          <w:sz w:val="24"/>
          <w:szCs w:val="24"/>
          <w:highlight w:val="none"/>
        </w:rPr>
      </w:pPr>
      <w:r>
        <w:rPr>
          <w:rFonts w:cs="Times New Roman" w:asciiTheme="minorEastAsia" w:hAnsiTheme="minorEastAsia"/>
          <w:color w:val="auto"/>
          <w:sz w:val="24"/>
          <w:szCs w:val="24"/>
          <w:highlight w:val="none"/>
        </w:rPr>
        <w:t>4.</w:t>
      </w:r>
      <w:r>
        <w:rPr>
          <w:rFonts w:hint="eastAsia" w:cs="Times New Roman" w:asciiTheme="minorEastAsia" w:hAnsiTheme="minorEastAsia"/>
          <w:color w:val="auto"/>
          <w:sz w:val="24"/>
          <w:szCs w:val="24"/>
          <w:highlight w:val="none"/>
        </w:rPr>
        <w:t>向上级进行反映，包括但不限于广东省市政行业协会、广州市市政公路协会等。</w:t>
      </w:r>
    </w:p>
    <w:p>
      <w:pPr>
        <w:spacing w:line="560" w:lineRule="exact"/>
        <w:ind w:firstLine="480" w:firstLineChars="200"/>
        <w:rPr>
          <w:rFonts w:ascii="宋体" w:hAnsi="宋体" w:eastAsia="宋体" w:cs="Arial"/>
          <w:color w:val="auto"/>
          <w:kern w:val="0"/>
          <w:sz w:val="24"/>
          <w:szCs w:val="24"/>
          <w:highlight w:val="none"/>
        </w:rPr>
      </w:pPr>
      <w:r>
        <w:rPr>
          <w:rFonts w:hint="eastAsia" w:ascii="宋体" w:hAnsi="宋体" w:eastAsia="宋体" w:cs="Arial"/>
          <w:color w:val="auto"/>
          <w:kern w:val="0"/>
          <w:sz w:val="24"/>
          <w:szCs w:val="24"/>
          <w:highlight w:val="none"/>
        </w:rPr>
        <w:t>（七）乙方对存在问题拒不整改的，或存在弄虚作假情况的，视为违约，甲方有权按主合同相关条款对乙方进行违约金扣罚。如乙方拒不缴纳违约金的，甲方有权在履约保证金中扣除。</w:t>
      </w:r>
    </w:p>
    <w:p>
      <w:pPr>
        <w:adjustRightInd w:val="0"/>
        <w:snapToGrid w:val="0"/>
        <w:spacing w:line="560" w:lineRule="exact"/>
        <w:ind w:firstLine="482" w:firstLineChars="200"/>
        <w:jc w:val="left"/>
        <w:rPr>
          <w:rFonts w:cs="Times New Roman" w:asciiTheme="minorEastAsia" w:hAnsiTheme="minorEastAsia"/>
          <w:b/>
          <w:color w:val="auto"/>
          <w:sz w:val="24"/>
          <w:szCs w:val="24"/>
          <w:highlight w:val="none"/>
        </w:rPr>
      </w:pPr>
      <w:r>
        <w:rPr>
          <w:rFonts w:hint="eastAsia" w:cs="Times New Roman" w:asciiTheme="minorEastAsia" w:hAnsiTheme="minorEastAsia"/>
          <w:b/>
          <w:color w:val="auto"/>
          <w:sz w:val="24"/>
          <w:szCs w:val="24"/>
          <w:highlight w:val="none"/>
        </w:rPr>
        <w:t>三、乙方权责</w:t>
      </w:r>
    </w:p>
    <w:p>
      <w:pPr>
        <w:adjustRightInd w:val="0"/>
        <w:snapToGrid w:val="0"/>
        <w:spacing w:line="560" w:lineRule="exact"/>
        <w:ind w:firstLine="480" w:firstLineChars="200"/>
        <w:jc w:val="left"/>
        <w:rPr>
          <w:rFonts w:cs="Times New Roman" w:asciiTheme="minorEastAsia" w:hAnsiTheme="minorEastAsia"/>
          <w:color w:val="auto"/>
          <w:sz w:val="24"/>
          <w:szCs w:val="24"/>
          <w:highlight w:val="none"/>
        </w:rPr>
      </w:pPr>
      <w:r>
        <w:rPr>
          <w:rFonts w:hint="eastAsia" w:cs="Times New Roman" w:asciiTheme="minorEastAsia" w:hAnsiTheme="minorEastAsia"/>
          <w:color w:val="auto"/>
          <w:sz w:val="24"/>
          <w:szCs w:val="24"/>
          <w:highlight w:val="none"/>
        </w:rPr>
        <w:t>（一）在施工前重新识别现场的安全风险并采取措施进行管控。大型机械设备进场，需提前对设备行走、运输路线进行勘查，确保行走、运输过程中不会造成各种设施的破坏或二次事故。</w:t>
      </w:r>
    </w:p>
    <w:p>
      <w:pPr>
        <w:adjustRightInd w:val="0"/>
        <w:snapToGrid w:val="0"/>
        <w:spacing w:line="560" w:lineRule="exact"/>
        <w:ind w:firstLine="480" w:firstLineChars="200"/>
        <w:jc w:val="left"/>
        <w:rPr>
          <w:rFonts w:cs="Times New Roman" w:asciiTheme="minorEastAsia" w:hAnsiTheme="minorEastAsia"/>
          <w:color w:val="auto"/>
          <w:sz w:val="24"/>
          <w:szCs w:val="24"/>
          <w:highlight w:val="none"/>
        </w:rPr>
      </w:pPr>
      <w:r>
        <w:rPr>
          <w:rFonts w:hint="eastAsia" w:cs="Times New Roman" w:asciiTheme="minorEastAsia" w:hAnsiTheme="minorEastAsia"/>
          <w:color w:val="auto"/>
          <w:sz w:val="24"/>
          <w:szCs w:val="24"/>
          <w:highlight w:val="none"/>
        </w:rPr>
        <w:t>（二）严格执行国家、地方和行业主管部门关于施工的强制性标准、地方行政法规、管理要求。</w:t>
      </w:r>
    </w:p>
    <w:p>
      <w:pPr>
        <w:adjustRightInd w:val="0"/>
        <w:snapToGrid w:val="0"/>
        <w:spacing w:line="560" w:lineRule="exact"/>
        <w:ind w:firstLine="480" w:firstLineChars="200"/>
        <w:jc w:val="left"/>
        <w:rPr>
          <w:rFonts w:cs="Times New Roman" w:asciiTheme="minorEastAsia" w:hAnsiTheme="minorEastAsia"/>
          <w:color w:val="auto"/>
          <w:sz w:val="24"/>
          <w:szCs w:val="24"/>
          <w:highlight w:val="none"/>
        </w:rPr>
      </w:pPr>
      <w:r>
        <w:rPr>
          <w:rFonts w:hint="eastAsia" w:cs="Times New Roman" w:asciiTheme="minorEastAsia" w:hAnsiTheme="minorEastAsia"/>
          <w:color w:val="auto"/>
          <w:sz w:val="24"/>
          <w:szCs w:val="24"/>
          <w:highlight w:val="none"/>
        </w:rPr>
        <w:t>依法为施工现场作业的人员办理意外伤害保险、购买安全生产责任保险。</w:t>
      </w:r>
    </w:p>
    <w:p>
      <w:pPr>
        <w:adjustRightInd w:val="0"/>
        <w:snapToGrid w:val="0"/>
        <w:spacing w:line="560" w:lineRule="exact"/>
        <w:ind w:firstLine="480" w:firstLineChars="200"/>
        <w:jc w:val="left"/>
        <w:rPr>
          <w:rFonts w:cs="Times New Roman" w:asciiTheme="minorEastAsia" w:hAnsiTheme="minorEastAsia"/>
          <w:color w:val="auto"/>
          <w:sz w:val="24"/>
          <w:szCs w:val="24"/>
          <w:highlight w:val="none"/>
        </w:rPr>
      </w:pPr>
      <w:r>
        <w:rPr>
          <w:rFonts w:hint="eastAsia" w:cs="Times New Roman" w:asciiTheme="minorEastAsia" w:hAnsiTheme="minorEastAsia"/>
          <w:color w:val="auto"/>
          <w:sz w:val="24"/>
          <w:szCs w:val="24"/>
          <w:highlight w:val="none"/>
        </w:rPr>
        <w:t>（三）乙方应在合同签订后</w:t>
      </w:r>
      <w:r>
        <w:rPr>
          <w:rFonts w:cs="Times New Roman" w:asciiTheme="minorEastAsia" w:hAnsiTheme="minorEastAsia"/>
          <w:color w:val="auto"/>
          <w:sz w:val="24"/>
          <w:szCs w:val="24"/>
          <w:highlight w:val="none"/>
          <w:u w:val="single"/>
        </w:rPr>
        <w:t xml:space="preserve">    </w:t>
      </w:r>
      <w:r>
        <w:rPr>
          <w:rFonts w:hint="eastAsia" w:cs="Times New Roman" w:asciiTheme="minorEastAsia" w:hAnsiTheme="minorEastAsia"/>
          <w:color w:val="auto"/>
          <w:sz w:val="24"/>
          <w:szCs w:val="24"/>
          <w:highlight w:val="none"/>
        </w:rPr>
        <w:t>日内制定安全生产文明施工措施费投入使用计划，并提交甲方备案，保证施工安全措施投入。</w:t>
      </w:r>
    </w:p>
    <w:p>
      <w:pPr>
        <w:adjustRightInd w:val="0"/>
        <w:snapToGrid w:val="0"/>
        <w:spacing w:line="560" w:lineRule="exact"/>
        <w:ind w:firstLine="480" w:firstLineChars="200"/>
        <w:jc w:val="left"/>
        <w:rPr>
          <w:rFonts w:cs="Times New Roman" w:asciiTheme="minorEastAsia" w:hAnsiTheme="minorEastAsia"/>
          <w:color w:val="auto"/>
          <w:sz w:val="24"/>
          <w:szCs w:val="24"/>
          <w:highlight w:val="none"/>
        </w:rPr>
      </w:pPr>
      <w:r>
        <w:rPr>
          <w:rFonts w:hint="eastAsia" w:cs="Times New Roman" w:asciiTheme="minorEastAsia" w:hAnsiTheme="minorEastAsia"/>
          <w:color w:val="auto"/>
          <w:sz w:val="24"/>
          <w:szCs w:val="24"/>
          <w:highlight w:val="none"/>
        </w:rPr>
        <w:t>（四）严格按照甲方制定的《广州市净水有限公司工程项目安全管理规范》要求，落实各项安全管理工作。</w:t>
      </w:r>
    </w:p>
    <w:p>
      <w:pPr>
        <w:adjustRightInd w:val="0"/>
        <w:snapToGrid w:val="0"/>
        <w:spacing w:line="560" w:lineRule="exact"/>
        <w:ind w:firstLine="480" w:firstLineChars="200"/>
        <w:jc w:val="left"/>
        <w:rPr>
          <w:rFonts w:cs="Times New Roman" w:asciiTheme="minorEastAsia" w:hAnsiTheme="minorEastAsia"/>
          <w:color w:val="auto"/>
          <w:sz w:val="24"/>
          <w:szCs w:val="24"/>
          <w:highlight w:val="none"/>
        </w:rPr>
      </w:pPr>
      <w:r>
        <w:rPr>
          <w:rFonts w:hint="eastAsia" w:cs="Times New Roman" w:asciiTheme="minorEastAsia" w:hAnsiTheme="minorEastAsia"/>
          <w:color w:val="auto"/>
          <w:sz w:val="24"/>
          <w:szCs w:val="24"/>
          <w:highlight w:val="none"/>
        </w:rPr>
        <w:t>根据当前国家、行业或甲方近期安全管理的突出方面，或针对项目实际，有针对性地开展安全管理工作，接受甲方的安全管理评价。</w:t>
      </w:r>
    </w:p>
    <w:p>
      <w:pPr>
        <w:adjustRightInd w:val="0"/>
        <w:snapToGrid w:val="0"/>
        <w:spacing w:line="560" w:lineRule="exact"/>
        <w:ind w:firstLine="480" w:firstLineChars="200"/>
        <w:jc w:val="left"/>
        <w:rPr>
          <w:rFonts w:cs="Times New Roman" w:asciiTheme="minorEastAsia" w:hAnsiTheme="minorEastAsia"/>
          <w:color w:val="auto"/>
          <w:sz w:val="24"/>
          <w:szCs w:val="24"/>
          <w:highlight w:val="none"/>
        </w:rPr>
      </w:pPr>
      <w:r>
        <w:rPr>
          <w:rFonts w:hint="eastAsia" w:cs="Times New Roman" w:asciiTheme="minorEastAsia" w:hAnsiTheme="minorEastAsia"/>
          <w:color w:val="auto"/>
          <w:sz w:val="24"/>
          <w:szCs w:val="24"/>
          <w:highlight w:val="none"/>
        </w:rPr>
        <w:t>配合甲方的安全监督检查，并立即对提出的问题隐患进行整改。</w:t>
      </w:r>
    </w:p>
    <w:p>
      <w:pPr>
        <w:adjustRightInd w:val="0"/>
        <w:snapToGrid w:val="0"/>
        <w:spacing w:line="560" w:lineRule="exact"/>
        <w:ind w:firstLine="480" w:firstLineChars="200"/>
        <w:jc w:val="left"/>
        <w:rPr>
          <w:rFonts w:cs="Times New Roman" w:asciiTheme="minorEastAsia" w:hAnsiTheme="minorEastAsia"/>
          <w:color w:val="auto"/>
          <w:sz w:val="24"/>
          <w:szCs w:val="24"/>
          <w:highlight w:val="none"/>
        </w:rPr>
      </w:pPr>
      <w:r>
        <w:rPr>
          <w:rFonts w:hint="eastAsia" w:cs="Times New Roman" w:asciiTheme="minorEastAsia" w:hAnsiTheme="minorEastAsia"/>
          <w:color w:val="auto"/>
          <w:sz w:val="24"/>
          <w:szCs w:val="24"/>
          <w:highlight w:val="none"/>
        </w:rPr>
        <w:t>（五）落实人员实名制，在签订主合同前提供本项目全体人员已通过三级安全教育及职业健康体检的证明，确保全员没有职业病，禁止有职业禁忌证的人员从事禁忌证相关工作。</w:t>
      </w:r>
    </w:p>
    <w:p>
      <w:pPr>
        <w:adjustRightInd w:val="0"/>
        <w:snapToGrid w:val="0"/>
        <w:spacing w:line="560" w:lineRule="exact"/>
        <w:ind w:firstLine="480" w:firstLineChars="200"/>
        <w:jc w:val="left"/>
        <w:rPr>
          <w:rFonts w:cs="Times New Roman" w:asciiTheme="minorEastAsia" w:hAnsiTheme="minorEastAsia"/>
          <w:color w:val="auto"/>
          <w:sz w:val="24"/>
          <w:szCs w:val="24"/>
          <w:highlight w:val="none"/>
        </w:rPr>
      </w:pPr>
      <w:r>
        <w:rPr>
          <w:rFonts w:hint="eastAsia" w:cs="Times New Roman" w:asciiTheme="minorEastAsia" w:hAnsiTheme="minorEastAsia"/>
          <w:color w:val="auto"/>
          <w:sz w:val="24"/>
          <w:szCs w:val="24"/>
          <w:highlight w:val="none"/>
        </w:rPr>
        <w:t>乙方该项目的管理人员、作业人员（包括分包人员）每年由乙方单位依法开展安全生产教育培训，并保存好相关培训证明备查。</w:t>
      </w:r>
    </w:p>
    <w:p>
      <w:pPr>
        <w:adjustRightInd w:val="0"/>
        <w:snapToGrid w:val="0"/>
        <w:spacing w:line="560" w:lineRule="exact"/>
        <w:ind w:firstLine="480" w:firstLineChars="200"/>
        <w:jc w:val="left"/>
        <w:rPr>
          <w:rFonts w:cs="Times New Roman" w:asciiTheme="minorEastAsia" w:hAnsiTheme="minorEastAsia"/>
          <w:color w:val="auto"/>
          <w:sz w:val="24"/>
          <w:szCs w:val="24"/>
          <w:highlight w:val="none"/>
        </w:rPr>
      </w:pPr>
      <w:r>
        <w:rPr>
          <w:rFonts w:hint="eastAsia" w:cs="Times New Roman" w:asciiTheme="minorEastAsia" w:hAnsiTheme="minorEastAsia"/>
          <w:color w:val="auto"/>
          <w:sz w:val="24"/>
          <w:szCs w:val="24"/>
          <w:highlight w:val="none"/>
        </w:rPr>
        <w:t>施工过程中，项目管理人员、作业人员（包括分包人员）需进行调整的，必须书面向甲方请示，并获得甲方批准后方可执行变更。</w:t>
      </w:r>
    </w:p>
    <w:p>
      <w:pPr>
        <w:adjustRightInd w:val="0"/>
        <w:snapToGrid w:val="0"/>
        <w:spacing w:line="560" w:lineRule="exact"/>
        <w:ind w:firstLine="480" w:firstLineChars="200"/>
        <w:jc w:val="left"/>
        <w:rPr>
          <w:rFonts w:cs="Times New Roman" w:asciiTheme="minorEastAsia" w:hAnsiTheme="minorEastAsia"/>
          <w:color w:val="auto"/>
          <w:sz w:val="24"/>
          <w:szCs w:val="24"/>
          <w:highlight w:val="none"/>
        </w:rPr>
      </w:pPr>
      <w:r>
        <w:rPr>
          <w:rFonts w:hint="eastAsia" w:cs="Times New Roman" w:asciiTheme="minorEastAsia" w:hAnsiTheme="minorEastAsia"/>
          <w:color w:val="auto"/>
          <w:sz w:val="24"/>
          <w:szCs w:val="24"/>
          <w:highlight w:val="none"/>
        </w:rPr>
        <w:t>（六）建立应急管理体系，编制应急预案和现场处置方案，并定期组织开展应急演练。施工现场，乙方应根据施工方案在施工现场配置应急救援物资，并做好应急救援物资的定期检查，确保完好、有效。</w:t>
      </w:r>
    </w:p>
    <w:p>
      <w:pPr>
        <w:adjustRightInd w:val="0"/>
        <w:snapToGrid w:val="0"/>
        <w:spacing w:line="560" w:lineRule="exact"/>
        <w:ind w:firstLine="480" w:firstLineChars="200"/>
        <w:jc w:val="left"/>
        <w:rPr>
          <w:rFonts w:cs="Times New Roman" w:asciiTheme="minorEastAsia" w:hAnsiTheme="minorEastAsia"/>
          <w:color w:val="auto"/>
          <w:sz w:val="24"/>
          <w:szCs w:val="24"/>
          <w:highlight w:val="none"/>
        </w:rPr>
      </w:pPr>
      <w:r>
        <w:rPr>
          <w:rFonts w:hint="eastAsia" w:cs="Times New Roman" w:asciiTheme="minorEastAsia" w:hAnsiTheme="minorEastAsia"/>
          <w:color w:val="auto"/>
          <w:sz w:val="24"/>
          <w:szCs w:val="24"/>
          <w:highlight w:val="none"/>
        </w:rPr>
        <w:t>（七）发生突发事件时，应立即报甲方，并同时积极主动地开展应急救援，采取有效措施将事故影响控制在最小范围内。</w:t>
      </w:r>
    </w:p>
    <w:p>
      <w:pPr>
        <w:adjustRightInd w:val="0"/>
        <w:snapToGrid w:val="0"/>
        <w:spacing w:line="560" w:lineRule="exact"/>
        <w:ind w:firstLine="480" w:firstLineChars="200"/>
        <w:jc w:val="left"/>
        <w:rPr>
          <w:rFonts w:cs="Times New Roman" w:asciiTheme="minorEastAsia" w:hAnsiTheme="minorEastAsia"/>
          <w:color w:val="auto"/>
          <w:sz w:val="24"/>
          <w:szCs w:val="24"/>
          <w:highlight w:val="none"/>
        </w:rPr>
      </w:pPr>
      <w:r>
        <w:rPr>
          <w:rFonts w:hint="eastAsia" w:cs="Times New Roman" w:asciiTheme="minorEastAsia" w:hAnsiTheme="minorEastAsia"/>
          <w:color w:val="auto"/>
          <w:sz w:val="24"/>
          <w:szCs w:val="24"/>
          <w:highlight w:val="none"/>
        </w:rPr>
        <w:t>（八）严格履行本协议，遵守甲方各项管理规定，服从管理。</w:t>
      </w:r>
    </w:p>
    <w:p>
      <w:pPr>
        <w:adjustRightInd w:val="0"/>
        <w:snapToGrid w:val="0"/>
        <w:spacing w:line="560" w:lineRule="exact"/>
        <w:ind w:firstLine="480" w:firstLineChars="200"/>
        <w:jc w:val="left"/>
        <w:rPr>
          <w:rFonts w:cs="Times New Roman" w:asciiTheme="minorEastAsia" w:hAnsiTheme="minorEastAsia"/>
          <w:color w:val="auto"/>
          <w:sz w:val="24"/>
          <w:szCs w:val="24"/>
          <w:highlight w:val="none"/>
        </w:rPr>
      </w:pPr>
      <w:r>
        <w:rPr>
          <w:rFonts w:hint="eastAsia" w:cs="Times New Roman" w:asciiTheme="minorEastAsia" w:hAnsiTheme="minorEastAsia"/>
          <w:color w:val="auto"/>
          <w:sz w:val="24"/>
          <w:szCs w:val="24"/>
          <w:highlight w:val="none"/>
        </w:rPr>
        <w:t>（九）对甲方的违章指挥，拒绝执行，但需书面明确指出甲方所违反的具体法律法规、标准规范等。</w:t>
      </w:r>
    </w:p>
    <w:p>
      <w:pPr>
        <w:adjustRightInd w:val="0"/>
        <w:snapToGrid w:val="0"/>
        <w:spacing w:line="560" w:lineRule="exact"/>
        <w:ind w:firstLine="480" w:firstLineChars="200"/>
        <w:jc w:val="left"/>
        <w:rPr>
          <w:rFonts w:cs="Times New Roman" w:asciiTheme="minorEastAsia" w:hAnsiTheme="minorEastAsia"/>
          <w:color w:val="auto"/>
          <w:sz w:val="24"/>
          <w:szCs w:val="24"/>
          <w:highlight w:val="none"/>
        </w:rPr>
      </w:pPr>
      <w:r>
        <w:rPr>
          <w:rFonts w:hint="eastAsia" w:cs="Times New Roman" w:asciiTheme="minorEastAsia" w:hAnsiTheme="minorEastAsia"/>
          <w:color w:val="auto"/>
          <w:sz w:val="24"/>
          <w:szCs w:val="24"/>
          <w:highlight w:val="none"/>
        </w:rPr>
        <w:t>（十）乙方委托的第三方运输单位或个人，违反本协议的，全部责任均由乙方承担。</w:t>
      </w:r>
    </w:p>
    <w:p>
      <w:pPr>
        <w:adjustRightInd w:val="0"/>
        <w:snapToGrid w:val="0"/>
        <w:spacing w:line="560" w:lineRule="exact"/>
        <w:ind w:firstLine="482" w:firstLineChars="200"/>
        <w:jc w:val="left"/>
        <w:rPr>
          <w:rFonts w:cs="Times New Roman" w:asciiTheme="minorEastAsia" w:hAnsiTheme="minorEastAsia"/>
          <w:b/>
          <w:color w:val="auto"/>
          <w:sz w:val="24"/>
          <w:szCs w:val="24"/>
          <w:highlight w:val="none"/>
        </w:rPr>
      </w:pPr>
      <w:r>
        <w:rPr>
          <w:rFonts w:hint="eastAsia" w:cs="Times New Roman" w:asciiTheme="minorEastAsia" w:hAnsiTheme="minorEastAsia"/>
          <w:b/>
          <w:color w:val="auto"/>
          <w:sz w:val="24"/>
          <w:szCs w:val="24"/>
          <w:highlight w:val="none"/>
        </w:rPr>
        <w:t>四、事故责任</w:t>
      </w:r>
    </w:p>
    <w:p>
      <w:pPr>
        <w:adjustRightInd w:val="0"/>
        <w:snapToGrid w:val="0"/>
        <w:spacing w:line="560" w:lineRule="exact"/>
        <w:ind w:firstLine="480" w:firstLineChars="200"/>
        <w:jc w:val="left"/>
        <w:rPr>
          <w:rFonts w:cs="Times New Roman" w:asciiTheme="minorEastAsia" w:hAnsiTheme="minorEastAsia"/>
          <w:color w:val="auto"/>
          <w:sz w:val="24"/>
          <w:szCs w:val="24"/>
          <w:highlight w:val="none"/>
        </w:rPr>
      </w:pPr>
      <w:r>
        <w:rPr>
          <w:rFonts w:hint="eastAsia" w:cs="Times New Roman" w:asciiTheme="minorEastAsia" w:hAnsiTheme="minorEastAsia"/>
          <w:color w:val="auto"/>
          <w:sz w:val="24"/>
          <w:szCs w:val="24"/>
          <w:highlight w:val="none"/>
        </w:rPr>
        <w:t>（一）在乙方承包范围内，由于乙方责任发生生产安全事故时，造成的甲方、乙方或者第三方人身伤害事故，乙方负全部责任。</w:t>
      </w:r>
    </w:p>
    <w:p>
      <w:pPr>
        <w:adjustRightInd w:val="0"/>
        <w:snapToGrid w:val="0"/>
        <w:spacing w:line="560" w:lineRule="exact"/>
        <w:ind w:firstLine="480" w:firstLineChars="200"/>
        <w:jc w:val="left"/>
        <w:rPr>
          <w:rFonts w:cs="Times New Roman" w:asciiTheme="minorEastAsia" w:hAnsiTheme="minorEastAsia"/>
          <w:color w:val="auto"/>
          <w:sz w:val="24"/>
          <w:szCs w:val="24"/>
          <w:highlight w:val="none"/>
        </w:rPr>
      </w:pPr>
      <w:r>
        <w:rPr>
          <w:rFonts w:hint="eastAsia" w:cs="Times New Roman" w:asciiTheme="minorEastAsia" w:hAnsiTheme="minorEastAsia"/>
          <w:color w:val="auto"/>
          <w:sz w:val="24"/>
          <w:szCs w:val="24"/>
          <w:highlight w:val="none"/>
        </w:rPr>
        <w:t>（二）乙方人员违规进入甲方或第三方承包区域，造成事故的，乙方负全部事故责任；乙方人员遭受人身伤害的，乙方负全部责任。</w:t>
      </w:r>
    </w:p>
    <w:p>
      <w:pPr>
        <w:adjustRightInd w:val="0"/>
        <w:snapToGrid w:val="0"/>
        <w:spacing w:line="560" w:lineRule="exact"/>
        <w:ind w:firstLine="480" w:firstLineChars="200"/>
        <w:jc w:val="left"/>
        <w:rPr>
          <w:rFonts w:cs="Times New Roman" w:asciiTheme="minorEastAsia" w:hAnsiTheme="minorEastAsia"/>
          <w:color w:val="auto"/>
          <w:sz w:val="24"/>
          <w:szCs w:val="24"/>
          <w:highlight w:val="none"/>
        </w:rPr>
      </w:pPr>
      <w:r>
        <w:rPr>
          <w:rFonts w:hint="eastAsia" w:cs="Times New Roman" w:asciiTheme="minorEastAsia" w:hAnsiTheme="minorEastAsia"/>
          <w:color w:val="auto"/>
          <w:sz w:val="24"/>
          <w:szCs w:val="24"/>
          <w:highlight w:val="none"/>
        </w:rPr>
        <w:t>（三）同一生产区域内有两家及以上承包单位的，发生生产安全事故，侵害方负全部责任；共同责任造成的，按事故原因划分责任，不能达成一致的，根据政府有关部门的责任划分承担相应的事故责任和经济责任。</w:t>
      </w:r>
    </w:p>
    <w:p>
      <w:pPr>
        <w:adjustRightInd w:val="0"/>
        <w:snapToGrid w:val="0"/>
        <w:spacing w:line="560" w:lineRule="exact"/>
        <w:ind w:firstLine="480" w:firstLineChars="200"/>
        <w:jc w:val="left"/>
        <w:rPr>
          <w:rFonts w:cs="Times New Roman" w:asciiTheme="minorEastAsia" w:hAnsiTheme="minorEastAsia"/>
          <w:color w:val="auto"/>
          <w:sz w:val="24"/>
          <w:szCs w:val="24"/>
          <w:highlight w:val="none"/>
        </w:rPr>
      </w:pPr>
      <w:r>
        <w:rPr>
          <w:rFonts w:hint="eastAsia" w:cs="Times New Roman" w:asciiTheme="minorEastAsia" w:hAnsiTheme="minorEastAsia"/>
          <w:color w:val="auto"/>
          <w:sz w:val="24"/>
          <w:szCs w:val="24"/>
          <w:highlight w:val="none"/>
        </w:rPr>
        <w:t>（四）乙方在甲方生产区域内发生生产安全事故后，必须在第一时间向甲方报告，迟报或者隐瞒不报生产安全事故，承担事故的全部责任。</w:t>
      </w:r>
    </w:p>
    <w:p>
      <w:pPr>
        <w:adjustRightInd w:val="0"/>
        <w:snapToGrid w:val="0"/>
        <w:spacing w:line="560" w:lineRule="exact"/>
        <w:ind w:firstLine="480" w:firstLineChars="200"/>
        <w:jc w:val="left"/>
        <w:rPr>
          <w:rFonts w:cs="Times New Roman" w:asciiTheme="minorEastAsia" w:hAnsiTheme="minorEastAsia"/>
          <w:color w:val="auto"/>
          <w:sz w:val="24"/>
          <w:szCs w:val="24"/>
          <w:highlight w:val="none"/>
        </w:rPr>
      </w:pPr>
      <w:r>
        <w:rPr>
          <w:rFonts w:hint="eastAsia" w:cs="Times New Roman" w:asciiTheme="minorEastAsia" w:hAnsiTheme="minorEastAsia"/>
          <w:color w:val="auto"/>
          <w:sz w:val="24"/>
          <w:szCs w:val="24"/>
          <w:highlight w:val="none"/>
        </w:rPr>
        <w:t>（五）乙方各类人员在甲方生产区域内发生人身伤害事故和其他事故，乙方应开展调查、处理、统计、上报并向甲方报告，配合甲方及有关部门开展事故调查。</w:t>
      </w:r>
    </w:p>
    <w:p>
      <w:pPr>
        <w:spacing w:line="560" w:lineRule="exact"/>
        <w:ind w:firstLine="480" w:firstLineChars="200"/>
        <w:rPr>
          <w:rFonts w:cs="Times New Roman" w:asciiTheme="minorEastAsia" w:hAnsiTheme="minorEastAsia"/>
          <w:color w:val="auto"/>
          <w:sz w:val="24"/>
          <w:szCs w:val="24"/>
          <w:highlight w:val="none"/>
        </w:rPr>
      </w:pPr>
      <w:r>
        <w:rPr>
          <w:rFonts w:hint="eastAsia" w:cs="Times New Roman" w:asciiTheme="minorEastAsia" w:hAnsiTheme="minorEastAsia"/>
          <w:color w:val="auto"/>
          <w:sz w:val="24"/>
          <w:szCs w:val="24"/>
          <w:highlight w:val="none"/>
        </w:rPr>
        <w:t>（六）乙方造成的事故或造成事故扩大的，乙方须立即开展事故处置，并双倍赔偿甲方的全部损失（包括但不限于甲方的直接经济损失和间接经济损失、为处理事故支出的费用、为恢复正常生产产生的费用、因事故被有关单位追究的经济考核扣罚以及因造成第三方损失而支出的赔偿款、律师费、诉讼费等）。</w:t>
      </w:r>
    </w:p>
    <w:p>
      <w:pPr>
        <w:spacing w:line="560" w:lineRule="exact"/>
        <w:ind w:firstLine="482" w:firstLineChars="200"/>
        <w:rPr>
          <w:rFonts w:cs="Times New Roman" w:asciiTheme="minorEastAsia" w:hAnsiTheme="minorEastAsia"/>
          <w:color w:val="auto"/>
          <w:sz w:val="24"/>
          <w:szCs w:val="24"/>
          <w:highlight w:val="none"/>
        </w:rPr>
      </w:pPr>
      <w:r>
        <w:rPr>
          <w:rFonts w:hint="eastAsia" w:cs="Times New Roman" w:asciiTheme="minorEastAsia" w:hAnsiTheme="minorEastAsia"/>
          <w:b/>
          <w:color w:val="auto"/>
          <w:sz w:val="24"/>
          <w:szCs w:val="24"/>
          <w:highlight w:val="none"/>
        </w:rPr>
        <w:t>五、补充条款：</w:t>
      </w:r>
      <w:r>
        <w:rPr>
          <w:rFonts w:cs="Times New Roman" w:asciiTheme="minorEastAsia" w:hAnsiTheme="minorEastAsia"/>
          <w:color w:val="auto"/>
          <w:sz w:val="24"/>
          <w:szCs w:val="24"/>
          <w:highlight w:val="none"/>
          <w:u w:val="single"/>
        </w:rPr>
        <w:t xml:space="preserve">                 </w:t>
      </w:r>
      <w:r>
        <w:rPr>
          <w:rFonts w:hint="eastAsia" w:cs="Times New Roman" w:asciiTheme="minorEastAsia" w:hAnsiTheme="minorEastAsia"/>
          <w:color w:val="auto"/>
          <w:sz w:val="24"/>
          <w:szCs w:val="24"/>
          <w:highlight w:val="none"/>
        </w:rPr>
        <w:t>。</w:t>
      </w:r>
    </w:p>
    <w:p>
      <w:pPr>
        <w:adjustRightInd w:val="0"/>
        <w:snapToGrid w:val="0"/>
        <w:spacing w:line="560" w:lineRule="exact"/>
        <w:ind w:firstLine="482" w:firstLineChars="200"/>
        <w:jc w:val="left"/>
        <w:rPr>
          <w:rFonts w:cs="Times New Roman" w:asciiTheme="minorEastAsia" w:hAnsiTheme="minorEastAsia"/>
          <w:b/>
          <w:color w:val="auto"/>
          <w:sz w:val="24"/>
          <w:szCs w:val="24"/>
          <w:highlight w:val="none"/>
        </w:rPr>
      </w:pPr>
      <w:r>
        <w:rPr>
          <w:rFonts w:hint="eastAsia" w:cs="Times New Roman" w:asciiTheme="minorEastAsia" w:hAnsiTheme="minorEastAsia"/>
          <w:b/>
          <w:color w:val="auto"/>
          <w:sz w:val="24"/>
          <w:szCs w:val="24"/>
          <w:highlight w:val="none"/>
        </w:rPr>
        <w:t>六、附则</w:t>
      </w:r>
    </w:p>
    <w:p>
      <w:pPr>
        <w:adjustRightInd w:val="0"/>
        <w:snapToGrid w:val="0"/>
        <w:spacing w:line="560" w:lineRule="exact"/>
        <w:ind w:firstLine="480" w:firstLineChars="200"/>
        <w:jc w:val="left"/>
        <w:rPr>
          <w:rFonts w:cs="Times New Roman" w:asciiTheme="minorEastAsia" w:hAnsiTheme="minorEastAsia"/>
          <w:color w:val="auto"/>
          <w:sz w:val="24"/>
          <w:szCs w:val="24"/>
          <w:highlight w:val="none"/>
        </w:rPr>
      </w:pPr>
      <w:r>
        <w:rPr>
          <w:rFonts w:hint="eastAsia" w:cs="Times New Roman" w:asciiTheme="minorEastAsia" w:hAnsiTheme="minorEastAsia"/>
          <w:color w:val="auto"/>
          <w:sz w:val="24"/>
          <w:szCs w:val="24"/>
          <w:highlight w:val="none"/>
        </w:rPr>
        <w:t>（一）本协议未尽事宜，依据有关法律、法规、规章处理。法律、法规、规章没有明确规定的，经双方协商处理解决。</w:t>
      </w:r>
    </w:p>
    <w:p>
      <w:pPr>
        <w:adjustRightInd w:val="0"/>
        <w:snapToGrid w:val="0"/>
        <w:spacing w:line="560" w:lineRule="exact"/>
        <w:ind w:firstLine="480" w:firstLineChars="200"/>
        <w:jc w:val="left"/>
        <w:rPr>
          <w:rFonts w:cs="Times New Roman" w:asciiTheme="minorEastAsia" w:hAnsiTheme="minorEastAsia"/>
          <w:color w:val="auto"/>
          <w:sz w:val="24"/>
          <w:szCs w:val="24"/>
          <w:highlight w:val="none"/>
        </w:rPr>
      </w:pPr>
      <w:r>
        <w:rPr>
          <w:rFonts w:hint="eastAsia" w:cs="Times New Roman" w:asciiTheme="minorEastAsia" w:hAnsiTheme="minorEastAsia"/>
          <w:color w:val="auto"/>
          <w:sz w:val="24"/>
          <w:szCs w:val="24"/>
          <w:highlight w:val="none"/>
        </w:rPr>
        <w:t>（二）本协议与主合同同时签订、同时终止、同时生效，具有相同的法律效力，自甲方、乙方双方签字、盖章生效，甲方、乙方双方执持数量与主合同一致。</w:t>
      </w:r>
    </w:p>
    <w:p>
      <w:pPr>
        <w:adjustRightInd w:val="0"/>
        <w:snapToGrid w:val="0"/>
        <w:spacing w:line="560" w:lineRule="exact"/>
        <w:rPr>
          <w:rFonts w:ascii="仿宋_GB2312" w:eastAsia="仿宋_GB2312" w:cs="Times New Roman" w:hAnsiTheme="minorEastAsia"/>
          <w:color w:val="auto"/>
          <w:sz w:val="24"/>
          <w:szCs w:val="24"/>
          <w:highlight w:val="none"/>
        </w:rPr>
      </w:pPr>
    </w:p>
    <w:tbl>
      <w:tblPr>
        <w:tblStyle w:val="4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473"/>
        <w:gridCol w:w="4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73" w:type="dxa"/>
          </w:tcPr>
          <w:p>
            <w:pPr>
              <w:adjustRightInd w:val="0"/>
              <w:snapToGrid w:val="0"/>
              <w:spacing w:line="560" w:lineRule="exact"/>
              <w:rPr>
                <w:rFonts w:eastAsia="宋体" w:cs="Times New Roman" w:asciiTheme="minorEastAsia" w:hAnsiTheme="minorEastAsia"/>
                <w:color w:val="auto"/>
                <w:sz w:val="24"/>
                <w:szCs w:val="24"/>
                <w:highlight w:val="none"/>
              </w:rPr>
            </w:pPr>
            <w:r>
              <w:rPr>
                <w:rFonts w:hint="eastAsia" w:eastAsia="宋体" w:cs="Times New Roman" w:asciiTheme="minorEastAsia" w:hAnsiTheme="minorEastAsia"/>
                <w:color w:val="auto"/>
                <w:sz w:val="24"/>
                <w:szCs w:val="24"/>
                <w:highlight w:val="none"/>
              </w:rPr>
              <w:t>甲方：</w:t>
            </w:r>
          </w:p>
          <w:p>
            <w:pPr>
              <w:adjustRightInd w:val="0"/>
              <w:snapToGrid w:val="0"/>
              <w:spacing w:line="560" w:lineRule="exact"/>
              <w:rPr>
                <w:rFonts w:eastAsia="宋体" w:cs="Times New Roman" w:asciiTheme="minorEastAsia" w:hAnsiTheme="minorEastAsia"/>
                <w:color w:val="auto"/>
                <w:sz w:val="24"/>
                <w:szCs w:val="24"/>
                <w:highlight w:val="none"/>
              </w:rPr>
            </w:pPr>
            <w:r>
              <w:rPr>
                <w:rFonts w:hint="eastAsia" w:eastAsia="宋体" w:cs="Times New Roman" w:asciiTheme="minorEastAsia" w:hAnsiTheme="minorEastAsia"/>
                <w:color w:val="auto"/>
                <w:sz w:val="24"/>
                <w:szCs w:val="24"/>
                <w:highlight w:val="none"/>
              </w:rPr>
              <w:t>签约代表：</w:t>
            </w:r>
          </w:p>
          <w:p>
            <w:pPr>
              <w:adjustRightInd w:val="0"/>
              <w:snapToGrid w:val="0"/>
              <w:spacing w:line="560" w:lineRule="exact"/>
              <w:rPr>
                <w:rFonts w:eastAsia="宋体" w:cs="Times New Roman" w:asciiTheme="minorEastAsia" w:hAnsiTheme="minorEastAsia"/>
                <w:color w:val="auto"/>
                <w:sz w:val="24"/>
                <w:szCs w:val="24"/>
                <w:highlight w:val="none"/>
              </w:rPr>
            </w:pPr>
            <w:r>
              <w:rPr>
                <w:rFonts w:hint="eastAsia" w:eastAsia="宋体" w:cs="Times New Roman" w:asciiTheme="minorEastAsia" w:hAnsiTheme="minorEastAsia"/>
                <w:color w:val="auto"/>
                <w:sz w:val="24"/>
                <w:szCs w:val="24"/>
                <w:highlight w:val="none"/>
              </w:rPr>
              <w:t>联系电话：</w:t>
            </w:r>
          </w:p>
          <w:p>
            <w:pPr>
              <w:adjustRightInd w:val="0"/>
              <w:snapToGrid w:val="0"/>
              <w:spacing w:line="560" w:lineRule="exact"/>
              <w:ind w:firstLine="240" w:firstLineChars="100"/>
              <w:jc w:val="right"/>
              <w:rPr>
                <w:rFonts w:eastAsia="宋体" w:cs="Times New Roman" w:asciiTheme="minorEastAsia" w:hAnsiTheme="minorEastAsia"/>
                <w:color w:val="auto"/>
                <w:sz w:val="24"/>
                <w:szCs w:val="24"/>
                <w:highlight w:val="none"/>
              </w:rPr>
            </w:pPr>
            <w:r>
              <w:rPr>
                <w:rFonts w:hint="eastAsia" w:eastAsia="宋体" w:cs="Times New Roman" w:asciiTheme="minorEastAsia" w:hAnsiTheme="minorEastAsia"/>
                <w:color w:val="auto"/>
                <w:sz w:val="24"/>
                <w:szCs w:val="24"/>
                <w:highlight w:val="none"/>
              </w:rPr>
              <w:t>年</w:t>
            </w:r>
            <w:r>
              <w:rPr>
                <w:rFonts w:eastAsia="宋体" w:cs="Times New Roman" w:asciiTheme="minorEastAsia" w:hAnsiTheme="minorEastAsia"/>
                <w:color w:val="auto"/>
                <w:sz w:val="24"/>
                <w:szCs w:val="24"/>
                <w:highlight w:val="none"/>
              </w:rPr>
              <w:t xml:space="preserve">    </w:t>
            </w:r>
            <w:r>
              <w:rPr>
                <w:rFonts w:hint="eastAsia" w:eastAsia="宋体" w:cs="Times New Roman" w:asciiTheme="minorEastAsia" w:hAnsiTheme="minorEastAsia"/>
                <w:color w:val="auto"/>
                <w:sz w:val="24"/>
                <w:szCs w:val="24"/>
                <w:highlight w:val="none"/>
              </w:rPr>
              <w:t>月</w:t>
            </w:r>
            <w:r>
              <w:rPr>
                <w:rFonts w:eastAsia="宋体" w:cs="Times New Roman" w:asciiTheme="minorEastAsia" w:hAnsiTheme="minorEastAsia"/>
                <w:color w:val="auto"/>
                <w:sz w:val="24"/>
                <w:szCs w:val="24"/>
                <w:highlight w:val="none"/>
              </w:rPr>
              <w:t xml:space="preserve">    </w:t>
            </w:r>
            <w:r>
              <w:rPr>
                <w:rFonts w:hint="eastAsia" w:eastAsia="宋体" w:cs="Times New Roman" w:asciiTheme="minorEastAsia" w:hAnsiTheme="minorEastAsia"/>
                <w:color w:val="auto"/>
                <w:sz w:val="24"/>
                <w:szCs w:val="24"/>
                <w:highlight w:val="none"/>
              </w:rPr>
              <w:t>日</w:t>
            </w:r>
          </w:p>
        </w:tc>
        <w:tc>
          <w:tcPr>
            <w:tcW w:w="4474" w:type="dxa"/>
          </w:tcPr>
          <w:p>
            <w:pPr>
              <w:adjustRightInd w:val="0"/>
              <w:snapToGrid w:val="0"/>
              <w:spacing w:line="560" w:lineRule="exact"/>
              <w:rPr>
                <w:rFonts w:eastAsia="宋体" w:cs="Times New Roman" w:asciiTheme="minorEastAsia" w:hAnsiTheme="minorEastAsia"/>
                <w:color w:val="auto"/>
                <w:sz w:val="24"/>
                <w:szCs w:val="24"/>
                <w:highlight w:val="none"/>
              </w:rPr>
            </w:pPr>
            <w:r>
              <w:rPr>
                <w:rFonts w:hint="eastAsia" w:eastAsia="宋体" w:cs="Times New Roman" w:asciiTheme="minorEastAsia" w:hAnsiTheme="minorEastAsia"/>
                <w:color w:val="auto"/>
                <w:sz w:val="24"/>
                <w:szCs w:val="24"/>
                <w:highlight w:val="none"/>
              </w:rPr>
              <w:t>乙方：</w:t>
            </w:r>
          </w:p>
          <w:p>
            <w:pPr>
              <w:adjustRightInd w:val="0"/>
              <w:snapToGrid w:val="0"/>
              <w:spacing w:line="560" w:lineRule="exact"/>
              <w:rPr>
                <w:rFonts w:eastAsia="宋体" w:cs="Times New Roman" w:asciiTheme="minorEastAsia" w:hAnsiTheme="minorEastAsia"/>
                <w:color w:val="auto"/>
                <w:sz w:val="24"/>
                <w:szCs w:val="24"/>
                <w:highlight w:val="none"/>
              </w:rPr>
            </w:pPr>
            <w:r>
              <w:rPr>
                <w:rFonts w:hint="eastAsia" w:eastAsia="宋体" w:cs="Times New Roman" w:asciiTheme="minorEastAsia" w:hAnsiTheme="minorEastAsia"/>
                <w:color w:val="auto"/>
                <w:sz w:val="24"/>
                <w:szCs w:val="24"/>
                <w:highlight w:val="none"/>
              </w:rPr>
              <w:t>签约代表：</w:t>
            </w:r>
          </w:p>
          <w:p>
            <w:pPr>
              <w:adjustRightInd w:val="0"/>
              <w:snapToGrid w:val="0"/>
              <w:spacing w:line="560" w:lineRule="exact"/>
              <w:rPr>
                <w:rFonts w:eastAsia="宋体" w:cs="Times New Roman" w:asciiTheme="minorEastAsia" w:hAnsiTheme="minorEastAsia"/>
                <w:color w:val="auto"/>
                <w:sz w:val="24"/>
                <w:szCs w:val="24"/>
                <w:highlight w:val="none"/>
              </w:rPr>
            </w:pPr>
            <w:r>
              <w:rPr>
                <w:rFonts w:hint="eastAsia" w:eastAsia="宋体" w:cs="Times New Roman" w:asciiTheme="minorEastAsia" w:hAnsiTheme="minorEastAsia"/>
                <w:color w:val="auto"/>
                <w:sz w:val="24"/>
                <w:szCs w:val="24"/>
                <w:highlight w:val="none"/>
              </w:rPr>
              <w:t>联系电话：</w:t>
            </w:r>
          </w:p>
          <w:p>
            <w:pPr>
              <w:adjustRightInd w:val="0"/>
              <w:snapToGrid w:val="0"/>
              <w:spacing w:line="560" w:lineRule="exact"/>
              <w:jc w:val="right"/>
              <w:rPr>
                <w:rFonts w:eastAsia="宋体" w:cs="Times New Roman" w:asciiTheme="minorEastAsia" w:hAnsiTheme="minorEastAsia"/>
                <w:color w:val="auto"/>
                <w:sz w:val="24"/>
                <w:szCs w:val="24"/>
                <w:highlight w:val="none"/>
              </w:rPr>
            </w:pPr>
            <w:r>
              <w:rPr>
                <w:rFonts w:hint="eastAsia" w:eastAsia="宋体" w:cs="Times New Roman" w:asciiTheme="minorEastAsia" w:hAnsiTheme="minorEastAsia"/>
                <w:color w:val="auto"/>
                <w:sz w:val="24"/>
                <w:szCs w:val="24"/>
                <w:highlight w:val="none"/>
              </w:rPr>
              <w:t>年</w:t>
            </w:r>
            <w:r>
              <w:rPr>
                <w:rFonts w:eastAsia="宋体" w:cs="Times New Roman" w:asciiTheme="minorEastAsia" w:hAnsiTheme="minorEastAsia"/>
                <w:color w:val="auto"/>
                <w:sz w:val="24"/>
                <w:szCs w:val="24"/>
                <w:highlight w:val="none"/>
              </w:rPr>
              <w:t xml:space="preserve">    </w:t>
            </w:r>
            <w:r>
              <w:rPr>
                <w:rFonts w:hint="eastAsia" w:eastAsia="宋体" w:cs="Times New Roman" w:asciiTheme="minorEastAsia" w:hAnsiTheme="minorEastAsia"/>
                <w:color w:val="auto"/>
                <w:sz w:val="24"/>
                <w:szCs w:val="24"/>
                <w:highlight w:val="none"/>
              </w:rPr>
              <w:t>月</w:t>
            </w:r>
            <w:r>
              <w:rPr>
                <w:rFonts w:eastAsia="宋体" w:cs="Times New Roman" w:asciiTheme="minorEastAsia" w:hAnsiTheme="minorEastAsia"/>
                <w:color w:val="auto"/>
                <w:sz w:val="24"/>
                <w:szCs w:val="24"/>
                <w:highlight w:val="none"/>
              </w:rPr>
              <w:t xml:space="preserve">    </w:t>
            </w:r>
            <w:r>
              <w:rPr>
                <w:rFonts w:hint="eastAsia" w:eastAsia="宋体" w:cs="Times New Roman" w:asciiTheme="minorEastAsia" w:hAnsiTheme="minorEastAsia"/>
                <w:color w:val="auto"/>
                <w:sz w:val="24"/>
                <w:szCs w:val="24"/>
                <w:highlight w:val="none"/>
              </w:rPr>
              <w:t>日</w:t>
            </w:r>
          </w:p>
        </w:tc>
      </w:tr>
    </w:tbl>
    <w:p>
      <w:pPr>
        <w:widowControl/>
        <w:spacing w:line="560" w:lineRule="exact"/>
        <w:ind w:firstLine="1560" w:firstLineChars="650"/>
        <w:jc w:val="left"/>
        <w:rPr>
          <w:rFonts w:ascii="宋体" w:hAnsi="宋体" w:eastAsia="宋体" w:cs="宋体"/>
          <w:color w:val="auto"/>
          <w:kern w:val="0"/>
          <w:sz w:val="24"/>
          <w:szCs w:val="24"/>
          <w:highlight w:val="none"/>
        </w:rPr>
      </w:pPr>
    </w:p>
    <w:p>
      <w:pPr>
        <w:spacing w:line="360" w:lineRule="auto"/>
        <w:rPr>
          <w:rFonts w:ascii="宋体" w:hAnsi="宋体" w:eastAsia="宋体" w:cs="宋体"/>
          <w:b/>
          <w:bCs/>
          <w:color w:val="auto"/>
          <w:szCs w:val="21"/>
          <w:highlight w:val="none"/>
        </w:rPr>
      </w:pPr>
    </w:p>
    <w:p>
      <w:pPr>
        <w:widowControl/>
        <w:jc w:val="left"/>
        <w:rPr>
          <w:rFonts w:ascii="宋体" w:hAnsi="宋体" w:eastAsia="宋体" w:cs="宋体"/>
          <w:b/>
          <w:bCs/>
          <w:color w:val="auto"/>
          <w:szCs w:val="21"/>
          <w:highlight w:val="none"/>
        </w:rPr>
      </w:pPr>
      <w:r>
        <w:rPr>
          <w:rFonts w:ascii="宋体" w:hAnsi="宋体" w:eastAsia="宋体" w:cs="宋体"/>
          <w:b/>
          <w:bCs/>
          <w:color w:val="auto"/>
          <w:szCs w:val="21"/>
          <w:highlight w:val="none"/>
        </w:rPr>
        <w:br w:type="page"/>
      </w:r>
    </w:p>
    <w:p>
      <w:pPr>
        <w:spacing w:line="360" w:lineRule="auto"/>
        <w:rPr>
          <w:rFonts w:ascii="宋体" w:hAnsi="宋体" w:eastAsia="宋体" w:cs="宋体"/>
          <w:color w:val="auto"/>
          <w:sz w:val="24"/>
          <w:szCs w:val="24"/>
          <w:highlight w:val="none"/>
        </w:rPr>
      </w:pPr>
      <w:r>
        <w:rPr>
          <w:rFonts w:hint="eastAsia" w:ascii="宋体" w:hAnsi="宋体" w:eastAsia="宋体" w:cs="宋体"/>
          <w:b/>
          <w:bCs/>
          <w:color w:val="auto"/>
          <w:szCs w:val="21"/>
          <w:highlight w:val="none"/>
        </w:rPr>
        <w:t>附件5：</w:t>
      </w:r>
    </w:p>
    <w:p>
      <w:pPr>
        <w:spacing w:line="360" w:lineRule="auto"/>
        <w:jc w:val="center"/>
        <w:rPr>
          <w:rFonts w:ascii="宋体" w:hAnsi="宋体" w:eastAsia="宋体" w:cs="宋体"/>
          <w:b/>
          <w:color w:val="auto"/>
          <w:sz w:val="28"/>
          <w:szCs w:val="28"/>
          <w:highlight w:val="none"/>
        </w:rPr>
      </w:pPr>
      <w:r>
        <w:rPr>
          <w:rFonts w:hint="eastAsia" w:ascii="宋体" w:hAnsi="宋体" w:eastAsia="宋体" w:cs="宋体"/>
          <w:b/>
          <w:color w:val="auto"/>
          <w:sz w:val="28"/>
          <w:szCs w:val="28"/>
          <w:highlight w:val="none"/>
        </w:rPr>
        <w:t>工程量报价</w:t>
      </w:r>
    </w:p>
    <w:tbl>
      <w:tblPr>
        <w:tblStyle w:val="21"/>
        <w:tblW w:w="91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346"/>
        <w:gridCol w:w="3432"/>
        <w:gridCol w:w="87"/>
        <w:gridCol w:w="1994"/>
        <w:gridCol w:w="2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95" w:hRule="atLeast"/>
        </w:trPr>
        <w:tc>
          <w:tcPr>
            <w:tcW w:w="6864" w:type="dxa"/>
            <w:gridSpan w:val="5"/>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40"/>
                <w:szCs w:val="40"/>
                <w:highlight w:val="none"/>
                <w:u w:val="none"/>
              </w:rPr>
            </w:pPr>
            <w:r>
              <w:rPr>
                <w:rFonts w:hint="eastAsia" w:ascii="宋体" w:hAnsi="宋体" w:eastAsia="宋体" w:cs="宋体"/>
                <w:b/>
                <w:i w:val="0"/>
                <w:color w:val="auto"/>
                <w:kern w:val="0"/>
                <w:sz w:val="40"/>
                <w:szCs w:val="40"/>
                <w:highlight w:val="none"/>
                <w:u w:val="none"/>
                <w:lang w:val="en-US" w:eastAsia="zh-CN" w:bidi="ar"/>
              </w:rPr>
              <w:t>单位工程汇总表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4869" w:type="dxa"/>
            <w:gridSpan w:val="3"/>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工程名称：石井净分公司生产区域道闸采购项目</w:t>
            </w:r>
          </w:p>
        </w:tc>
        <w:tc>
          <w:tcPr>
            <w:tcW w:w="1995" w:type="dxa"/>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标段：</w:t>
            </w:r>
          </w:p>
        </w:tc>
        <w:tc>
          <w:tcPr>
            <w:tcW w:w="2292" w:type="dxa"/>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trPr>
        <w:tc>
          <w:tcPr>
            <w:tcW w:w="1347"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序号</w:t>
            </w:r>
          </w:p>
        </w:tc>
        <w:tc>
          <w:tcPr>
            <w:tcW w:w="3435"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汇总内容</w:t>
            </w:r>
          </w:p>
        </w:tc>
        <w:tc>
          <w:tcPr>
            <w:tcW w:w="2082"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金额:(元)</w:t>
            </w:r>
          </w:p>
        </w:tc>
        <w:tc>
          <w:tcPr>
            <w:tcW w:w="2292" w:type="dxa"/>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其中：暂估价(元)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3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分部分项合计</w:t>
            </w:r>
          </w:p>
        </w:tc>
        <w:tc>
          <w:tcPr>
            <w:tcW w:w="208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229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w:t>
            </w:r>
          </w:p>
        </w:tc>
        <w:tc>
          <w:tcPr>
            <w:tcW w:w="3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措施合计</w:t>
            </w:r>
          </w:p>
        </w:tc>
        <w:tc>
          <w:tcPr>
            <w:tcW w:w="208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229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2.1</w:t>
            </w:r>
          </w:p>
        </w:tc>
        <w:tc>
          <w:tcPr>
            <w:tcW w:w="3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绿色施工安全防护措施费</w:t>
            </w:r>
          </w:p>
        </w:tc>
        <w:tc>
          <w:tcPr>
            <w:tcW w:w="208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229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2.2</w:t>
            </w:r>
          </w:p>
        </w:tc>
        <w:tc>
          <w:tcPr>
            <w:tcW w:w="3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其他措施费</w:t>
            </w:r>
          </w:p>
        </w:tc>
        <w:tc>
          <w:tcPr>
            <w:tcW w:w="208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229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w:t>
            </w:r>
          </w:p>
        </w:tc>
        <w:tc>
          <w:tcPr>
            <w:tcW w:w="3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其他项目</w:t>
            </w:r>
          </w:p>
        </w:tc>
        <w:tc>
          <w:tcPr>
            <w:tcW w:w="208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229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3.1</w:t>
            </w:r>
          </w:p>
        </w:tc>
        <w:tc>
          <w:tcPr>
            <w:tcW w:w="3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暂列金额</w:t>
            </w:r>
          </w:p>
        </w:tc>
        <w:tc>
          <w:tcPr>
            <w:tcW w:w="208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229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3.2</w:t>
            </w:r>
          </w:p>
        </w:tc>
        <w:tc>
          <w:tcPr>
            <w:tcW w:w="3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暂估价</w:t>
            </w:r>
          </w:p>
        </w:tc>
        <w:tc>
          <w:tcPr>
            <w:tcW w:w="208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229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3.3</w:t>
            </w:r>
          </w:p>
        </w:tc>
        <w:tc>
          <w:tcPr>
            <w:tcW w:w="3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计日工</w:t>
            </w:r>
          </w:p>
        </w:tc>
        <w:tc>
          <w:tcPr>
            <w:tcW w:w="208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229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3.4</w:t>
            </w:r>
          </w:p>
        </w:tc>
        <w:tc>
          <w:tcPr>
            <w:tcW w:w="3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总承包服务费</w:t>
            </w:r>
          </w:p>
        </w:tc>
        <w:tc>
          <w:tcPr>
            <w:tcW w:w="208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229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3.5</w:t>
            </w:r>
          </w:p>
        </w:tc>
        <w:tc>
          <w:tcPr>
            <w:tcW w:w="3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预算包干费</w:t>
            </w:r>
          </w:p>
        </w:tc>
        <w:tc>
          <w:tcPr>
            <w:tcW w:w="208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229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3.6</w:t>
            </w:r>
          </w:p>
        </w:tc>
        <w:tc>
          <w:tcPr>
            <w:tcW w:w="3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工程优质费</w:t>
            </w:r>
          </w:p>
        </w:tc>
        <w:tc>
          <w:tcPr>
            <w:tcW w:w="208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229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3.7</w:t>
            </w:r>
          </w:p>
        </w:tc>
        <w:tc>
          <w:tcPr>
            <w:tcW w:w="3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概算幅度差</w:t>
            </w:r>
          </w:p>
        </w:tc>
        <w:tc>
          <w:tcPr>
            <w:tcW w:w="208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229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3.8</w:t>
            </w:r>
          </w:p>
        </w:tc>
        <w:tc>
          <w:tcPr>
            <w:tcW w:w="3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索赔费用</w:t>
            </w:r>
          </w:p>
        </w:tc>
        <w:tc>
          <w:tcPr>
            <w:tcW w:w="208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229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3.9</w:t>
            </w:r>
          </w:p>
        </w:tc>
        <w:tc>
          <w:tcPr>
            <w:tcW w:w="3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现场签证费用</w:t>
            </w:r>
          </w:p>
        </w:tc>
        <w:tc>
          <w:tcPr>
            <w:tcW w:w="208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229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3.10</w:t>
            </w:r>
          </w:p>
        </w:tc>
        <w:tc>
          <w:tcPr>
            <w:tcW w:w="3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其他费用</w:t>
            </w:r>
          </w:p>
        </w:tc>
        <w:tc>
          <w:tcPr>
            <w:tcW w:w="208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229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w:t>
            </w:r>
          </w:p>
        </w:tc>
        <w:tc>
          <w:tcPr>
            <w:tcW w:w="3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税前工程造价</w:t>
            </w:r>
          </w:p>
        </w:tc>
        <w:tc>
          <w:tcPr>
            <w:tcW w:w="208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229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w:t>
            </w:r>
          </w:p>
        </w:tc>
        <w:tc>
          <w:tcPr>
            <w:tcW w:w="3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增值税销项税额</w:t>
            </w:r>
          </w:p>
        </w:tc>
        <w:tc>
          <w:tcPr>
            <w:tcW w:w="208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229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6</w:t>
            </w:r>
          </w:p>
        </w:tc>
        <w:tc>
          <w:tcPr>
            <w:tcW w:w="3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总造价</w:t>
            </w:r>
          </w:p>
        </w:tc>
        <w:tc>
          <w:tcPr>
            <w:tcW w:w="208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229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7</w:t>
            </w:r>
          </w:p>
        </w:tc>
        <w:tc>
          <w:tcPr>
            <w:tcW w:w="3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人工费</w:t>
            </w:r>
          </w:p>
        </w:tc>
        <w:tc>
          <w:tcPr>
            <w:tcW w:w="208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229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bl>
    <w:p>
      <w:pPr>
        <w:spacing w:line="360" w:lineRule="auto"/>
        <w:rPr>
          <w:rFonts w:ascii="宋体" w:hAnsi="宋体" w:eastAsia="宋体" w:cs="宋体"/>
          <w:b/>
          <w:bCs/>
          <w:color w:val="auto"/>
          <w:szCs w:val="21"/>
          <w:highlight w:val="none"/>
        </w:rPr>
      </w:pPr>
    </w:p>
    <w:tbl>
      <w:tblPr>
        <w:tblStyle w:val="21"/>
        <w:tblW w:w="96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56"/>
        <w:gridCol w:w="1487"/>
        <w:gridCol w:w="2833"/>
        <w:gridCol w:w="297"/>
        <w:gridCol w:w="595"/>
        <w:gridCol w:w="690"/>
        <w:gridCol w:w="175"/>
        <w:gridCol w:w="824"/>
        <w:gridCol w:w="1019"/>
        <w:gridCol w:w="8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95" w:hRule="atLeast"/>
        </w:trPr>
        <w:tc>
          <w:tcPr>
            <w:tcW w:w="9683" w:type="dxa"/>
            <w:gridSpan w:val="10"/>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40"/>
                <w:szCs w:val="40"/>
                <w:highlight w:val="none"/>
                <w:u w:val="none"/>
              </w:rPr>
            </w:pPr>
            <w:r>
              <w:rPr>
                <w:rFonts w:hint="eastAsia" w:ascii="宋体" w:hAnsi="宋体" w:eastAsia="宋体" w:cs="宋体"/>
                <w:b/>
                <w:i w:val="0"/>
                <w:color w:val="auto"/>
                <w:kern w:val="0"/>
                <w:sz w:val="40"/>
                <w:szCs w:val="40"/>
                <w:highlight w:val="none"/>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5181" w:type="dxa"/>
            <w:gridSpan w:val="3"/>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工程名称：石井净分公司生产区域道闸采购项目</w:t>
            </w:r>
          </w:p>
        </w:tc>
        <w:tc>
          <w:tcPr>
            <w:tcW w:w="1757" w:type="dxa"/>
            <w:gridSpan w:val="4"/>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标段：</w:t>
            </w:r>
          </w:p>
        </w:tc>
        <w:tc>
          <w:tcPr>
            <w:tcW w:w="2745" w:type="dxa"/>
            <w:gridSpan w:val="3"/>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858" w:type="dxa"/>
            <w:vMerge w:val="restart"/>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序号</w:t>
            </w:r>
          </w:p>
        </w:tc>
        <w:tc>
          <w:tcPr>
            <w:tcW w:w="1488"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项目名称</w:t>
            </w:r>
          </w:p>
        </w:tc>
        <w:tc>
          <w:tcPr>
            <w:tcW w:w="3132"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项目特征描述</w:t>
            </w:r>
          </w:p>
        </w:tc>
        <w:tc>
          <w:tcPr>
            <w:tcW w:w="595"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计量单位</w:t>
            </w:r>
          </w:p>
        </w:tc>
        <w:tc>
          <w:tcPr>
            <w:tcW w:w="690"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工程量</w:t>
            </w:r>
          </w:p>
        </w:tc>
        <w:tc>
          <w:tcPr>
            <w:tcW w:w="2920" w:type="dxa"/>
            <w:gridSpan w:val="4"/>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858" w:type="dxa"/>
            <w:vMerge w:val="continue"/>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488"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3132"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95"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690"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000"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综合单价</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综合合价</w:t>
            </w:r>
          </w:p>
        </w:tc>
        <w:tc>
          <w:tcPr>
            <w:tcW w:w="90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858" w:type="dxa"/>
            <w:vMerge w:val="continue"/>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488"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3132"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95"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690"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000"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85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48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整个项目</w:t>
            </w:r>
          </w:p>
        </w:tc>
        <w:tc>
          <w:tcPr>
            <w:tcW w:w="31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59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10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85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148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双目动态人脸识别机</w:t>
            </w:r>
          </w:p>
        </w:tc>
        <w:tc>
          <w:tcPr>
            <w:tcW w:w="31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1.名称:人体生物特征识别</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2.规格：符合设计要求</w:t>
            </w:r>
          </w:p>
        </w:tc>
        <w:tc>
          <w:tcPr>
            <w:tcW w:w="59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46</w:t>
            </w:r>
          </w:p>
        </w:tc>
        <w:tc>
          <w:tcPr>
            <w:tcW w:w="10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85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w:t>
            </w:r>
          </w:p>
        </w:tc>
        <w:tc>
          <w:tcPr>
            <w:tcW w:w="148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4口POE交换机</w:t>
            </w:r>
          </w:p>
        </w:tc>
        <w:tc>
          <w:tcPr>
            <w:tcW w:w="31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1.名称:4口POE交换机</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2.功能:带POE供电</w:t>
            </w:r>
          </w:p>
        </w:tc>
        <w:tc>
          <w:tcPr>
            <w:tcW w:w="59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25</w:t>
            </w:r>
          </w:p>
        </w:tc>
        <w:tc>
          <w:tcPr>
            <w:tcW w:w="10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85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w:t>
            </w:r>
          </w:p>
        </w:tc>
        <w:tc>
          <w:tcPr>
            <w:tcW w:w="148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门锁安装</w:t>
            </w:r>
          </w:p>
        </w:tc>
        <w:tc>
          <w:tcPr>
            <w:tcW w:w="31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1.名称:门锁</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2.规格:280KG电磁吸力锁</w:t>
            </w:r>
          </w:p>
        </w:tc>
        <w:tc>
          <w:tcPr>
            <w:tcW w:w="59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46</w:t>
            </w:r>
          </w:p>
        </w:tc>
        <w:tc>
          <w:tcPr>
            <w:tcW w:w="10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85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w:t>
            </w:r>
          </w:p>
        </w:tc>
        <w:tc>
          <w:tcPr>
            <w:tcW w:w="148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门禁开关</w:t>
            </w:r>
          </w:p>
        </w:tc>
        <w:tc>
          <w:tcPr>
            <w:tcW w:w="31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1.名称:门禁按钮</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2.规格:符合设计要求</w:t>
            </w:r>
          </w:p>
        </w:tc>
        <w:tc>
          <w:tcPr>
            <w:tcW w:w="59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46</w:t>
            </w:r>
          </w:p>
        </w:tc>
        <w:tc>
          <w:tcPr>
            <w:tcW w:w="10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85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w:t>
            </w:r>
          </w:p>
        </w:tc>
        <w:tc>
          <w:tcPr>
            <w:tcW w:w="148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门禁电源</w:t>
            </w:r>
          </w:p>
        </w:tc>
        <w:tc>
          <w:tcPr>
            <w:tcW w:w="31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1.名称:门禁电源</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2.规格:符合设计要求</w:t>
            </w:r>
          </w:p>
        </w:tc>
        <w:tc>
          <w:tcPr>
            <w:tcW w:w="59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46</w:t>
            </w:r>
          </w:p>
        </w:tc>
        <w:tc>
          <w:tcPr>
            <w:tcW w:w="10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25" w:hRule="atLeast"/>
        </w:trPr>
        <w:tc>
          <w:tcPr>
            <w:tcW w:w="85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6</w:t>
            </w:r>
          </w:p>
        </w:tc>
        <w:tc>
          <w:tcPr>
            <w:tcW w:w="148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自动平移人行道闸</w:t>
            </w:r>
          </w:p>
        </w:tc>
        <w:tc>
          <w:tcPr>
            <w:tcW w:w="31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1.名称:自动平移人行道闸</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2.规格:宽：1150cm;高：1150cm</w:t>
            </w:r>
          </w:p>
        </w:tc>
        <w:tc>
          <w:tcPr>
            <w:tcW w:w="59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13</w:t>
            </w:r>
          </w:p>
        </w:tc>
        <w:tc>
          <w:tcPr>
            <w:tcW w:w="10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85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7</w:t>
            </w:r>
          </w:p>
        </w:tc>
        <w:tc>
          <w:tcPr>
            <w:tcW w:w="148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配管</w:t>
            </w:r>
          </w:p>
        </w:tc>
        <w:tc>
          <w:tcPr>
            <w:tcW w:w="31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1.名称:镀锌电线管</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2.规格:DN20</w:t>
            </w:r>
          </w:p>
        </w:tc>
        <w:tc>
          <w:tcPr>
            <w:tcW w:w="59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m</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2200</w:t>
            </w:r>
          </w:p>
        </w:tc>
        <w:tc>
          <w:tcPr>
            <w:tcW w:w="10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90" w:hRule="atLeast"/>
        </w:trPr>
        <w:tc>
          <w:tcPr>
            <w:tcW w:w="85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8</w:t>
            </w:r>
          </w:p>
        </w:tc>
        <w:tc>
          <w:tcPr>
            <w:tcW w:w="148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超五类网线</w:t>
            </w:r>
          </w:p>
        </w:tc>
        <w:tc>
          <w:tcPr>
            <w:tcW w:w="31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1.名称:双绞线缆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2.规格及型号:符合设计要求</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3.线缆敷设、水晶头制安、标记、卡接</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4.测试</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5.其他:符合规范要求</w:t>
            </w:r>
          </w:p>
        </w:tc>
        <w:tc>
          <w:tcPr>
            <w:tcW w:w="59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m</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2200</w:t>
            </w:r>
          </w:p>
        </w:tc>
        <w:tc>
          <w:tcPr>
            <w:tcW w:w="10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85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9</w:t>
            </w:r>
          </w:p>
        </w:tc>
        <w:tc>
          <w:tcPr>
            <w:tcW w:w="148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双绞线缆测试</w:t>
            </w:r>
          </w:p>
        </w:tc>
        <w:tc>
          <w:tcPr>
            <w:tcW w:w="31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1.测试类别:双绞线缆测试</w:t>
            </w:r>
          </w:p>
        </w:tc>
        <w:tc>
          <w:tcPr>
            <w:tcW w:w="59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链路</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46</w:t>
            </w:r>
          </w:p>
        </w:tc>
        <w:tc>
          <w:tcPr>
            <w:tcW w:w="10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85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w:t>
            </w:r>
          </w:p>
        </w:tc>
        <w:tc>
          <w:tcPr>
            <w:tcW w:w="148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路面切割</w:t>
            </w:r>
          </w:p>
        </w:tc>
        <w:tc>
          <w:tcPr>
            <w:tcW w:w="31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1.面层:沥青混凝土</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2.厚度:5cm</w:t>
            </w:r>
          </w:p>
        </w:tc>
        <w:tc>
          <w:tcPr>
            <w:tcW w:w="59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m</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14</w:t>
            </w:r>
          </w:p>
        </w:tc>
        <w:tc>
          <w:tcPr>
            <w:tcW w:w="10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25" w:hRule="atLeast"/>
        </w:trPr>
        <w:tc>
          <w:tcPr>
            <w:tcW w:w="85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11</w:t>
            </w:r>
          </w:p>
        </w:tc>
        <w:tc>
          <w:tcPr>
            <w:tcW w:w="148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沥青贯入式</w:t>
            </w:r>
          </w:p>
        </w:tc>
        <w:tc>
          <w:tcPr>
            <w:tcW w:w="31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1.名称:路面恢复</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2.用料:符合设计要求沥青</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3.厚度:5cm</w:t>
            </w:r>
          </w:p>
        </w:tc>
        <w:tc>
          <w:tcPr>
            <w:tcW w:w="59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m2</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1.5</w:t>
            </w:r>
          </w:p>
        </w:tc>
        <w:tc>
          <w:tcPr>
            <w:tcW w:w="10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85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12</w:t>
            </w:r>
          </w:p>
        </w:tc>
        <w:tc>
          <w:tcPr>
            <w:tcW w:w="148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系统调试</w:t>
            </w:r>
          </w:p>
        </w:tc>
        <w:tc>
          <w:tcPr>
            <w:tcW w:w="31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1.名称:安全防范分系统调试</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2.通道数:符合设计要求</w:t>
            </w:r>
          </w:p>
        </w:tc>
        <w:tc>
          <w:tcPr>
            <w:tcW w:w="59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系统</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10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85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13</w:t>
            </w:r>
          </w:p>
        </w:tc>
        <w:tc>
          <w:tcPr>
            <w:tcW w:w="148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拆除路面</w:t>
            </w:r>
          </w:p>
        </w:tc>
        <w:tc>
          <w:tcPr>
            <w:tcW w:w="31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1.材质:混凝土路面拆除</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2.厚度:5cm</w:t>
            </w:r>
          </w:p>
        </w:tc>
        <w:tc>
          <w:tcPr>
            <w:tcW w:w="59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m2</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0.7</w:t>
            </w:r>
          </w:p>
        </w:tc>
        <w:tc>
          <w:tcPr>
            <w:tcW w:w="10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85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48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措施项目</w:t>
            </w:r>
          </w:p>
        </w:tc>
        <w:tc>
          <w:tcPr>
            <w:tcW w:w="31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59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10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85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14</w:t>
            </w:r>
          </w:p>
        </w:tc>
        <w:tc>
          <w:tcPr>
            <w:tcW w:w="148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高层施工增加</w:t>
            </w:r>
          </w:p>
        </w:tc>
        <w:tc>
          <w:tcPr>
            <w:tcW w:w="31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59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项</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10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85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15</w:t>
            </w:r>
          </w:p>
        </w:tc>
        <w:tc>
          <w:tcPr>
            <w:tcW w:w="148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脚手架搭拆费</w:t>
            </w:r>
          </w:p>
        </w:tc>
        <w:tc>
          <w:tcPr>
            <w:tcW w:w="31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59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项</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10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7763" w:type="dxa"/>
            <w:gridSpan w:val="8"/>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本页小计</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7763" w:type="dxa"/>
            <w:gridSpan w:val="8"/>
            <w:tcBorders>
              <w:top w:val="single" w:color="000000" w:sz="4" w:space="0"/>
              <w:left w:val="single" w:color="000000" w:sz="8"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合   计</w:t>
            </w:r>
          </w:p>
        </w:tc>
        <w:tc>
          <w:tcPr>
            <w:tcW w:w="1020"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900" w:type="dxa"/>
            <w:tcBorders>
              <w:top w:val="single" w:color="000000" w:sz="4" w:space="0"/>
              <w:left w:val="single" w:color="000000" w:sz="4" w:space="0"/>
              <w:bottom w:val="single" w:color="000000" w:sz="8"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bl>
    <w:p>
      <w:pPr>
        <w:spacing w:line="360" w:lineRule="auto"/>
        <w:rPr>
          <w:rFonts w:ascii="宋体" w:hAnsi="宋体" w:eastAsia="宋体" w:cs="宋体"/>
          <w:b/>
          <w:bCs/>
          <w:color w:val="auto"/>
          <w:szCs w:val="21"/>
          <w:highlight w:val="none"/>
        </w:rPr>
      </w:pPr>
    </w:p>
    <w:tbl>
      <w:tblPr>
        <w:tblStyle w:val="21"/>
        <w:tblW w:w="96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03"/>
        <w:gridCol w:w="2"/>
        <w:gridCol w:w="1719"/>
        <w:gridCol w:w="6"/>
        <w:gridCol w:w="1601"/>
        <w:gridCol w:w="9"/>
        <w:gridCol w:w="900"/>
        <w:gridCol w:w="10"/>
        <w:gridCol w:w="77"/>
        <w:gridCol w:w="1294"/>
        <w:gridCol w:w="11"/>
        <w:gridCol w:w="783"/>
        <w:gridCol w:w="192"/>
        <w:gridCol w:w="12"/>
        <w:gridCol w:w="947"/>
        <w:gridCol w:w="13"/>
        <w:gridCol w:w="1281"/>
        <w:gridCol w:w="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4" w:type="dxa"/>
          <w:trHeight w:val="795" w:hRule="atLeast"/>
        </w:trPr>
        <w:tc>
          <w:tcPr>
            <w:tcW w:w="9660" w:type="dxa"/>
            <w:gridSpan w:val="17"/>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40"/>
                <w:szCs w:val="40"/>
                <w:highlight w:val="none"/>
                <w:u w:val="none"/>
              </w:rPr>
            </w:pPr>
            <w:r>
              <w:rPr>
                <w:rFonts w:hint="eastAsia" w:ascii="宋体" w:hAnsi="宋体" w:eastAsia="宋体" w:cs="宋体"/>
                <w:b/>
                <w:i w:val="0"/>
                <w:color w:val="auto"/>
                <w:kern w:val="0"/>
                <w:sz w:val="40"/>
                <w:szCs w:val="40"/>
                <w:highlight w:val="none"/>
                <w:u w:val="none"/>
                <w:lang w:val="en-US" w:eastAsia="zh-CN" w:bidi="ar"/>
              </w:rPr>
              <w:t>总价措施项目清单与计价表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4" w:type="dxa"/>
          <w:trHeight w:val="825" w:hRule="atLeast"/>
        </w:trPr>
        <w:tc>
          <w:tcPr>
            <w:tcW w:w="5127" w:type="dxa"/>
            <w:gridSpan w:val="9"/>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工程名称：石井净分公司生产区域道闸采购项目</w:t>
            </w:r>
          </w:p>
        </w:tc>
        <w:tc>
          <w:tcPr>
            <w:tcW w:w="2088" w:type="dxa"/>
            <w:gridSpan w:val="3"/>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标段：</w:t>
            </w:r>
          </w:p>
        </w:tc>
        <w:tc>
          <w:tcPr>
            <w:tcW w:w="2445" w:type="dxa"/>
            <w:gridSpan w:val="5"/>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第 1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4" w:type="dxa"/>
          <w:trHeight w:val="570" w:hRule="atLeast"/>
        </w:trPr>
        <w:tc>
          <w:tcPr>
            <w:tcW w:w="803"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序号</w:t>
            </w:r>
          </w:p>
        </w:tc>
        <w:tc>
          <w:tcPr>
            <w:tcW w:w="1721"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项目名称</w:t>
            </w:r>
          </w:p>
        </w:tc>
        <w:tc>
          <w:tcPr>
            <w:tcW w:w="1607"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计算基础</w:t>
            </w:r>
          </w:p>
        </w:tc>
        <w:tc>
          <w:tcPr>
            <w:tcW w:w="909"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费率</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w:t>
            </w:r>
          </w:p>
        </w:tc>
        <w:tc>
          <w:tcPr>
            <w:tcW w:w="1381" w:type="dxa"/>
            <w:gridSpan w:val="3"/>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(元)</w:t>
            </w:r>
          </w:p>
        </w:tc>
        <w:tc>
          <w:tcPr>
            <w:tcW w:w="986" w:type="dxa"/>
            <w:gridSpan w:val="3"/>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调整</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费率(%)</w:t>
            </w:r>
          </w:p>
        </w:tc>
        <w:tc>
          <w:tcPr>
            <w:tcW w:w="959"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调整后</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金额(元)</w:t>
            </w:r>
          </w:p>
        </w:tc>
        <w:tc>
          <w:tcPr>
            <w:tcW w:w="1294" w:type="dxa"/>
            <w:gridSpan w:val="2"/>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4" w:type="dxa"/>
          <w:trHeight w:val="1590" w:hRule="atLeast"/>
        </w:trPr>
        <w:tc>
          <w:tcPr>
            <w:tcW w:w="803"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172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绿色施工安全防护措施费</w:t>
            </w:r>
          </w:p>
        </w:tc>
        <w:tc>
          <w:tcPr>
            <w:tcW w:w="160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分部分项人工费+分部分项机具费</w:t>
            </w:r>
          </w:p>
        </w:tc>
        <w:tc>
          <w:tcPr>
            <w:tcW w:w="90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35.77</w:t>
            </w:r>
          </w:p>
        </w:tc>
        <w:tc>
          <w:tcPr>
            <w:tcW w:w="1381"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sz w:val="20"/>
                <w:szCs w:val="20"/>
                <w:highlight w:val="none"/>
                <w:u w:val="none"/>
                <w:lang w:val="en-US"/>
              </w:rPr>
            </w:pPr>
            <w:r>
              <w:rPr>
                <w:rFonts w:hint="eastAsia" w:ascii="宋体" w:hAnsi="宋体" w:eastAsia="宋体" w:cs="宋体"/>
                <w:i w:val="0"/>
                <w:color w:val="auto"/>
                <w:kern w:val="0"/>
                <w:sz w:val="20"/>
                <w:szCs w:val="20"/>
                <w:highlight w:val="none"/>
                <w:u w:val="none"/>
                <w:lang w:val="en-US" w:eastAsia="zh-CN" w:bidi="ar"/>
              </w:rPr>
              <w:t>21360.19</w:t>
            </w:r>
          </w:p>
        </w:tc>
        <w:tc>
          <w:tcPr>
            <w:tcW w:w="98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95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1294"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以分部分项的人工费与施工机具费之和为计算基础，费率35.77%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4" w:type="dxa"/>
          <w:trHeight w:val="570" w:hRule="atLeast"/>
        </w:trPr>
        <w:tc>
          <w:tcPr>
            <w:tcW w:w="803"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w:t>
            </w:r>
          </w:p>
        </w:tc>
        <w:tc>
          <w:tcPr>
            <w:tcW w:w="172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安装与生产同时进行增加费用</w:t>
            </w:r>
          </w:p>
        </w:tc>
        <w:tc>
          <w:tcPr>
            <w:tcW w:w="160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分部分项人工费</w:t>
            </w:r>
          </w:p>
        </w:tc>
        <w:tc>
          <w:tcPr>
            <w:tcW w:w="90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w:t>
            </w:r>
          </w:p>
        </w:tc>
        <w:tc>
          <w:tcPr>
            <w:tcW w:w="1381"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98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95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1294"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按人工费的10%计算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4" w:type="dxa"/>
          <w:trHeight w:val="570" w:hRule="atLeast"/>
        </w:trPr>
        <w:tc>
          <w:tcPr>
            <w:tcW w:w="803"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w:t>
            </w:r>
          </w:p>
        </w:tc>
        <w:tc>
          <w:tcPr>
            <w:tcW w:w="172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在有害身体健康环境中施工增加费</w:t>
            </w:r>
          </w:p>
        </w:tc>
        <w:tc>
          <w:tcPr>
            <w:tcW w:w="160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分部分项人工费</w:t>
            </w:r>
          </w:p>
        </w:tc>
        <w:tc>
          <w:tcPr>
            <w:tcW w:w="90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w:t>
            </w:r>
          </w:p>
        </w:tc>
        <w:tc>
          <w:tcPr>
            <w:tcW w:w="1381"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98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95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1294"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按人工费的10%计算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4" w:type="dxa"/>
          <w:trHeight w:val="1080" w:hRule="atLeast"/>
        </w:trPr>
        <w:tc>
          <w:tcPr>
            <w:tcW w:w="803"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w:t>
            </w:r>
          </w:p>
        </w:tc>
        <w:tc>
          <w:tcPr>
            <w:tcW w:w="172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在地下（暗）室、设备及大口径管道内等特殊施工部位进行施工增加费</w:t>
            </w:r>
          </w:p>
        </w:tc>
        <w:tc>
          <w:tcPr>
            <w:tcW w:w="160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90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30</w:t>
            </w:r>
          </w:p>
        </w:tc>
        <w:tc>
          <w:tcPr>
            <w:tcW w:w="1381"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98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95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1294"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按该部分人工费的30%计算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4" w:type="dxa"/>
          <w:trHeight w:val="2865" w:hRule="atLeast"/>
        </w:trPr>
        <w:tc>
          <w:tcPr>
            <w:tcW w:w="803"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w:t>
            </w:r>
          </w:p>
        </w:tc>
        <w:tc>
          <w:tcPr>
            <w:tcW w:w="172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赶工措施费</w:t>
            </w:r>
          </w:p>
        </w:tc>
        <w:tc>
          <w:tcPr>
            <w:tcW w:w="160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分部分项人工费+分部分项机具费</w:t>
            </w:r>
          </w:p>
        </w:tc>
        <w:tc>
          <w:tcPr>
            <w:tcW w:w="90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w:t>
            </w:r>
          </w:p>
        </w:tc>
        <w:tc>
          <w:tcPr>
            <w:tcW w:w="1381"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98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95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1294"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赶工措施费=（1-δ）*分部分项（人工费+施工机具费）*0.344 （0.8≤δ＜1   式中：δ=合同工期/定额工期）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4" w:type="dxa"/>
          <w:trHeight w:val="1080" w:hRule="atLeast"/>
        </w:trPr>
        <w:tc>
          <w:tcPr>
            <w:tcW w:w="803"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6</w:t>
            </w:r>
          </w:p>
        </w:tc>
        <w:tc>
          <w:tcPr>
            <w:tcW w:w="172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夜间施工增加费</w:t>
            </w:r>
          </w:p>
        </w:tc>
        <w:tc>
          <w:tcPr>
            <w:tcW w:w="160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90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w:t>
            </w:r>
          </w:p>
        </w:tc>
        <w:tc>
          <w:tcPr>
            <w:tcW w:w="1381"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98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95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1294"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按其夜间施工项目人工费的20%计算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4" w:type="dxa"/>
          <w:trHeight w:val="1080" w:hRule="atLeast"/>
        </w:trPr>
        <w:tc>
          <w:tcPr>
            <w:tcW w:w="803"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7</w:t>
            </w:r>
          </w:p>
        </w:tc>
        <w:tc>
          <w:tcPr>
            <w:tcW w:w="172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交通干扰工程施工增加费</w:t>
            </w:r>
          </w:p>
        </w:tc>
        <w:tc>
          <w:tcPr>
            <w:tcW w:w="160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90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w:t>
            </w:r>
          </w:p>
        </w:tc>
        <w:tc>
          <w:tcPr>
            <w:tcW w:w="1381"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98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95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1294"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按在市政道路上施工项目人工费的10%计算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4" w:type="dxa"/>
          <w:trHeight w:val="2355" w:hRule="atLeast"/>
        </w:trPr>
        <w:tc>
          <w:tcPr>
            <w:tcW w:w="803"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8</w:t>
            </w:r>
          </w:p>
        </w:tc>
        <w:tc>
          <w:tcPr>
            <w:tcW w:w="172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文明工地增加费</w:t>
            </w:r>
          </w:p>
        </w:tc>
        <w:tc>
          <w:tcPr>
            <w:tcW w:w="160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分部分项人工费+分部分项机具费</w:t>
            </w:r>
          </w:p>
        </w:tc>
        <w:tc>
          <w:tcPr>
            <w:tcW w:w="90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w:t>
            </w:r>
          </w:p>
        </w:tc>
        <w:tc>
          <w:tcPr>
            <w:tcW w:w="1381"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98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95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1294"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以分部分项的人工费与施工机具费之和为计算基础；市级文明工地1.00%；省级文明工地2.00%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4" w:type="dxa"/>
          <w:trHeight w:val="795" w:hRule="atLeast"/>
        </w:trPr>
        <w:tc>
          <w:tcPr>
            <w:tcW w:w="803" w:type="dxa"/>
            <w:tcBorders>
              <w:top w:val="single" w:color="000000" w:sz="4" w:space="0"/>
              <w:left w:val="single" w:color="000000" w:sz="8"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9</w:t>
            </w:r>
          </w:p>
        </w:tc>
        <w:tc>
          <w:tcPr>
            <w:tcW w:w="1721"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地下管线交叉降效费</w:t>
            </w:r>
          </w:p>
        </w:tc>
        <w:tc>
          <w:tcPr>
            <w:tcW w:w="1607"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909"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1381" w:type="dxa"/>
            <w:gridSpan w:val="3"/>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986" w:type="dxa"/>
            <w:gridSpan w:val="3"/>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959"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1294" w:type="dxa"/>
            <w:gridSpan w:val="2"/>
            <w:tcBorders>
              <w:top w:val="single" w:color="000000" w:sz="4" w:space="0"/>
              <w:left w:val="single" w:color="000000" w:sz="4" w:space="0"/>
              <w:bottom w:val="single" w:color="000000" w:sz="8"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按实际发生或经批准的施工方案计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080" w:hRule="atLeast"/>
        </w:trPr>
        <w:tc>
          <w:tcPr>
            <w:tcW w:w="805"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w:t>
            </w:r>
          </w:p>
        </w:tc>
        <w:tc>
          <w:tcPr>
            <w:tcW w:w="172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其他费用</w:t>
            </w:r>
          </w:p>
        </w:tc>
        <w:tc>
          <w:tcPr>
            <w:tcW w:w="161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1382"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987"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1295"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按实际发生或经批准的施工组织设计方案计算</w:t>
            </w:r>
          </w:p>
        </w:tc>
      </w:tr>
    </w:tbl>
    <w:p>
      <w:pPr>
        <w:spacing w:line="360" w:lineRule="auto"/>
        <w:rPr>
          <w:rFonts w:ascii="宋体" w:hAnsi="宋体" w:eastAsia="宋体" w:cs="宋体"/>
          <w:b/>
          <w:bCs/>
          <w:color w:val="auto"/>
          <w:szCs w:val="21"/>
          <w:highlight w:val="none"/>
        </w:rPr>
      </w:pPr>
    </w:p>
    <w:tbl>
      <w:tblPr>
        <w:tblStyle w:val="21"/>
        <w:tblW w:w="95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241"/>
        <w:gridCol w:w="2861"/>
        <w:gridCol w:w="4"/>
        <w:gridCol w:w="1097"/>
        <w:gridCol w:w="781"/>
        <w:gridCol w:w="5"/>
        <w:gridCol w:w="1008"/>
        <w:gridCol w:w="510"/>
        <w:gridCol w:w="7"/>
        <w:gridCol w:w="2056"/>
        <w:gridCol w:w="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0" w:type="dxa"/>
          <w:trHeight w:val="360" w:hRule="atLeast"/>
        </w:trPr>
        <w:tc>
          <w:tcPr>
            <w:tcW w:w="6998" w:type="dxa"/>
            <w:gridSpan w:val="7"/>
            <w:tcBorders>
              <w:top w:val="nil"/>
              <w:left w:val="nil"/>
              <w:bottom w:val="nil"/>
              <w:right w:val="nil"/>
            </w:tcBorders>
            <w:shd w:val="clear" w:color="FFFFFF" w:fill="FFFFFF"/>
            <w:tcMar>
              <w:top w:w="15" w:type="dxa"/>
              <w:left w:w="15" w:type="dxa"/>
              <w:right w:w="15" w:type="dxa"/>
            </w:tcMar>
            <w:vAlign w:val="center"/>
          </w:tcPr>
          <w:p>
            <w:pPr>
              <w:jc w:val="center"/>
              <w:rPr>
                <w:rFonts w:hint="eastAsia" w:ascii="宋体" w:hAnsi="宋体" w:eastAsia="宋体" w:cs="宋体"/>
                <w:b/>
                <w:i w:val="0"/>
                <w:color w:val="auto"/>
                <w:sz w:val="20"/>
                <w:szCs w:val="20"/>
                <w:highlight w:val="none"/>
                <w:u w:val="none"/>
              </w:rPr>
            </w:pPr>
          </w:p>
        </w:tc>
        <w:tc>
          <w:tcPr>
            <w:tcW w:w="2572" w:type="dxa"/>
            <w:gridSpan w:val="3"/>
            <w:tcBorders>
              <w:top w:val="nil"/>
              <w:left w:val="nil"/>
              <w:bottom w:val="nil"/>
              <w:right w:val="nil"/>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0" w:type="dxa"/>
          <w:trHeight w:val="795" w:hRule="atLeast"/>
        </w:trPr>
        <w:tc>
          <w:tcPr>
            <w:tcW w:w="9570" w:type="dxa"/>
            <w:gridSpan w:val="10"/>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40"/>
                <w:szCs w:val="40"/>
                <w:highlight w:val="none"/>
                <w:u w:val="none"/>
              </w:rPr>
            </w:pPr>
            <w:r>
              <w:rPr>
                <w:rFonts w:hint="eastAsia" w:ascii="宋体" w:hAnsi="宋体" w:eastAsia="宋体" w:cs="宋体"/>
                <w:b/>
                <w:i w:val="0"/>
                <w:color w:val="auto"/>
                <w:kern w:val="0"/>
                <w:sz w:val="40"/>
                <w:szCs w:val="40"/>
                <w:highlight w:val="none"/>
                <w:u w:val="none"/>
                <w:lang w:val="en-US" w:eastAsia="zh-CN" w:bidi="ar"/>
              </w:rPr>
              <w:t>其他项目清单与计价汇总表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0" w:type="dxa"/>
          <w:trHeight w:val="570" w:hRule="atLeast"/>
        </w:trPr>
        <w:tc>
          <w:tcPr>
            <w:tcW w:w="5204" w:type="dxa"/>
            <w:gridSpan w:val="4"/>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工程名称：石井净分公司生产区域道闸采购项目</w:t>
            </w:r>
          </w:p>
        </w:tc>
        <w:tc>
          <w:tcPr>
            <w:tcW w:w="1794" w:type="dxa"/>
            <w:gridSpan w:val="3"/>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标段：</w:t>
            </w:r>
          </w:p>
        </w:tc>
        <w:tc>
          <w:tcPr>
            <w:tcW w:w="2572" w:type="dxa"/>
            <w:gridSpan w:val="3"/>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0" w:type="dxa"/>
          <w:trHeight w:val="375" w:hRule="atLeast"/>
        </w:trPr>
        <w:tc>
          <w:tcPr>
            <w:tcW w:w="1241"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序号</w:t>
            </w:r>
          </w:p>
        </w:tc>
        <w:tc>
          <w:tcPr>
            <w:tcW w:w="2861"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项目名称</w:t>
            </w:r>
          </w:p>
        </w:tc>
        <w:tc>
          <w:tcPr>
            <w:tcW w:w="1882" w:type="dxa"/>
            <w:gridSpan w:val="3"/>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金额（元）</w:t>
            </w:r>
          </w:p>
        </w:tc>
        <w:tc>
          <w:tcPr>
            <w:tcW w:w="1523" w:type="dxa"/>
            <w:gridSpan w:val="3"/>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结算金额（元）</w:t>
            </w:r>
          </w:p>
        </w:tc>
        <w:tc>
          <w:tcPr>
            <w:tcW w:w="2063" w:type="dxa"/>
            <w:gridSpan w:val="2"/>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0" w:type="dxa"/>
          <w:trHeight w:val="360" w:hRule="atLeast"/>
        </w:trPr>
        <w:tc>
          <w:tcPr>
            <w:tcW w:w="1241"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暂列金额</w:t>
            </w:r>
          </w:p>
        </w:tc>
        <w:tc>
          <w:tcPr>
            <w:tcW w:w="1882"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sz w:val="20"/>
                <w:szCs w:val="20"/>
                <w:highlight w:val="none"/>
                <w:u w:val="none"/>
                <w:lang w:val="en-US"/>
              </w:rPr>
            </w:pPr>
            <w:r>
              <w:rPr>
                <w:rFonts w:hint="eastAsia" w:ascii="宋体" w:hAnsi="宋体" w:eastAsia="宋体" w:cs="宋体"/>
                <w:i w:val="0"/>
                <w:color w:val="auto"/>
                <w:kern w:val="0"/>
                <w:sz w:val="20"/>
                <w:szCs w:val="20"/>
                <w:highlight w:val="none"/>
                <w:u w:val="none"/>
                <w:lang w:val="en-US" w:eastAsia="zh-CN" w:bidi="ar"/>
              </w:rPr>
              <w:t>32236.61</w:t>
            </w:r>
          </w:p>
        </w:tc>
        <w:tc>
          <w:tcPr>
            <w:tcW w:w="152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2063"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明细详见表-12-1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0" w:type="dxa"/>
          <w:trHeight w:val="360" w:hRule="atLeast"/>
        </w:trPr>
        <w:tc>
          <w:tcPr>
            <w:tcW w:w="1241"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暂估价</w:t>
            </w:r>
          </w:p>
        </w:tc>
        <w:tc>
          <w:tcPr>
            <w:tcW w:w="1882"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152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2063"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0" w:type="dxa"/>
          <w:trHeight w:val="360" w:hRule="atLeast"/>
        </w:trPr>
        <w:tc>
          <w:tcPr>
            <w:tcW w:w="1241"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材料暂估价</w:t>
            </w:r>
          </w:p>
        </w:tc>
        <w:tc>
          <w:tcPr>
            <w:tcW w:w="1882"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w:t>
            </w:r>
          </w:p>
        </w:tc>
        <w:tc>
          <w:tcPr>
            <w:tcW w:w="152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2063"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明细详见表-12-2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0" w:type="dxa"/>
          <w:trHeight w:val="360" w:hRule="atLeast"/>
        </w:trPr>
        <w:tc>
          <w:tcPr>
            <w:tcW w:w="1241"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专业工程暂估价</w:t>
            </w:r>
          </w:p>
        </w:tc>
        <w:tc>
          <w:tcPr>
            <w:tcW w:w="1882"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152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2063"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明细详见表-12-3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0" w:type="dxa"/>
          <w:trHeight w:val="360" w:hRule="atLeast"/>
        </w:trPr>
        <w:tc>
          <w:tcPr>
            <w:tcW w:w="1241"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计日工</w:t>
            </w:r>
          </w:p>
        </w:tc>
        <w:tc>
          <w:tcPr>
            <w:tcW w:w="1882"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152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2063"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明细详见表-12-4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0" w:type="dxa"/>
          <w:trHeight w:val="360" w:hRule="atLeast"/>
        </w:trPr>
        <w:tc>
          <w:tcPr>
            <w:tcW w:w="1241"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总承包服务费</w:t>
            </w:r>
          </w:p>
        </w:tc>
        <w:tc>
          <w:tcPr>
            <w:tcW w:w="1882"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152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2063"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明细详见表-12-5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0" w:type="dxa"/>
          <w:trHeight w:val="360" w:hRule="atLeast"/>
        </w:trPr>
        <w:tc>
          <w:tcPr>
            <w:tcW w:w="1241"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预算包干费</w:t>
            </w:r>
          </w:p>
        </w:tc>
        <w:tc>
          <w:tcPr>
            <w:tcW w:w="1882"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152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2063"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0" w:type="dxa"/>
          <w:trHeight w:val="360" w:hRule="atLeast"/>
        </w:trPr>
        <w:tc>
          <w:tcPr>
            <w:tcW w:w="1241"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工程优质费</w:t>
            </w:r>
          </w:p>
        </w:tc>
        <w:tc>
          <w:tcPr>
            <w:tcW w:w="1882"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152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2063"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0" w:type="dxa"/>
          <w:trHeight w:val="360" w:hRule="atLeast"/>
        </w:trPr>
        <w:tc>
          <w:tcPr>
            <w:tcW w:w="1241"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概算幅度差</w:t>
            </w:r>
          </w:p>
        </w:tc>
        <w:tc>
          <w:tcPr>
            <w:tcW w:w="1882"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152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2063"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0" w:type="dxa"/>
          <w:trHeight w:val="360" w:hRule="atLeast"/>
        </w:trPr>
        <w:tc>
          <w:tcPr>
            <w:tcW w:w="1241"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现场签证费用</w:t>
            </w:r>
          </w:p>
        </w:tc>
        <w:tc>
          <w:tcPr>
            <w:tcW w:w="1882"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152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2063"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0" w:type="dxa"/>
          <w:trHeight w:val="360" w:hRule="atLeast"/>
        </w:trPr>
        <w:tc>
          <w:tcPr>
            <w:tcW w:w="1241"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索赔费用</w:t>
            </w:r>
          </w:p>
        </w:tc>
        <w:tc>
          <w:tcPr>
            <w:tcW w:w="1882"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152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2063"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10" w:type="dxa"/>
          <w:trHeight w:val="360" w:hRule="atLeast"/>
        </w:trPr>
        <w:tc>
          <w:tcPr>
            <w:tcW w:w="1241"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其他费用</w:t>
            </w:r>
          </w:p>
        </w:tc>
        <w:tc>
          <w:tcPr>
            <w:tcW w:w="1882"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152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2063"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242" w:type="dxa"/>
            <w:tcBorders>
              <w:top w:val="single" w:color="000000" w:sz="4" w:space="0"/>
              <w:left w:val="single" w:color="000000" w:sz="8"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18"/>
                <w:szCs w:val="18"/>
                <w:highlight w:val="none"/>
                <w:u w:val="none"/>
              </w:rPr>
            </w:pPr>
          </w:p>
        </w:tc>
        <w:tc>
          <w:tcPr>
            <w:tcW w:w="2865"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合  计</w:t>
            </w:r>
          </w:p>
        </w:tc>
        <w:tc>
          <w:tcPr>
            <w:tcW w:w="1883" w:type="dxa"/>
            <w:gridSpan w:val="3"/>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1525" w:type="dxa"/>
            <w:gridSpan w:val="3"/>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18"/>
                <w:szCs w:val="18"/>
                <w:highlight w:val="none"/>
                <w:u w:val="none"/>
              </w:rPr>
            </w:pPr>
          </w:p>
        </w:tc>
        <w:tc>
          <w:tcPr>
            <w:tcW w:w="2065" w:type="dxa"/>
            <w:gridSpan w:val="2"/>
            <w:tcBorders>
              <w:top w:val="single" w:color="000000" w:sz="4" w:space="0"/>
              <w:left w:val="single" w:color="000000" w:sz="4" w:space="0"/>
              <w:bottom w:val="single" w:color="000000" w:sz="8"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w:t>
            </w:r>
          </w:p>
        </w:tc>
      </w:tr>
    </w:tbl>
    <w:p>
      <w:pPr>
        <w:pStyle w:val="2"/>
        <w:rPr>
          <w:color w:val="auto"/>
          <w:highlight w:val="none"/>
        </w:rPr>
      </w:pPr>
    </w:p>
    <w:tbl>
      <w:tblPr>
        <w:tblStyle w:val="21"/>
        <w:tblW w:w="100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067"/>
        <w:gridCol w:w="2053"/>
        <w:gridCol w:w="2832"/>
        <w:gridCol w:w="228"/>
        <w:gridCol w:w="1454"/>
        <w:gridCol w:w="18"/>
        <w:gridCol w:w="899"/>
        <w:gridCol w:w="8"/>
        <w:gridCol w:w="1491"/>
        <w:gridCol w:w="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9" w:type="dxa"/>
          <w:trHeight w:val="795" w:hRule="atLeast"/>
        </w:trPr>
        <w:tc>
          <w:tcPr>
            <w:tcW w:w="10050" w:type="dxa"/>
            <w:gridSpan w:val="9"/>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40"/>
                <w:szCs w:val="40"/>
                <w:highlight w:val="none"/>
                <w:u w:val="none"/>
              </w:rPr>
            </w:pPr>
            <w:r>
              <w:rPr>
                <w:rFonts w:hint="eastAsia" w:ascii="宋体" w:hAnsi="宋体" w:eastAsia="宋体" w:cs="宋体"/>
                <w:b/>
                <w:i w:val="0"/>
                <w:color w:val="auto"/>
                <w:kern w:val="0"/>
                <w:sz w:val="40"/>
                <w:szCs w:val="40"/>
                <w:highlight w:val="none"/>
                <w:u w:val="none"/>
                <w:lang w:val="en-US" w:eastAsia="zh-CN" w:bidi="ar"/>
              </w:rPr>
              <w:t>规费、税金项目清单与计价表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9" w:type="dxa"/>
          <w:trHeight w:val="570" w:hRule="atLeast"/>
        </w:trPr>
        <w:tc>
          <w:tcPr>
            <w:tcW w:w="5952" w:type="dxa"/>
            <w:gridSpan w:val="3"/>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工程名称：石井净分公司生产区域道闸采购项目</w:t>
            </w:r>
          </w:p>
        </w:tc>
        <w:tc>
          <w:tcPr>
            <w:tcW w:w="1700" w:type="dxa"/>
            <w:gridSpan w:val="3"/>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标段：</w:t>
            </w:r>
          </w:p>
        </w:tc>
        <w:tc>
          <w:tcPr>
            <w:tcW w:w="2398" w:type="dxa"/>
            <w:gridSpan w:val="3"/>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9" w:type="dxa"/>
          <w:trHeight w:val="570" w:hRule="atLeast"/>
        </w:trPr>
        <w:tc>
          <w:tcPr>
            <w:tcW w:w="1067"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序号</w:t>
            </w:r>
          </w:p>
        </w:tc>
        <w:tc>
          <w:tcPr>
            <w:tcW w:w="2053"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项目名称</w:t>
            </w:r>
          </w:p>
        </w:tc>
        <w:tc>
          <w:tcPr>
            <w:tcW w:w="3060"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计算基础</w:t>
            </w:r>
          </w:p>
        </w:tc>
        <w:tc>
          <w:tcPr>
            <w:tcW w:w="1454"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计算基数</w:t>
            </w:r>
          </w:p>
        </w:tc>
        <w:tc>
          <w:tcPr>
            <w:tcW w:w="917"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计算费率</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w:t>
            </w:r>
          </w:p>
        </w:tc>
        <w:tc>
          <w:tcPr>
            <w:tcW w:w="1499" w:type="dxa"/>
            <w:gridSpan w:val="2"/>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9" w:type="dxa"/>
          <w:trHeight w:val="570" w:hRule="atLeast"/>
        </w:trPr>
        <w:tc>
          <w:tcPr>
            <w:tcW w:w="106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205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增值税销项税额</w:t>
            </w:r>
          </w:p>
        </w:tc>
        <w:tc>
          <w:tcPr>
            <w:tcW w:w="30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分部分项合计+措施合计+其他项目</w:t>
            </w:r>
          </w:p>
        </w:tc>
        <w:tc>
          <w:tcPr>
            <w:tcW w:w="145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91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9</w:t>
            </w:r>
          </w:p>
        </w:tc>
        <w:tc>
          <w:tcPr>
            <w:tcW w:w="1499"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8559" w:type="dxa"/>
            <w:gridSpan w:val="8"/>
            <w:tcBorders>
              <w:top w:val="single" w:color="000000" w:sz="4" w:space="0"/>
              <w:left w:val="single" w:color="000000" w:sz="8"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合    计</w:t>
            </w:r>
          </w:p>
        </w:tc>
        <w:tc>
          <w:tcPr>
            <w:tcW w:w="1500" w:type="dxa"/>
            <w:gridSpan w:val="2"/>
            <w:tcBorders>
              <w:top w:val="single" w:color="000000" w:sz="4" w:space="0"/>
              <w:left w:val="single" w:color="000000" w:sz="4" w:space="0"/>
              <w:bottom w:val="single" w:color="000000" w:sz="8"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highlight w:val="none"/>
                <w:u w:val="none"/>
              </w:rPr>
            </w:pPr>
          </w:p>
        </w:tc>
      </w:tr>
    </w:tbl>
    <w:p>
      <w:pPr>
        <w:pStyle w:val="2"/>
        <w:rPr>
          <w:color w:val="auto"/>
          <w:highlight w:val="none"/>
        </w:rPr>
      </w:pPr>
    </w:p>
    <w:p>
      <w:pPr>
        <w:spacing w:line="360" w:lineRule="auto"/>
        <w:rPr>
          <w:rFonts w:ascii="宋体" w:hAnsi="宋体" w:eastAsia="宋体" w:cs="宋体"/>
          <w:b/>
          <w:bCs/>
          <w:color w:val="auto"/>
          <w:szCs w:val="21"/>
          <w:highlight w:val="none"/>
        </w:rPr>
      </w:pPr>
      <w:r>
        <w:rPr>
          <w:rFonts w:hint="eastAsia" w:ascii="宋体" w:hAnsi="宋体" w:eastAsia="宋体" w:cs="宋体"/>
          <w:b/>
          <w:bCs/>
          <w:color w:val="auto"/>
          <w:szCs w:val="21"/>
          <w:highlight w:val="none"/>
        </w:rPr>
        <w:t>附件6 ：项目投入人员架构表</w:t>
      </w:r>
    </w:p>
    <w:tbl>
      <w:tblPr>
        <w:tblStyle w:val="21"/>
        <w:tblW w:w="959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85"/>
        <w:gridCol w:w="1005"/>
        <w:gridCol w:w="855"/>
        <w:gridCol w:w="2370"/>
        <w:gridCol w:w="2573"/>
        <w:gridCol w:w="1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岗位</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姓名</w:t>
            </w:r>
          </w:p>
        </w:tc>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性别</w:t>
            </w:r>
          </w:p>
        </w:tc>
        <w:tc>
          <w:tcPr>
            <w:tcW w:w="23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身份证号</w:t>
            </w:r>
          </w:p>
        </w:tc>
        <w:tc>
          <w:tcPr>
            <w:tcW w:w="25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执业或职业资格证明</w:t>
            </w:r>
          </w:p>
        </w:tc>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项目负责人</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p>
        </w:tc>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p>
        </w:tc>
        <w:tc>
          <w:tcPr>
            <w:tcW w:w="23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p>
        </w:tc>
        <w:tc>
          <w:tcPr>
            <w:tcW w:w="25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p>
        </w:tc>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安全员</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p>
        </w:tc>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p>
        </w:tc>
        <w:tc>
          <w:tcPr>
            <w:tcW w:w="23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p>
        </w:tc>
        <w:tc>
          <w:tcPr>
            <w:tcW w:w="25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p>
        </w:tc>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技术负责人</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p>
        </w:tc>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p>
        </w:tc>
        <w:tc>
          <w:tcPr>
            <w:tcW w:w="23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p>
        </w:tc>
        <w:tc>
          <w:tcPr>
            <w:tcW w:w="25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p>
        </w:tc>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电工</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p>
        </w:tc>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p>
        </w:tc>
        <w:tc>
          <w:tcPr>
            <w:tcW w:w="23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p>
        </w:tc>
        <w:tc>
          <w:tcPr>
            <w:tcW w:w="25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p>
        </w:tc>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焊工</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p>
        </w:tc>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p>
        </w:tc>
        <w:tc>
          <w:tcPr>
            <w:tcW w:w="23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p>
        </w:tc>
        <w:tc>
          <w:tcPr>
            <w:tcW w:w="25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p>
        </w:tc>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r>
              <w:rPr>
                <w:rFonts w:hint="eastAsia" w:ascii="宋体" w:hAnsi="宋体" w:cs="宋体"/>
                <w:color w:val="auto"/>
                <w:sz w:val="24"/>
                <w:szCs w:val="24"/>
                <w:highlight w:val="none"/>
              </w:rPr>
              <w:t>普工</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p>
        </w:tc>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p>
        </w:tc>
        <w:tc>
          <w:tcPr>
            <w:tcW w:w="23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p>
        </w:tc>
        <w:tc>
          <w:tcPr>
            <w:tcW w:w="25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p>
        </w:tc>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8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eastAsia="宋体" w:cs="宋体"/>
                <w:color w:val="auto"/>
                <w:sz w:val="24"/>
                <w:szCs w:val="24"/>
                <w:highlight w:val="none"/>
              </w:rPr>
            </w:pPr>
            <w:r>
              <w:rPr>
                <w:rFonts w:hint="eastAsia" w:ascii="宋体" w:hAnsi="宋体" w:cs="宋体"/>
                <w:color w:val="auto"/>
                <w:sz w:val="24"/>
                <w:szCs w:val="24"/>
                <w:highlight w:val="none"/>
              </w:rPr>
              <w:t>...</w:t>
            </w:r>
          </w:p>
        </w:tc>
        <w:tc>
          <w:tcPr>
            <w:tcW w:w="100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p>
        </w:tc>
        <w:tc>
          <w:tcPr>
            <w:tcW w:w="8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p>
        </w:tc>
        <w:tc>
          <w:tcPr>
            <w:tcW w:w="237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p>
        </w:tc>
        <w:tc>
          <w:tcPr>
            <w:tcW w:w="2573"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p>
        </w:tc>
        <w:tc>
          <w:tcPr>
            <w:tcW w:w="101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auto"/>
                <w:sz w:val="24"/>
                <w:szCs w:val="24"/>
                <w:highlight w:val="none"/>
              </w:rPr>
            </w:pPr>
          </w:p>
        </w:tc>
      </w:tr>
    </w:tbl>
    <w:p>
      <w:pPr>
        <w:pStyle w:val="2"/>
        <w:rPr>
          <w:color w:val="auto"/>
          <w:highlight w:val="none"/>
        </w:rPr>
      </w:pPr>
    </w:p>
    <w:p>
      <w:pPr>
        <w:spacing w:line="360" w:lineRule="auto"/>
        <w:rPr>
          <w:rFonts w:ascii="宋体" w:hAnsi="宋体" w:eastAsia="宋体" w:cs="宋体"/>
          <w:b/>
          <w:bCs/>
          <w:color w:val="auto"/>
          <w:szCs w:val="21"/>
          <w:highlight w:val="none"/>
        </w:rPr>
      </w:pPr>
      <w:r>
        <w:rPr>
          <w:rFonts w:hint="eastAsia" w:ascii="宋体" w:hAnsi="宋体" w:eastAsia="宋体" w:cs="宋体"/>
          <w:b/>
          <w:bCs/>
          <w:color w:val="auto"/>
          <w:szCs w:val="21"/>
          <w:highlight w:val="none"/>
        </w:rPr>
        <w:t>附件7：履约保函（模板）</w:t>
      </w:r>
    </w:p>
    <w:p>
      <w:pPr>
        <w:jc w:val="center"/>
        <w:rPr>
          <w:rFonts w:cs="Times New Roman" w:asciiTheme="minorEastAsia" w:hAnsiTheme="minorEastAsia"/>
          <w:b/>
          <w:color w:val="auto"/>
          <w:sz w:val="24"/>
          <w:szCs w:val="24"/>
          <w:highlight w:val="none"/>
        </w:rPr>
      </w:pPr>
      <w:r>
        <w:rPr>
          <w:rFonts w:hint="eastAsia" w:cs="Times New Roman" w:asciiTheme="minorEastAsia" w:hAnsiTheme="minorEastAsia"/>
          <w:b/>
          <w:color w:val="auto"/>
          <w:sz w:val="24"/>
          <w:szCs w:val="24"/>
          <w:highlight w:val="none"/>
        </w:rPr>
        <w:t>履约保函模板</w:t>
      </w:r>
    </w:p>
    <w:p>
      <w:pPr>
        <w:rPr>
          <w:rFonts w:cs="Times New Roman" w:asciiTheme="minorEastAsia" w:hAnsiTheme="minorEastAsia"/>
          <w:color w:val="auto"/>
          <w:sz w:val="24"/>
          <w:szCs w:val="24"/>
          <w:highlight w:val="none"/>
        </w:rPr>
      </w:pPr>
    </w:p>
    <w:p>
      <w:pPr>
        <w:rPr>
          <w:rFonts w:cs="Times New Roman" w:asciiTheme="minorEastAsia" w:hAnsiTheme="minorEastAsia"/>
          <w:color w:val="auto"/>
          <w:sz w:val="24"/>
          <w:szCs w:val="24"/>
          <w:highlight w:val="none"/>
        </w:rPr>
      </w:pPr>
      <w:r>
        <w:rPr>
          <w:rFonts w:hint="eastAsia" w:cs="Times New Roman" w:asciiTheme="minorEastAsia" w:hAnsiTheme="minorEastAsia"/>
          <w:color w:val="auto"/>
          <w:sz w:val="24"/>
          <w:szCs w:val="24"/>
          <w:highlight w:val="none"/>
        </w:rPr>
        <w:t>致：</w:t>
      </w:r>
      <w:r>
        <w:rPr>
          <w:rFonts w:hint="eastAsia" w:cs="Times New Roman" w:asciiTheme="minorEastAsia" w:hAnsiTheme="minorEastAsia"/>
          <w:color w:val="auto"/>
          <w:sz w:val="24"/>
          <w:szCs w:val="24"/>
          <w:highlight w:val="none"/>
          <w:u w:val="single"/>
        </w:rPr>
        <w:t xml:space="preserve">               （受益人）</w:t>
      </w:r>
      <w:r>
        <w:rPr>
          <w:rFonts w:cs="Times New Roman" w:asciiTheme="minorEastAsia" w:hAnsiTheme="minorEastAsia"/>
          <w:color w:val="auto"/>
          <w:sz w:val="24"/>
          <w:szCs w:val="24"/>
          <w:highlight w:val="none"/>
        </w:rPr>
        <w:br w:type="textWrapping"/>
      </w:r>
    </w:p>
    <w:p>
      <w:pPr>
        <w:ind w:firstLine="420"/>
        <w:rPr>
          <w:rFonts w:cs="Times New Roman" w:asciiTheme="minorEastAsia" w:hAnsiTheme="minorEastAsia"/>
          <w:color w:val="auto"/>
          <w:sz w:val="24"/>
          <w:szCs w:val="24"/>
          <w:highlight w:val="none"/>
        </w:rPr>
      </w:pPr>
      <w:r>
        <w:rPr>
          <w:rFonts w:hint="eastAsia" w:cs="Times New Roman" w:asciiTheme="minorEastAsia" w:hAnsiTheme="minorEastAsia"/>
          <w:color w:val="auto"/>
          <w:sz w:val="24"/>
          <w:szCs w:val="24"/>
          <w:highlight w:val="none"/>
        </w:rPr>
        <w:t>鉴于（以下简称“委托人”）与贵方于</w:t>
      </w:r>
      <w:r>
        <w:rPr>
          <w:rFonts w:hint="eastAsia" w:cs="Times New Roman" w:asciiTheme="minorEastAsia" w:hAnsiTheme="minorEastAsia"/>
          <w:color w:val="auto"/>
          <w:sz w:val="24"/>
          <w:szCs w:val="24"/>
          <w:highlight w:val="none"/>
          <w:u w:val="single"/>
        </w:rPr>
        <w:t xml:space="preserve">   年  月  日</w:t>
      </w:r>
      <w:r>
        <w:rPr>
          <w:rFonts w:hint="eastAsia" w:cs="Times New Roman" w:asciiTheme="minorEastAsia" w:hAnsiTheme="minorEastAsia"/>
          <w:color w:val="auto"/>
          <w:sz w:val="24"/>
          <w:szCs w:val="24"/>
          <w:highlight w:val="none"/>
        </w:rPr>
        <w:t>签订了（以下简称“合同”），我行同意为委托人出具履约保函，作为委托人履行合同义务的担保，以使你方得到履约保函的保障。本保函为不可撤销，见索即付的独立保函。</w:t>
      </w:r>
    </w:p>
    <w:p>
      <w:pPr>
        <w:ind w:firstLine="420"/>
        <w:rPr>
          <w:rFonts w:cs="Times New Roman" w:asciiTheme="minorEastAsia" w:hAnsiTheme="minorEastAsia"/>
          <w:color w:val="auto"/>
          <w:sz w:val="24"/>
          <w:szCs w:val="24"/>
          <w:highlight w:val="none"/>
        </w:rPr>
      </w:pPr>
      <w:r>
        <w:rPr>
          <w:rFonts w:hint="eastAsia" w:cs="Times New Roman" w:asciiTheme="minorEastAsia" w:hAnsiTheme="minorEastAsia"/>
          <w:color w:val="auto"/>
          <w:sz w:val="24"/>
          <w:szCs w:val="24"/>
          <w:highlight w:val="none"/>
        </w:rPr>
        <w:t>一、我行保证在收到贵单位于保函有效期内送达的依本保函约定的索赔申请后，在个工作日内无条件和不可改变地向贵单位支付最高金额不超过人民币元（大写： ）的履约保证金，并放弃向你方提出任何异议和追索的权利。</w:t>
      </w:r>
    </w:p>
    <w:p>
      <w:pPr>
        <w:ind w:firstLine="420"/>
        <w:rPr>
          <w:rFonts w:cs="Times New Roman" w:asciiTheme="minorEastAsia" w:hAnsiTheme="minorEastAsia"/>
          <w:color w:val="auto"/>
          <w:sz w:val="24"/>
          <w:szCs w:val="24"/>
          <w:highlight w:val="none"/>
        </w:rPr>
      </w:pPr>
      <w:r>
        <w:rPr>
          <w:rFonts w:hint="eastAsia" w:cs="Times New Roman" w:asciiTheme="minorEastAsia" w:hAnsiTheme="minorEastAsia"/>
          <w:color w:val="auto"/>
          <w:sz w:val="24"/>
          <w:szCs w:val="24"/>
          <w:highlight w:val="none"/>
        </w:rPr>
        <w:t>二、贵单位的索赔申请应符合下述条件：</w:t>
      </w:r>
    </w:p>
    <w:p>
      <w:pPr>
        <w:ind w:firstLine="420"/>
        <w:rPr>
          <w:rFonts w:cs="Times New Roman" w:asciiTheme="minorEastAsia" w:hAnsiTheme="minorEastAsia"/>
          <w:color w:val="auto"/>
          <w:sz w:val="24"/>
          <w:szCs w:val="24"/>
          <w:highlight w:val="none"/>
        </w:rPr>
      </w:pPr>
      <w:r>
        <w:rPr>
          <w:rFonts w:hint="eastAsia" w:cs="Times New Roman" w:asciiTheme="minorEastAsia" w:hAnsiTheme="minorEastAsia"/>
          <w:color w:val="auto"/>
          <w:sz w:val="24"/>
          <w:szCs w:val="24"/>
          <w:highlight w:val="none"/>
        </w:rPr>
        <w:t>（一）贵单位法定代表人或其授权代表签字并加盖单位公章；</w:t>
      </w:r>
    </w:p>
    <w:p>
      <w:pPr>
        <w:ind w:firstLine="420"/>
        <w:rPr>
          <w:rFonts w:cs="Times New Roman" w:asciiTheme="minorEastAsia" w:hAnsiTheme="minorEastAsia"/>
          <w:color w:val="auto"/>
          <w:sz w:val="24"/>
          <w:szCs w:val="24"/>
          <w:highlight w:val="none"/>
        </w:rPr>
      </w:pPr>
      <w:r>
        <w:rPr>
          <w:rFonts w:hint="eastAsia" w:cs="Times New Roman" w:asciiTheme="minorEastAsia" w:hAnsiTheme="minorEastAsia"/>
          <w:color w:val="auto"/>
          <w:sz w:val="24"/>
          <w:szCs w:val="24"/>
          <w:highlight w:val="none"/>
        </w:rPr>
        <w:t>（二）在保函有效期内送达我行；</w:t>
      </w:r>
    </w:p>
    <w:p>
      <w:pPr>
        <w:ind w:firstLine="420"/>
        <w:rPr>
          <w:rFonts w:cs="Times New Roman" w:asciiTheme="minorEastAsia" w:hAnsiTheme="minorEastAsia"/>
          <w:color w:val="auto"/>
          <w:sz w:val="24"/>
          <w:szCs w:val="24"/>
          <w:highlight w:val="none"/>
        </w:rPr>
      </w:pPr>
      <w:r>
        <w:rPr>
          <w:rFonts w:hint="eastAsia" w:cs="Times New Roman" w:asciiTheme="minorEastAsia" w:hAnsiTheme="minorEastAsia"/>
          <w:color w:val="auto"/>
          <w:sz w:val="24"/>
          <w:szCs w:val="24"/>
          <w:highlight w:val="none"/>
        </w:rPr>
        <w:t>（三）明确的索赔金额（不得超过本保函第一条所列之限额）。</w:t>
      </w:r>
    </w:p>
    <w:p>
      <w:pPr>
        <w:ind w:firstLine="420"/>
        <w:rPr>
          <w:rFonts w:cs="Times New Roman" w:asciiTheme="minorEastAsia" w:hAnsiTheme="minorEastAsia"/>
          <w:color w:val="auto"/>
          <w:sz w:val="24"/>
          <w:szCs w:val="24"/>
          <w:highlight w:val="none"/>
        </w:rPr>
      </w:pPr>
      <w:r>
        <w:rPr>
          <w:rFonts w:hint="eastAsia" w:cs="Times New Roman" w:asciiTheme="minorEastAsia" w:hAnsiTheme="minorEastAsia"/>
          <w:color w:val="auto"/>
          <w:sz w:val="24"/>
          <w:szCs w:val="24"/>
          <w:highlight w:val="none"/>
        </w:rPr>
        <w:t>三、本保函自签发之日起生效，有效期至</w:t>
      </w:r>
      <w:r>
        <w:rPr>
          <w:rFonts w:hint="eastAsia" w:cs="Times New Roman" w:asciiTheme="minorEastAsia" w:hAnsiTheme="minorEastAsia"/>
          <w:color w:val="auto"/>
          <w:sz w:val="24"/>
          <w:szCs w:val="24"/>
          <w:highlight w:val="none"/>
          <w:u w:val="single"/>
        </w:rPr>
        <w:t xml:space="preserve">  年  月  日</w:t>
      </w:r>
      <w:r>
        <w:rPr>
          <w:rFonts w:hint="eastAsia" w:cs="Times New Roman" w:asciiTheme="minorEastAsia" w:hAnsiTheme="minorEastAsia"/>
          <w:color w:val="auto"/>
          <w:sz w:val="24"/>
          <w:szCs w:val="24"/>
          <w:highlight w:val="none"/>
        </w:rPr>
        <w:t>。本保函于下述任一事项发生之时立即失效，我行在本保函项下的保证义务即刻解除：</w:t>
      </w:r>
    </w:p>
    <w:p>
      <w:pPr>
        <w:ind w:firstLine="420"/>
        <w:rPr>
          <w:rFonts w:cs="Times New Roman" w:asciiTheme="minorEastAsia" w:hAnsiTheme="minorEastAsia"/>
          <w:color w:val="auto"/>
          <w:sz w:val="24"/>
          <w:szCs w:val="24"/>
          <w:highlight w:val="none"/>
        </w:rPr>
      </w:pPr>
      <w:r>
        <w:rPr>
          <w:rFonts w:hint="eastAsia" w:cs="Times New Roman" w:asciiTheme="minorEastAsia" w:hAnsiTheme="minorEastAsia"/>
          <w:color w:val="auto"/>
          <w:sz w:val="24"/>
          <w:szCs w:val="24"/>
          <w:highlight w:val="none"/>
        </w:rPr>
        <w:t>（一）本保函有效期限届满；</w:t>
      </w:r>
    </w:p>
    <w:p>
      <w:pPr>
        <w:ind w:firstLine="420"/>
        <w:rPr>
          <w:rFonts w:cs="Times New Roman" w:asciiTheme="minorEastAsia" w:hAnsiTheme="minorEastAsia"/>
          <w:color w:val="auto"/>
          <w:sz w:val="24"/>
          <w:szCs w:val="24"/>
          <w:highlight w:val="none"/>
        </w:rPr>
      </w:pPr>
      <w:r>
        <w:rPr>
          <w:rFonts w:hint="eastAsia" w:cs="Times New Roman" w:asciiTheme="minorEastAsia" w:hAnsiTheme="minorEastAsia"/>
          <w:color w:val="auto"/>
          <w:sz w:val="24"/>
          <w:szCs w:val="24"/>
          <w:highlight w:val="none"/>
        </w:rPr>
        <w:t>（二）我行保证的义务履行完毕。</w:t>
      </w:r>
    </w:p>
    <w:p>
      <w:pPr>
        <w:ind w:firstLine="420"/>
        <w:rPr>
          <w:rFonts w:cs="Times New Roman" w:asciiTheme="minorEastAsia" w:hAnsiTheme="minorEastAsia"/>
          <w:color w:val="auto"/>
          <w:sz w:val="24"/>
          <w:szCs w:val="24"/>
          <w:highlight w:val="none"/>
        </w:rPr>
      </w:pPr>
      <w:r>
        <w:rPr>
          <w:rFonts w:hint="eastAsia" w:cs="Times New Roman" w:asciiTheme="minorEastAsia" w:hAnsiTheme="minorEastAsia"/>
          <w:color w:val="auto"/>
          <w:sz w:val="24"/>
          <w:szCs w:val="24"/>
          <w:highlight w:val="none"/>
        </w:rPr>
        <w:t>四、我方受本保函制约的责任是延续的、独立的和无条件的，上述合同的任何修改、变更、解释、不可执行或委托人在合同项下对你方的任何抗辩都不能削弱或影响我行按本保函应承担的责任。</w:t>
      </w:r>
    </w:p>
    <w:p>
      <w:pPr>
        <w:ind w:firstLine="420"/>
        <w:rPr>
          <w:rFonts w:cs="Times New Roman" w:asciiTheme="minorEastAsia" w:hAnsiTheme="minorEastAsia"/>
          <w:color w:val="auto"/>
          <w:sz w:val="24"/>
          <w:szCs w:val="24"/>
          <w:highlight w:val="none"/>
        </w:rPr>
      </w:pPr>
      <w:r>
        <w:rPr>
          <w:rFonts w:hint="eastAsia" w:cs="Times New Roman" w:asciiTheme="minorEastAsia" w:hAnsiTheme="minorEastAsia"/>
          <w:color w:val="auto"/>
          <w:sz w:val="24"/>
          <w:szCs w:val="24"/>
          <w:highlight w:val="none"/>
        </w:rPr>
        <w:t>五、我行向你方支付索赔金额后，本保函担保金额即按贵方通知的索赔金额予以递减。</w:t>
      </w:r>
    </w:p>
    <w:p>
      <w:pPr>
        <w:ind w:firstLine="420"/>
        <w:rPr>
          <w:rFonts w:cs="Times New Roman" w:asciiTheme="minorEastAsia" w:hAnsiTheme="minorEastAsia"/>
          <w:color w:val="auto"/>
          <w:sz w:val="24"/>
          <w:szCs w:val="24"/>
          <w:highlight w:val="none"/>
        </w:rPr>
      </w:pPr>
      <w:r>
        <w:rPr>
          <w:rFonts w:hint="eastAsia" w:cs="Times New Roman" w:asciiTheme="minorEastAsia" w:hAnsiTheme="minorEastAsia"/>
          <w:color w:val="auto"/>
          <w:sz w:val="24"/>
          <w:szCs w:val="24"/>
          <w:highlight w:val="none"/>
        </w:rPr>
        <w:t>六、保函失效后请将保函退回我行注销，无论正本最终退回与否，不影响本保函依上述约定自动失效。</w:t>
      </w:r>
    </w:p>
    <w:p>
      <w:pPr>
        <w:ind w:firstLine="420"/>
        <w:rPr>
          <w:rFonts w:cs="Times New Roman" w:asciiTheme="minorEastAsia" w:hAnsiTheme="minorEastAsia"/>
          <w:color w:val="auto"/>
          <w:sz w:val="24"/>
          <w:szCs w:val="24"/>
          <w:highlight w:val="none"/>
        </w:rPr>
      </w:pPr>
    </w:p>
    <w:p>
      <w:pPr>
        <w:ind w:firstLine="420"/>
        <w:rPr>
          <w:rFonts w:cs="Times New Roman" w:asciiTheme="minorEastAsia" w:hAnsiTheme="minorEastAsia"/>
          <w:color w:val="auto"/>
          <w:sz w:val="24"/>
          <w:szCs w:val="24"/>
          <w:highlight w:val="none"/>
        </w:rPr>
      </w:pPr>
      <w:r>
        <w:rPr>
          <w:rFonts w:hint="eastAsia" w:cs="Times New Roman" w:asciiTheme="minorEastAsia" w:hAnsiTheme="minorEastAsia"/>
          <w:color w:val="auto"/>
          <w:sz w:val="24"/>
          <w:szCs w:val="24"/>
          <w:highlight w:val="none"/>
        </w:rPr>
        <w:t xml:space="preserve">                                                   落款</w:t>
      </w:r>
    </w:p>
    <w:p>
      <w:pPr>
        <w:ind w:firstLine="420"/>
        <w:rPr>
          <w:rFonts w:cs="Times New Roman" w:asciiTheme="minorEastAsia" w:hAnsiTheme="minorEastAsia"/>
          <w:color w:val="auto"/>
          <w:sz w:val="24"/>
          <w:szCs w:val="24"/>
          <w:highlight w:val="none"/>
        </w:rPr>
      </w:pPr>
    </w:p>
    <w:p>
      <w:pPr>
        <w:ind w:firstLine="645"/>
        <w:rPr>
          <w:rFonts w:cs="Times New Roman" w:asciiTheme="minorEastAsia" w:hAnsiTheme="minorEastAsia"/>
          <w:color w:val="auto"/>
          <w:sz w:val="24"/>
          <w:szCs w:val="24"/>
          <w:highlight w:val="none"/>
        </w:rPr>
      </w:pPr>
      <w:r>
        <w:rPr>
          <w:rFonts w:hint="eastAsia" w:cs="Times New Roman" w:asciiTheme="minorEastAsia" w:hAnsiTheme="minorEastAsia"/>
          <w:color w:val="auto"/>
          <w:sz w:val="24"/>
          <w:szCs w:val="24"/>
          <w:highlight w:val="none"/>
        </w:rPr>
        <w:t>保函说明：</w:t>
      </w:r>
    </w:p>
    <w:p>
      <w:pPr>
        <w:ind w:firstLine="645"/>
        <w:rPr>
          <w:rFonts w:cs="仿宋_GB2312" w:asciiTheme="minorEastAsia" w:hAnsiTheme="minorEastAsia"/>
          <w:color w:val="auto"/>
          <w:sz w:val="24"/>
          <w:szCs w:val="24"/>
          <w:highlight w:val="none"/>
        </w:rPr>
      </w:pPr>
      <w:r>
        <w:rPr>
          <w:rFonts w:hint="eastAsia" w:cs="仿宋_GB2312" w:asciiTheme="minorEastAsia" w:hAnsiTheme="minorEastAsia"/>
          <w:color w:val="auto"/>
          <w:sz w:val="24"/>
          <w:szCs w:val="24"/>
          <w:highlight w:val="none"/>
        </w:rPr>
        <w:t>保函不得有下列或类似含义的表述：</w:t>
      </w:r>
    </w:p>
    <w:p>
      <w:pPr>
        <w:ind w:firstLine="645"/>
        <w:rPr>
          <w:rFonts w:cs="仿宋_GB2312" w:asciiTheme="minorEastAsia" w:hAnsiTheme="minorEastAsia"/>
          <w:color w:val="auto"/>
          <w:sz w:val="24"/>
          <w:szCs w:val="24"/>
          <w:highlight w:val="none"/>
        </w:rPr>
      </w:pPr>
      <w:r>
        <w:rPr>
          <w:rFonts w:hint="eastAsia" w:cs="仿宋_GB2312" w:asciiTheme="minorEastAsia" w:hAnsiTheme="minorEastAsia"/>
          <w:color w:val="auto"/>
          <w:sz w:val="24"/>
          <w:szCs w:val="24"/>
          <w:highlight w:val="none"/>
        </w:rPr>
        <w:t>1.银行承担的为连带责任保证、一般保证。</w:t>
      </w:r>
    </w:p>
    <w:p>
      <w:pPr>
        <w:ind w:firstLine="645"/>
        <w:rPr>
          <w:rFonts w:cs="仿宋_GB2312" w:asciiTheme="minorEastAsia" w:hAnsiTheme="minorEastAsia"/>
          <w:color w:val="auto"/>
          <w:sz w:val="24"/>
          <w:szCs w:val="24"/>
          <w:highlight w:val="none"/>
        </w:rPr>
      </w:pPr>
      <w:r>
        <w:rPr>
          <w:rFonts w:hint="eastAsia" w:cs="仿宋_GB2312" w:asciiTheme="minorEastAsia" w:hAnsiTheme="minorEastAsia"/>
          <w:color w:val="auto"/>
          <w:sz w:val="24"/>
          <w:szCs w:val="24"/>
          <w:highlight w:val="none"/>
        </w:rPr>
        <w:t>2.未经银行书面同意，受益人与申请人修改合同或其项下附件时，银行的保证义务解除。</w:t>
      </w:r>
    </w:p>
    <w:p>
      <w:pPr>
        <w:ind w:firstLine="645"/>
        <w:rPr>
          <w:rFonts w:cs="仿宋_GB2312" w:asciiTheme="minorEastAsia" w:hAnsiTheme="minorEastAsia"/>
          <w:color w:val="auto"/>
          <w:sz w:val="24"/>
          <w:szCs w:val="24"/>
          <w:highlight w:val="none"/>
        </w:rPr>
      </w:pPr>
      <w:r>
        <w:rPr>
          <w:rFonts w:hint="eastAsia" w:cs="仿宋_GB2312" w:asciiTheme="minorEastAsia" w:hAnsiTheme="minorEastAsia"/>
          <w:color w:val="auto"/>
          <w:sz w:val="24"/>
          <w:szCs w:val="24"/>
          <w:highlight w:val="none"/>
        </w:rPr>
        <w:t>3.合同撤销或无效的，保函失效。</w:t>
      </w:r>
    </w:p>
    <w:p>
      <w:pPr>
        <w:ind w:firstLine="645"/>
        <w:rPr>
          <w:rFonts w:cs="仿宋_GB2312" w:asciiTheme="minorEastAsia" w:hAnsiTheme="minorEastAsia"/>
          <w:color w:val="auto"/>
          <w:sz w:val="24"/>
          <w:szCs w:val="24"/>
          <w:highlight w:val="none"/>
        </w:rPr>
      </w:pPr>
      <w:r>
        <w:rPr>
          <w:rFonts w:hint="eastAsia" w:cs="仿宋_GB2312" w:asciiTheme="minorEastAsia" w:hAnsiTheme="minorEastAsia"/>
          <w:color w:val="auto"/>
          <w:sz w:val="24"/>
          <w:szCs w:val="24"/>
          <w:highlight w:val="none"/>
        </w:rPr>
        <w:t>4.申请人对受益人的抗辩，银行有权向受益人主张。</w:t>
      </w:r>
    </w:p>
    <w:p>
      <w:pPr>
        <w:ind w:firstLine="645"/>
        <w:rPr>
          <w:rFonts w:hint="eastAsia" w:cs="仿宋_GB2312" w:asciiTheme="minorEastAsia" w:hAnsiTheme="minorEastAsia"/>
          <w:color w:val="auto"/>
          <w:sz w:val="24"/>
          <w:szCs w:val="24"/>
          <w:highlight w:val="none"/>
        </w:rPr>
      </w:pPr>
      <w:r>
        <w:rPr>
          <w:rFonts w:hint="eastAsia" w:cs="仿宋_GB2312" w:asciiTheme="minorEastAsia" w:hAnsiTheme="minorEastAsia"/>
          <w:color w:val="auto"/>
          <w:sz w:val="24"/>
          <w:szCs w:val="24"/>
          <w:highlight w:val="none"/>
        </w:rPr>
        <w:t>5.受益人请求付款的请款单据包含法院裁判文书、仲裁裁决、第三方单位出具的鉴定书等申请人违约的证明材料。</w:t>
      </w:r>
    </w:p>
    <w:p>
      <w:pPr>
        <w:spacing w:line="360" w:lineRule="auto"/>
        <w:jc w:val="left"/>
        <w:rPr>
          <w:rFonts w:hint="eastAsia" w:ascii="宋体" w:hAnsi="宋体" w:eastAsia="宋体" w:cs="宋体"/>
          <w:b/>
          <w:bCs/>
          <w:color w:val="auto"/>
          <w:sz w:val="21"/>
          <w:szCs w:val="21"/>
          <w:highlight w:val="none"/>
          <w:lang w:val="en-US" w:eastAsia="zh-CN"/>
        </w:rPr>
      </w:pPr>
    </w:p>
    <w:p>
      <w:pPr>
        <w:spacing w:line="360" w:lineRule="auto"/>
        <w:jc w:val="left"/>
        <w:rPr>
          <w:rFonts w:hint="eastAsia" w:ascii="宋体" w:hAnsi="宋体" w:eastAsia="宋体" w:cs="宋体"/>
          <w:b/>
          <w:bCs/>
          <w:color w:val="auto"/>
          <w:sz w:val="21"/>
          <w:szCs w:val="21"/>
          <w:highlight w:val="none"/>
          <w:lang w:val="en-US" w:eastAsia="zh-CN"/>
        </w:rPr>
      </w:pPr>
    </w:p>
    <w:p>
      <w:pPr>
        <w:spacing w:line="360" w:lineRule="auto"/>
        <w:jc w:val="left"/>
        <w:rPr>
          <w:rFonts w:hint="eastAsia" w:ascii="宋体" w:hAnsi="宋体" w:eastAsia="宋体" w:cs="宋体"/>
          <w:b/>
          <w:bCs/>
          <w:color w:val="auto"/>
          <w:sz w:val="21"/>
          <w:szCs w:val="21"/>
          <w:highlight w:val="none"/>
          <w:lang w:val="en-US" w:eastAsia="zh-CN"/>
        </w:rPr>
      </w:pPr>
    </w:p>
    <w:p>
      <w:pPr>
        <w:spacing w:line="360" w:lineRule="auto"/>
        <w:jc w:val="left"/>
        <w:rPr>
          <w:rFonts w:hint="eastAsia" w:ascii="宋体" w:hAnsi="宋体" w:eastAsia="宋体" w:cs="宋体"/>
          <w:b/>
          <w:bCs/>
          <w:color w:val="auto"/>
          <w:sz w:val="21"/>
          <w:szCs w:val="21"/>
          <w:highlight w:val="none"/>
          <w:lang w:val="en-US" w:eastAsia="zh-CN"/>
        </w:rPr>
      </w:pPr>
    </w:p>
    <w:p>
      <w:pPr>
        <w:spacing w:line="360" w:lineRule="auto"/>
        <w:jc w:val="left"/>
        <w:rPr>
          <w:rFonts w:hint="eastAsia" w:ascii="宋体" w:hAnsi="宋体" w:eastAsia="宋体" w:cs="宋体"/>
          <w:b/>
          <w:bCs/>
          <w:color w:val="auto"/>
          <w:sz w:val="21"/>
          <w:szCs w:val="21"/>
          <w:highlight w:val="none"/>
          <w:lang w:val="en-US" w:eastAsia="zh-CN"/>
        </w:rPr>
      </w:pPr>
    </w:p>
    <w:p>
      <w:pPr>
        <w:spacing w:line="360" w:lineRule="auto"/>
        <w:jc w:val="left"/>
        <w:rPr>
          <w:rFonts w:hint="eastAsia" w:ascii="宋体" w:hAnsi="宋体" w:eastAsia="宋体" w:cs="宋体"/>
          <w:b/>
          <w:bCs/>
          <w:color w:val="auto"/>
          <w:sz w:val="21"/>
          <w:szCs w:val="21"/>
          <w:highlight w:val="none"/>
          <w:lang w:val="en-US" w:eastAsia="zh-CN"/>
        </w:rPr>
      </w:pPr>
    </w:p>
    <w:p>
      <w:pPr>
        <w:spacing w:line="360" w:lineRule="auto"/>
        <w:jc w:val="left"/>
        <w:rPr>
          <w:rFonts w:hint="eastAsia" w:ascii="宋体" w:hAnsi="宋体" w:eastAsia="宋体" w:cs="宋体"/>
          <w:b/>
          <w:bCs/>
          <w:color w:val="auto"/>
          <w:sz w:val="21"/>
          <w:szCs w:val="21"/>
          <w:highlight w:val="none"/>
          <w:lang w:val="en-US" w:eastAsia="zh-CN"/>
        </w:rPr>
      </w:pPr>
    </w:p>
    <w:p>
      <w:pPr>
        <w:spacing w:line="360" w:lineRule="auto"/>
        <w:jc w:val="left"/>
        <w:rPr>
          <w:rFonts w:hint="eastAsia" w:ascii="宋体" w:hAnsi="宋体" w:eastAsia="宋体" w:cs="宋体"/>
          <w:b/>
          <w:bCs/>
          <w:color w:val="auto"/>
          <w:sz w:val="21"/>
          <w:szCs w:val="21"/>
          <w:highlight w:val="none"/>
          <w:lang w:val="en-US" w:eastAsia="zh-CN"/>
        </w:rPr>
      </w:pPr>
      <w:r>
        <w:rPr>
          <w:rFonts w:hint="eastAsia" w:ascii="宋体" w:hAnsi="宋体" w:eastAsia="宋体" w:cs="宋体"/>
          <w:b/>
          <w:bCs/>
          <w:color w:val="auto"/>
          <w:sz w:val="21"/>
          <w:szCs w:val="21"/>
          <w:highlight w:val="none"/>
          <w:lang w:val="en-US" w:eastAsia="zh-CN"/>
        </w:rPr>
        <w:t>附件10</w:t>
      </w:r>
    </w:p>
    <w:p>
      <w:pPr>
        <w:jc w:val="center"/>
        <w:rPr>
          <w:rFonts w:hint="eastAsia" w:ascii="黑体" w:hAnsi="黑体" w:eastAsia="黑体"/>
          <w:color w:val="auto"/>
          <w:sz w:val="36"/>
          <w:szCs w:val="36"/>
          <w:highlight w:val="none"/>
        </w:rPr>
      </w:pPr>
      <w:r>
        <w:rPr>
          <w:rFonts w:hint="eastAsia" w:ascii="黑体" w:hAnsi="黑体" w:eastAsia="黑体"/>
          <w:color w:val="auto"/>
          <w:sz w:val="36"/>
          <w:szCs w:val="36"/>
          <w:highlight w:val="none"/>
        </w:rPr>
        <w:t>预付款保函模板</w:t>
      </w:r>
    </w:p>
    <w:p>
      <w:pPr>
        <w:rPr>
          <w:color w:val="auto"/>
          <w:highlight w:val="none"/>
        </w:rPr>
      </w:pPr>
    </w:p>
    <w:p>
      <w:pPr>
        <w:rPr>
          <w:rFonts w:hint="eastAsia" w:ascii="仿宋" w:hAnsi="仿宋" w:eastAsia="仿宋"/>
          <w:color w:val="auto"/>
          <w:sz w:val="28"/>
          <w:szCs w:val="28"/>
          <w:highlight w:val="none"/>
        </w:rPr>
      </w:pPr>
      <w:r>
        <w:rPr>
          <w:rFonts w:hint="eastAsia" w:ascii="仿宋" w:hAnsi="仿宋" w:eastAsia="仿宋"/>
          <w:color w:val="auto"/>
          <w:sz w:val="28"/>
          <w:szCs w:val="28"/>
          <w:highlight w:val="none"/>
        </w:rPr>
        <w:t>致：</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 xml:space="preserve"> （受益人）</w:t>
      </w:r>
    </w:p>
    <w:p>
      <w:pPr>
        <w:rPr>
          <w:rFonts w:ascii="仿宋" w:hAnsi="仿宋" w:eastAsia="仿宋"/>
          <w:color w:val="auto"/>
          <w:sz w:val="28"/>
          <w:szCs w:val="28"/>
          <w:highlight w:val="none"/>
        </w:rPr>
      </w:pPr>
    </w:p>
    <w:p>
      <w:pPr>
        <w:ind w:firstLine="280" w:firstLineChars="1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鉴于</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（以下简称“委托人”）与你方于</w:t>
      </w:r>
      <w:r>
        <w:rPr>
          <w:rFonts w:hint="eastAsia" w:ascii="仿宋" w:hAnsi="仿宋" w:eastAsia="仿宋"/>
          <w:color w:val="auto"/>
          <w:sz w:val="28"/>
          <w:szCs w:val="28"/>
          <w:highlight w:val="none"/>
          <w:u w:val="single"/>
        </w:rPr>
        <w:t xml:space="preserve">   年  月  日</w:t>
      </w:r>
      <w:r>
        <w:rPr>
          <w:rFonts w:hint="eastAsia" w:ascii="仿宋" w:hAnsi="仿宋" w:eastAsia="仿宋"/>
          <w:color w:val="auto"/>
          <w:sz w:val="28"/>
          <w:szCs w:val="28"/>
          <w:highlight w:val="none"/>
        </w:rPr>
        <w:t>签订了</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（以下简称“合同”），你方将按上述基础交易合同约定向委托人支付预付款人民币</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元（大写：</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）。我行接受委托人的申请，特此开立以你方为受益人的最高金额为人民币</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（大写：</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）（以下称“保函金额”）的保函。</w:t>
      </w:r>
    </w:p>
    <w:p>
      <w:pPr>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一、本保函为不可撤销、见索即付的独立保函。</w:t>
      </w:r>
    </w:p>
    <w:p>
      <w:pPr>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二、在本保函的有效期内，如委托人违反上述基础交易合同约定的义务而未向你方退还预付款，我行将在收到你方提交的符合下述要求的索赔通知书后</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日内，以上述保函金额为限向你方支付相应款项。</w:t>
      </w:r>
    </w:p>
    <w:p>
      <w:pPr>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（一）索赔通知书须写明请求付款的金额，并声明该款项并未由委托人或其代理人直接或间接地支付给你方；</w:t>
      </w:r>
    </w:p>
    <w:p>
      <w:pPr>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（二）索赔通知书应由你方法定代表人签字并加盖公章；</w:t>
      </w:r>
    </w:p>
    <w:p>
      <w:pPr>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（三）索赔通知书必须于本保函有效期截止日前送达我行。</w:t>
      </w:r>
    </w:p>
    <w:p>
      <w:pPr>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三、合同的任何修改、变更、解释或不可执行都不能削弱或免除我行按本保函应承担的义务。</w:t>
      </w:r>
    </w:p>
    <w:p>
      <w:pPr>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本保函金额将随我行已向你方支付的金额而自动作相应递减。</w:t>
      </w:r>
    </w:p>
    <w:p>
      <w:pPr>
        <w:ind w:firstLine="560" w:firstLineChars="200"/>
        <w:rPr>
          <w:rFonts w:hint="eastAsia" w:ascii="仿宋" w:hAnsi="仿宋" w:eastAsia="仿宋"/>
          <w:color w:val="auto"/>
          <w:sz w:val="28"/>
          <w:szCs w:val="28"/>
          <w:highlight w:val="none"/>
        </w:rPr>
      </w:pPr>
      <w:r>
        <w:rPr>
          <w:rFonts w:hint="eastAsia" w:ascii="仿宋" w:hAnsi="仿宋" w:eastAsia="仿宋"/>
          <w:color w:val="auto"/>
          <w:sz w:val="28"/>
          <w:szCs w:val="28"/>
          <w:highlight w:val="none"/>
        </w:rPr>
        <w:t>四、本保函未经我行书面同意不得转让。</w:t>
      </w:r>
    </w:p>
    <w:p>
      <w:pPr>
        <w:pStyle w:val="2"/>
        <w:rPr>
          <w:color w:val="auto"/>
          <w:highlight w:val="none"/>
        </w:rPr>
      </w:pPr>
      <w:r>
        <w:rPr>
          <w:rFonts w:hint="eastAsia" w:ascii="仿宋" w:hAnsi="仿宋" w:eastAsia="仿宋"/>
          <w:color w:val="auto"/>
          <w:sz w:val="28"/>
          <w:szCs w:val="28"/>
          <w:highlight w:val="none"/>
        </w:rPr>
        <w:t>五、本保函自签发之日起生效，有效期至</w:t>
      </w:r>
      <w:r>
        <w:rPr>
          <w:rFonts w:hint="eastAsia" w:ascii="仿宋" w:hAnsi="仿宋" w:eastAsia="仿宋"/>
          <w:color w:val="auto"/>
          <w:sz w:val="28"/>
          <w:szCs w:val="28"/>
          <w:highlight w:val="none"/>
          <w:u w:val="single"/>
        </w:rPr>
        <w:t xml:space="preserve">           </w:t>
      </w:r>
      <w:r>
        <w:rPr>
          <w:rFonts w:hint="eastAsia" w:ascii="仿宋" w:hAnsi="仿宋" w:eastAsia="仿宋"/>
          <w:color w:val="auto"/>
          <w:sz w:val="28"/>
          <w:szCs w:val="28"/>
          <w:highlight w:val="none"/>
        </w:rPr>
        <w:t>止。在上述期限内若累计赔偿额达到前述保函金额，本保函提前失效。本保函到期后，无论保函原件是否退回我行，皆告失效。</w:t>
      </w:r>
    </w:p>
    <w:p>
      <w:pPr>
        <w:rPr>
          <w:rFonts w:cs="仿宋_GB2312" w:asciiTheme="minorEastAsia" w:hAnsiTheme="minorEastAsia"/>
          <w:color w:val="auto"/>
          <w:sz w:val="24"/>
          <w:szCs w:val="24"/>
          <w:highlight w:val="none"/>
        </w:rPr>
      </w:pPr>
    </w:p>
    <w:p>
      <w:pPr>
        <w:rPr>
          <w:rFonts w:cs="仿宋_GB2312" w:asciiTheme="minorEastAsia" w:hAnsiTheme="minorEastAsia"/>
          <w:color w:val="auto"/>
          <w:sz w:val="24"/>
          <w:szCs w:val="24"/>
          <w:highlight w:val="none"/>
        </w:rPr>
      </w:pPr>
    </w:p>
    <w:p>
      <w:pPr>
        <w:rPr>
          <w:rFonts w:cs="仿宋_GB2312" w:asciiTheme="minorEastAsia" w:hAnsiTheme="minorEastAsia"/>
          <w:color w:val="auto"/>
          <w:sz w:val="24"/>
          <w:szCs w:val="24"/>
          <w:highlight w:val="none"/>
        </w:rPr>
      </w:pPr>
    </w:p>
    <w:p>
      <w:pPr>
        <w:pStyle w:val="4"/>
        <w:jc w:val="both"/>
        <w:rPr>
          <w:color w:val="auto"/>
          <w:highlight w:val="none"/>
        </w:rPr>
      </w:pPr>
      <w:bookmarkStart w:id="159" w:name="_Toc23515"/>
      <w:bookmarkStart w:id="160" w:name="_Toc12169"/>
      <w:bookmarkStart w:id="161" w:name="_Toc6230"/>
      <w:bookmarkStart w:id="162" w:name="_Toc16552"/>
      <w:bookmarkStart w:id="163" w:name="_Toc30824"/>
      <w:bookmarkStart w:id="164" w:name="_Toc8147"/>
      <w:bookmarkStart w:id="165" w:name="_Toc1563"/>
      <w:bookmarkStart w:id="166" w:name="_Toc28358"/>
      <w:bookmarkStart w:id="167" w:name="_Toc21847"/>
      <w:bookmarkStart w:id="168" w:name="_Toc5129"/>
      <w:bookmarkStart w:id="169" w:name="_Toc3723"/>
    </w:p>
    <w:p>
      <w:pPr>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4"/>
        <w:rPr>
          <w:color w:val="auto"/>
          <w:highlight w:val="none"/>
        </w:rPr>
      </w:pPr>
      <w:r>
        <w:rPr>
          <w:color w:val="auto"/>
          <w:highlight w:val="none"/>
        </w:rPr>
        <mc:AlternateContent>
          <mc:Choice Requires="wps">
            <w:drawing>
              <wp:anchor distT="0" distB="0" distL="114300" distR="114300" simplePos="0" relativeHeight="251669504" behindDoc="0" locked="0" layoutInCell="1" allowOverlap="1">
                <wp:simplePos x="0" y="0"/>
                <wp:positionH relativeFrom="column">
                  <wp:posOffset>2306320</wp:posOffset>
                </wp:positionH>
                <wp:positionV relativeFrom="paragraph">
                  <wp:posOffset>720090</wp:posOffset>
                </wp:positionV>
                <wp:extent cx="958850" cy="0"/>
                <wp:effectExtent l="0" t="0" r="0" b="0"/>
                <wp:wrapNone/>
                <wp:docPr id="9" name="自选图形 11"/>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1" o:spid="_x0000_s1026" o:spt="32" type="#_x0000_t32" style="position:absolute;left:0pt;margin-left:181.6pt;margin-top:56.7pt;height:0pt;width:75.5pt;z-index:251669504;mso-width-relative:page;mso-height-relative:page;" filled="f" stroked="t" coordsize="21600,21600" o:gfxdata="UEsDBAoAAAAAAIdO4kAAAAAAAAAAAAAAAAAEAAAAZHJzL1BLAwQUAAAACACHTuJANWbC+tcAAAAL&#10;AQAADwAAAGRycy9kb3ducmV2LnhtbE2PwU7DMBBE70j8g7VIXBC1nbQVhDgVQuLAkbYSVzdekkC8&#10;jmKnKf16FgkJjjvzNDtTbk6+F0ccYxfIgF4oEEh1cB01Bva759s7EDFZcrYPhAa+MMKmurwobeHC&#10;TK943KZGcAjFwhpoUxoKKWPdordxEQYk9t7D6G3ic2ykG+3M4b6XmVJr6W1H/KG1Az61WH9uJ28A&#10;47TS6vHeN/uX83zzlp0/5mFnzPWVVg8gEp7SHww/9bk6VNzpECZyUfQG8nWeMcqGzpcgmFjpJSuH&#10;X0VWpfy/ofoGUEsDBBQAAAAIAIdO4kBP4iD78wEAAOMDAAAOAAAAZHJzL2Uyb0RvYy54bWytU82O&#10;0zAQviPxDpbvNE2lom7UdA8tywVBJeABpo6TWPKfPN6mvXFDPAM3jrwDvM1K7FswdrpdWC49kIMz&#10;9sx8M9/n8fL6YDTby4DK2ZqXkyln0grXKNvV/OOHmxcLzjCCbUA7K2t+lMivV8+fLQdfyZnrnW5k&#10;YARisRp8zfsYfVUUKHppACfOS0vO1gUDkbahK5oAA6EbXcym05fF4ELjgxMSkU43o5OfEMMlgK5t&#10;lZAbJ26NtHFEDVJDJErYK498lbttWyniu7ZFGZmuOTGNeaUiZO/SWqyWUHUBfK/EqQW4pIUnnAwo&#10;S0XPUBuIwG6D+gfKKBEcujZOhDPFSCQrQizK6RNt3vfgZeZCUqM/i47/D1a83W8DU03NrzizYOjC&#10;f33+fv/py93Xn3c/vrGyTBINHiuKXNttOO3Qb0Pie2iDSX9iwg5Z1uNZVnmITNDh1XyxmJPg4sFV&#10;POb5gPG1dIYlo+YYA6iuj2tnLd2dC2VWFfZvMFJlSnxISEW1ZUOCn80JHGgWW5oBMo0nPmi7nItO&#10;q+ZGaZ0yMHS7tQ5sD2ke8pf4Ee5fYanIBrAf47JrnJReQvPKNiwePSll6YHw1IKRDWda0ntKFgFC&#10;FUHpSyKptLbUQZJ4FDVZO9ccs9b5nO4+93ia0zRcf+5z9uPbXP0G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NWbC+tcAAAALAQAADwAAAAAAAAABACAAAAAiAAAAZHJzL2Rvd25yZXYueG1sUEsBAhQA&#10;FAAAAAgAh07iQE/iIPvzAQAA4wMAAA4AAAAAAAAAAQAgAAAAJgEAAGRycy9lMm9Eb2MueG1sUEsF&#10;BgAAAAAGAAYAWQEAAIsFAAAAAA==&#10;">
                <v:fill on="f" focussize="0,0"/>
                <v:stroke color="#000000" joinstyle="round"/>
                <v:imagedata o:title=""/>
                <o:lock v:ext="edit" aspectratio="f"/>
              </v:shape>
            </w:pict>
          </mc:Fallback>
        </mc:AlternateContent>
      </w:r>
      <w:r>
        <w:rPr>
          <w:color w:val="auto"/>
          <w:highlight w:val="none"/>
        </w:rPr>
        <mc:AlternateContent>
          <mc:Choice Requires="wps">
            <w:drawing>
              <wp:anchor distT="0" distB="0" distL="114300" distR="114300" simplePos="0" relativeHeight="251668480" behindDoc="0" locked="0" layoutInCell="1" allowOverlap="1">
                <wp:simplePos x="0" y="0"/>
                <wp:positionH relativeFrom="column">
                  <wp:posOffset>2325370</wp:posOffset>
                </wp:positionH>
                <wp:positionV relativeFrom="paragraph">
                  <wp:posOffset>270510</wp:posOffset>
                </wp:positionV>
                <wp:extent cx="958850" cy="0"/>
                <wp:effectExtent l="0" t="0" r="0" b="0"/>
                <wp:wrapNone/>
                <wp:docPr id="8" name="自选图形 10"/>
                <wp:cNvGraphicFramePr/>
                <a:graphic xmlns:a="http://schemas.openxmlformats.org/drawingml/2006/main">
                  <a:graphicData uri="http://schemas.microsoft.com/office/word/2010/wordprocessingShape">
                    <wps:wsp>
                      <wps:cNvCnPr/>
                      <wps:spPr>
                        <a:xfrm>
                          <a:off x="0" y="0"/>
                          <a:ext cx="95885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自选图形 10" o:spid="_x0000_s1026" o:spt="32" type="#_x0000_t32" style="position:absolute;left:0pt;margin-left:183.1pt;margin-top:21.3pt;height:0pt;width:75.5pt;z-index:251668480;mso-width-relative:page;mso-height-relative:page;" filled="f" stroked="t" coordsize="21600,21600" o:gfxdata="UEsDBAoAAAAAAIdO4kAAAAAAAAAAAAAAAAAEAAAAZHJzL1BLAwQUAAAACACHTuJAnw64ENcAAAAJ&#10;AQAADwAAAGRycy9kb3ducmV2LnhtbE2PwU7DMAyG70i8Q2QkLoglLaxA13RCSBw4sk3aNWtMW9Y4&#10;VZOuY0+PEYft6N+ffn8ulkfXiQMOofWkIZkpEEiVty3VGjbr9/tnECEasqbzhBp+MMCyvL4qTG79&#10;RJ94WMVacAmF3GhoYuxzKUPVoDNh5nsk3n35wZnI41BLO5iJy10nU6Uy6UxLfKExPb41WO1Xo9OA&#10;YZwn6vXF1ZuP03S3TU/fU7/W+vYmUQsQEY/xDMOfPqtDyU47P5INotPwkGUpoxoe0wwEA/PkiYPd&#10;fyDLQl5+UP4CUEsDBBQAAAAIAIdO4kAwZ1578AEAAOMDAAAOAAAAZHJzL2Uyb0RvYy54bWytUz2u&#10;EzEQ7pG4g+WebBIpKETZvCLh0SCIBBzAsb27lvynGb9s0tEhzkBHyR3gNk+CWzD25iXwaFKwhXds&#10;z3wz3zfj5c3BWbbXgCb4mk9GY860l0EZ39b8w/vbZ3POMAmvhA1e1/yokd+snj5Z9nGhp6ELVmlg&#10;BOJx0ceadynFRVWh7LQTOApRe7psAjiRaAttpUD0hO5sNR2Pn1d9ABUhSI1Ip5vhkp8Q4RrA0DRG&#10;6k2Qd077NKCCtiIRJexMRL4q1TaNlult06BOzNacmKayUhKyd3mtVkuxaEHEzshTCeKaEh5xcsJ4&#10;SnqG2ogk2B2Yf6CckRAwNGkkg6sGIkURYjEZP9LmXSeiLlxIaoxn0fH/wco3+y0wo2pObffCUcN/&#10;fvr26+Pn+y8/7r9/ZZMiUR9xQZ5rvwUSLO8wbiHzPTTg8p+YsEOR9XiWVR8Sk3T4Yjafz0hw+XBV&#10;XeIiYHqlg2PZqDkmEKbt0jp4T70LMCmqiv1rTJSZAh8CclLrWZ/hpzMCFzSLDc0AmS4SH/RticVg&#10;jbo11uYIhHa3tsD2Is9D+fIIEO5fbjnJRmA3+JWrYVI6LdRLr1g6RlLK0wPhuQSnFWdW03vKVpmp&#10;JIy9xpNSW08VXETN1i6oY9G6nFPvS42nOc3D9ee+RF/e5uo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nw64ENcAAAAJAQAADwAAAAAAAAABACAAAAAiAAAAZHJzL2Rvd25yZXYueG1sUEsBAhQAFAAA&#10;AAgAh07iQDBnXnvwAQAA4wMAAA4AAAAAAAAAAQAgAAAAJgEAAGRycy9lMm9Eb2MueG1sUEsFBgAA&#10;AAAGAAYAWQEAAIgFAAAAAA==&#10;">
                <v:fill on="f" focussize="0,0"/>
                <v:stroke color="#000000" joinstyle="round"/>
                <v:imagedata o:title=""/>
                <o:lock v:ext="edit" aspectratio="f"/>
              </v:shape>
            </w:pict>
          </mc:Fallback>
        </mc:AlternateContent>
      </w:r>
      <w:r>
        <w:rPr>
          <w:rFonts w:hint="eastAsia"/>
          <w:color w:val="auto"/>
          <w:highlight w:val="none"/>
        </w:rPr>
        <w:t>第七章</w:t>
      </w:r>
      <w:bookmarkEnd w:id="159"/>
      <w:bookmarkEnd w:id="160"/>
      <w:bookmarkEnd w:id="161"/>
      <w:bookmarkEnd w:id="162"/>
      <w:bookmarkEnd w:id="163"/>
      <w:bookmarkEnd w:id="164"/>
      <w:bookmarkEnd w:id="165"/>
      <w:bookmarkEnd w:id="166"/>
      <w:bookmarkEnd w:id="167"/>
      <w:bookmarkEnd w:id="168"/>
      <w:bookmarkEnd w:id="169"/>
    </w:p>
    <w:p>
      <w:pPr>
        <w:pStyle w:val="34"/>
        <w:rPr>
          <w:color w:val="auto"/>
          <w:highlight w:val="none"/>
        </w:rPr>
      </w:pPr>
    </w:p>
    <w:p>
      <w:pPr>
        <w:pStyle w:val="4"/>
        <w:rPr>
          <w:color w:val="auto"/>
          <w:highlight w:val="none"/>
        </w:rPr>
      </w:pPr>
      <w:bookmarkStart w:id="170" w:name="_Toc22764"/>
      <w:bookmarkStart w:id="171" w:name="_Toc30157"/>
      <w:bookmarkStart w:id="172" w:name="_Toc31564"/>
      <w:bookmarkStart w:id="173" w:name="_Toc17119"/>
      <w:bookmarkStart w:id="174" w:name="_Toc88209951"/>
      <w:bookmarkStart w:id="175" w:name="_Toc87616388"/>
      <w:bookmarkStart w:id="176" w:name="_Toc10840"/>
      <w:bookmarkStart w:id="177" w:name="_Toc21675"/>
      <w:bookmarkStart w:id="178" w:name="_Toc24490"/>
      <w:bookmarkStart w:id="179" w:name="_Toc24815"/>
      <w:bookmarkStart w:id="180" w:name="_Toc12610"/>
      <w:bookmarkStart w:id="181" w:name="_Toc5342"/>
      <w:bookmarkStart w:id="182" w:name="_Toc12769"/>
      <w:r>
        <w:rPr>
          <w:rFonts w:hint="eastAsia"/>
          <w:color w:val="auto"/>
          <w:highlight w:val="none"/>
        </w:rPr>
        <w:t>响应文件格式要求</w:t>
      </w:r>
      <w:bookmarkEnd w:id="170"/>
      <w:bookmarkEnd w:id="171"/>
      <w:bookmarkEnd w:id="172"/>
      <w:bookmarkEnd w:id="173"/>
      <w:bookmarkEnd w:id="174"/>
      <w:bookmarkEnd w:id="175"/>
      <w:bookmarkEnd w:id="176"/>
      <w:bookmarkEnd w:id="177"/>
      <w:bookmarkEnd w:id="178"/>
      <w:bookmarkEnd w:id="179"/>
      <w:bookmarkEnd w:id="180"/>
      <w:bookmarkEnd w:id="181"/>
      <w:bookmarkEnd w:id="182"/>
    </w:p>
    <w:p>
      <w:pPr>
        <w:adjustRightInd w:val="0"/>
        <w:snapToGrid w:val="0"/>
        <w:spacing w:before="156" w:beforeLines="50" w:after="156" w:afterLines="50" w:line="600" w:lineRule="exact"/>
        <w:jc w:val="center"/>
        <w:rPr>
          <w:rFonts w:ascii="方正小标宋简体" w:eastAsia="方正小标宋简体"/>
          <w:color w:val="auto"/>
          <w:sz w:val="44"/>
          <w:szCs w:val="44"/>
          <w:highlight w:val="none"/>
        </w:rPr>
      </w:pPr>
    </w:p>
    <w:p>
      <w:pPr>
        <w:adjustRightInd w:val="0"/>
        <w:snapToGrid w:val="0"/>
        <w:spacing w:before="156" w:beforeLines="50" w:after="156" w:afterLines="50" w:line="600" w:lineRule="exact"/>
        <w:jc w:val="center"/>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pStyle w:val="2"/>
        <w:rPr>
          <w:rFonts w:ascii="方正小标宋简体" w:eastAsia="方正小标宋简体"/>
          <w:color w:val="auto"/>
          <w:sz w:val="44"/>
          <w:szCs w:val="44"/>
          <w:highlight w:val="none"/>
        </w:rPr>
      </w:pPr>
    </w:p>
    <w:p>
      <w:pPr>
        <w:adjustRightInd w:val="0"/>
        <w:snapToGrid w:val="0"/>
        <w:spacing w:before="156" w:beforeLines="50" w:after="156" w:afterLines="50" w:line="600" w:lineRule="exact"/>
        <w:jc w:val="center"/>
        <w:rPr>
          <w:rFonts w:ascii="方正小标宋简体" w:eastAsia="方正小标宋简体"/>
          <w:color w:val="auto"/>
          <w:sz w:val="44"/>
          <w:szCs w:val="44"/>
          <w:highlight w:val="none"/>
          <w:u w:val="single"/>
        </w:rPr>
      </w:pPr>
      <w:r>
        <w:rPr>
          <w:rFonts w:hint="eastAsia" w:ascii="方正小标宋简体" w:eastAsia="方正小标宋简体"/>
          <w:color w:val="auto"/>
          <w:sz w:val="44"/>
          <w:szCs w:val="44"/>
          <w:highlight w:val="none"/>
          <w:u w:val="single"/>
        </w:rPr>
        <w:t>（项目名称、标段/标包号）</w:t>
      </w:r>
    </w:p>
    <w:p>
      <w:pPr>
        <w:adjustRightInd w:val="0"/>
        <w:snapToGrid w:val="0"/>
        <w:spacing w:before="156" w:beforeLines="50" w:after="156" w:afterLines="50" w:line="600" w:lineRule="exact"/>
        <w:jc w:val="center"/>
        <w:rPr>
          <w:rFonts w:ascii="仿宋_GB2312" w:eastAsia="仿宋_GB2312"/>
          <w:color w:val="auto"/>
          <w:sz w:val="30"/>
          <w:szCs w:val="30"/>
          <w:highlight w:val="none"/>
        </w:rPr>
      </w:pPr>
    </w:p>
    <w:p>
      <w:pPr>
        <w:adjustRightInd w:val="0"/>
        <w:snapToGrid w:val="0"/>
        <w:spacing w:before="156" w:beforeLines="50" w:after="156" w:afterLines="50" w:line="600" w:lineRule="exact"/>
        <w:jc w:val="center"/>
        <w:rPr>
          <w:rFonts w:ascii="仿宋_GB2312" w:eastAsia="仿宋_GB2312"/>
          <w:color w:val="auto"/>
          <w:sz w:val="30"/>
          <w:szCs w:val="30"/>
          <w:highlight w:val="none"/>
        </w:rPr>
      </w:pPr>
      <w:r>
        <w:rPr>
          <w:rFonts w:hint="eastAsia" w:ascii="仿宋_GB2312" w:eastAsia="仿宋_GB2312"/>
          <w:color w:val="auto"/>
          <w:sz w:val="30"/>
          <w:szCs w:val="30"/>
          <w:highlight w:val="none"/>
        </w:rPr>
        <w:t>（项目编号：   ）</w:t>
      </w:r>
    </w:p>
    <w:p>
      <w:pPr>
        <w:adjustRightInd w:val="0"/>
        <w:snapToGrid w:val="0"/>
        <w:spacing w:before="156" w:beforeLines="50" w:after="156" w:afterLines="50" w:line="600" w:lineRule="exact"/>
        <w:jc w:val="center"/>
        <w:rPr>
          <w:rFonts w:ascii="方正小标宋简体" w:eastAsia="方正小标宋简体"/>
          <w:color w:val="auto"/>
          <w:sz w:val="44"/>
          <w:szCs w:val="44"/>
          <w:highlight w:val="none"/>
        </w:rPr>
      </w:pPr>
    </w:p>
    <w:p>
      <w:pPr>
        <w:jc w:val="center"/>
        <w:rPr>
          <w:rFonts w:ascii="方正小标宋简体" w:eastAsia="方正小标宋简体"/>
          <w:color w:val="auto"/>
          <w:sz w:val="48"/>
          <w:szCs w:val="48"/>
          <w:highlight w:val="none"/>
        </w:rPr>
      </w:pPr>
    </w:p>
    <w:p>
      <w:pPr>
        <w:pStyle w:val="2"/>
        <w:rPr>
          <w:rFonts w:ascii="方正小标宋简体" w:eastAsia="方正小标宋简体"/>
          <w:color w:val="auto"/>
          <w:sz w:val="48"/>
          <w:szCs w:val="48"/>
          <w:highlight w:val="none"/>
        </w:rPr>
      </w:pPr>
    </w:p>
    <w:p>
      <w:pPr>
        <w:pStyle w:val="2"/>
        <w:rPr>
          <w:rFonts w:ascii="方正小标宋简体" w:eastAsia="方正小标宋简体"/>
          <w:color w:val="auto"/>
          <w:sz w:val="48"/>
          <w:szCs w:val="48"/>
          <w:highlight w:val="none"/>
        </w:rPr>
      </w:pPr>
    </w:p>
    <w:p>
      <w:pPr>
        <w:pStyle w:val="2"/>
        <w:rPr>
          <w:rFonts w:ascii="方正小标宋简体" w:eastAsia="方正小标宋简体"/>
          <w:color w:val="auto"/>
          <w:sz w:val="48"/>
          <w:szCs w:val="48"/>
          <w:highlight w:val="none"/>
        </w:rPr>
      </w:pPr>
    </w:p>
    <w:p>
      <w:pPr>
        <w:pStyle w:val="2"/>
        <w:rPr>
          <w:rFonts w:ascii="方正小标宋简体" w:eastAsia="方正小标宋简体"/>
          <w:color w:val="auto"/>
          <w:sz w:val="48"/>
          <w:szCs w:val="48"/>
          <w:highlight w:val="none"/>
        </w:rPr>
      </w:pPr>
    </w:p>
    <w:p>
      <w:pPr>
        <w:pStyle w:val="2"/>
        <w:ind w:firstLine="0"/>
        <w:rPr>
          <w:rFonts w:ascii="方正小标宋简体" w:eastAsia="方正小标宋简体"/>
          <w:color w:val="auto"/>
          <w:sz w:val="48"/>
          <w:szCs w:val="48"/>
          <w:highlight w:val="none"/>
        </w:rPr>
      </w:pPr>
    </w:p>
    <w:p>
      <w:pPr>
        <w:adjustRightInd w:val="0"/>
        <w:snapToGrid w:val="0"/>
        <w:spacing w:line="600" w:lineRule="exact"/>
        <w:ind w:left="1" w:firstLine="709" w:firstLineChars="197"/>
        <w:jc w:val="center"/>
        <w:rPr>
          <w:rFonts w:ascii="仿宋_GB2312" w:eastAsia="仿宋_GB2312" w:hAnsiTheme="minorEastAsia"/>
          <w:color w:val="auto"/>
          <w:sz w:val="36"/>
          <w:szCs w:val="36"/>
          <w:highlight w:val="none"/>
        </w:rPr>
      </w:pPr>
      <w:r>
        <w:rPr>
          <w:rFonts w:hint="eastAsia" w:ascii="仿宋_GB2312" w:eastAsia="仿宋_GB2312" w:hAnsiTheme="minorEastAsia"/>
          <w:color w:val="auto"/>
          <w:sz w:val="36"/>
          <w:szCs w:val="36"/>
          <w:highlight w:val="none"/>
        </w:rPr>
        <w:t>供应商：</w:t>
      </w:r>
      <w:r>
        <w:rPr>
          <w:rFonts w:hint="eastAsia" w:ascii="仿宋_GB2312" w:eastAsia="仿宋_GB2312" w:hAnsiTheme="minorEastAsia"/>
          <w:color w:val="auto"/>
          <w:sz w:val="36"/>
          <w:szCs w:val="36"/>
          <w:highlight w:val="none"/>
          <w:u w:val="single"/>
        </w:rPr>
        <w:t xml:space="preserve">                 </w:t>
      </w:r>
      <w:r>
        <w:rPr>
          <w:rFonts w:hint="eastAsia" w:ascii="仿宋_GB2312" w:eastAsia="仿宋_GB2312" w:hAnsiTheme="minorEastAsia"/>
          <w:color w:val="auto"/>
          <w:sz w:val="36"/>
          <w:szCs w:val="36"/>
          <w:highlight w:val="none"/>
        </w:rPr>
        <w:t>（单位公章）</w:t>
      </w:r>
    </w:p>
    <w:p>
      <w:pPr>
        <w:adjustRightInd w:val="0"/>
        <w:snapToGrid w:val="0"/>
        <w:spacing w:line="600" w:lineRule="exact"/>
        <w:ind w:left="1" w:right="560" w:firstLine="709" w:firstLineChars="197"/>
        <w:jc w:val="center"/>
        <w:rPr>
          <w:rFonts w:ascii="仿宋_GB2312" w:eastAsia="仿宋_GB2312" w:hAnsiTheme="minorEastAsia"/>
          <w:color w:val="auto"/>
          <w:sz w:val="36"/>
          <w:szCs w:val="36"/>
          <w:highlight w:val="none"/>
        </w:rPr>
      </w:pPr>
      <w:r>
        <w:rPr>
          <w:rFonts w:hint="eastAsia" w:ascii="仿宋_GB2312" w:eastAsia="仿宋_GB2312" w:hAnsiTheme="minorEastAsia"/>
          <w:color w:val="auto"/>
          <w:sz w:val="36"/>
          <w:szCs w:val="36"/>
          <w:highlight w:val="none"/>
          <w:u w:val="single"/>
        </w:rPr>
        <w:t xml:space="preserve">    </w:t>
      </w:r>
      <w:r>
        <w:rPr>
          <w:rFonts w:hint="eastAsia" w:ascii="仿宋_GB2312" w:eastAsia="仿宋_GB2312" w:hAnsiTheme="minorEastAsia"/>
          <w:color w:val="auto"/>
          <w:sz w:val="36"/>
          <w:szCs w:val="36"/>
          <w:highlight w:val="none"/>
        </w:rPr>
        <w:t>年</w:t>
      </w:r>
      <w:r>
        <w:rPr>
          <w:rFonts w:hint="eastAsia" w:ascii="仿宋_GB2312" w:eastAsia="仿宋_GB2312" w:hAnsiTheme="minorEastAsia"/>
          <w:color w:val="auto"/>
          <w:sz w:val="36"/>
          <w:szCs w:val="36"/>
          <w:highlight w:val="none"/>
          <w:u w:val="single"/>
        </w:rPr>
        <w:t xml:space="preserve">    </w:t>
      </w:r>
      <w:r>
        <w:rPr>
          <w:rFonts w:hint="eastAsia" w:ascii="仿宋_GB2312" w:eastAsia="仿宋_GB2312" w:hAnsiTheme="minorEastAsia"/>
          <w:color w:val="auto"/>
          <w:sz w:val="36"/>
          <w:szCs w:val="36"/>
          <w:highlight w:val="none"/>
        </w:rPr>
        <w:t>月</w:t>
      </w:r>
      <w:r>
        <w:rPr>
          <w:rFonts w:hint="eastAsia" w:ascii="仿宋_GB2312" w:eastAsia="仿宋_GB2312" w:hAnsiTheme="minorEastAsia"/>
          <w:color w:val="auto"/>
          <w:sz w:val="36"/>
          <w:szCs w:val="36"/>
          <w:highlight w:val="none"/>
          <w:u w:val="single"/>
        </w:rPr>
        <w:t xml:space="preserve">    </w:t>
      </w:r>
      <w:r>
        <w:rPr>
          <w:rFonts w:hint="eastAsia" w:ascii="仿宋_GB2312" w:eastAsia="仿宋_GB2312" w:hAnsiTheme="minorEastAsia"/>
          <w:color w:val="auto"/>
          <w:sz w:val="36"/>
          <w:szCs w:val="36"/>
          <w:highlight w:val="none"/>
        </w:rPr>
        <w:t>日</w:t>
      </w:r>
    </w:p>
    <w:p>
      <w:pPr>
        <w:adjustRightInd w:val="0"/>
        <w:snapToGrid w:val="0"/>
        <w:spacing w:before="156" w:beforeLines="50" w:after="156" w:afterLines="50" w:line="600" w:lineRule="exact"/>
        <w:jc w:val="center"/>
        <w:rPr>
          <w:rFonts w:ascii="方正小标宋简体" w:eastAsia="方正小标宋简体"/>
          <w:color w:val="auto"/>
          <w:sz w:val="44"/>
          <w:szCs w:val="44"/>
          <w:highlight w:val="none"/>
        </w:rPr>
      </w:pPr>
    </w:p>
    <w:p>
      <w:pPr>
        <w:adjustRightInd w:val="0"/>
        <w:snapToGrid w:val="0"/>
        <w:spacing w:before="156" w:beforeLines="50" w:after="156" w:afterLines="50" w:line="600" w:lineRule="exact"/>
        <w:rPr>
          <w:rFonts w:ascii="方正小标宋简体" w:eastAsia="方正小标宋简体"/>
          <w:color w:val="auto"/>
          <w:sz w:val="30"/>
          <w:szCs w:val="30"/>
          <w:highlight w:val="none"/>
        </w:rPr>
      </w:pPr>
    </w:p>
    <w:p>
      <w:pPr>
        <w:adjustRightInd w:val="0"/>
        <w:snapToGrid w:val="0"/>
        <w:spacing w:before="156" w:beforeLines="50" w:after="156" w:afterLines="50" w:line="600" w:lineRule="exact"/>
        <w:jc w:val="center"/>
        <w:rPr>
          <w:rFonts w:ascii="方正小标宋简体" w:eastAsia="方正小标宋简体"/>
          <w:color w:val="auto"/>
          <w:sz w:val="44"/>
          <w:szCs w:val="44"/>
          <w:highlight w:val="none"/>
        </w:rPr>
      </w:pPr>
      <w:r>
        <w:rPr>
          <w:rFonts w:ascii="方正小标宋简体" w:eastAsia="方正小标宋简体"/>
          <w:color w:val="auto"/>
          <w:sz w:val="44"/>
          <w:szCs w:val="44"/>
          <w:highlight w:val="none"/>
        </w:rPr>
        <w:t>目</w:t>
      </w:r>
      <w:r>
        <w:rPr>
          <w:rFonts w:hint="eastAsia" w:ascii="方正小标宋简体" w:eastAsia="方正小标宋简体"/>
          <w:color w:val="auto"/>
          <w:sz w:val="44"/>
          <w:szCs w:val="44"/>
          <w:highlight w:val="none"/>
        </w:rPr>
        <w:t xml:space="preserve">  </w:t>
      </w:r>
      <w:r>
        <w:rPr>
          <w:rFonts w:ascii="方正小标宋简体" w:eastAsia="方正小标宋简体"/>
          <w:color w:val="auto"/>
          <w:sz w:val="44"/>
          <w:szCs w:val="44"/>
          <w:highlight w:val="none"/>
        </w:rPr>
        <w:t>录</w:t>
      </w:r>
    </w:p>
    <w:p>
      <w:pPr>
        <w:adjustRightInd w:val="0"/>
        <w:snapToGrid w:val="0"/>
        <w:spacing w:before="156" w:beforeLines="50" w:after="156" w:afterLines="50" w:line="600" w:lineRule="exact"/>
        <w:jc w:val="center"/>
        <w:rPr>
          <w:rFonts w:ascii="方正小标宋简体" w:eastAsia="方正小标宋简体"/>
          <w:color w:val="auto"/>
          <w:sz w:val="44"/>
          <w:szCs w:val="44"/>
          <w:highlight w:val="none"/>
        </w:rPr>
      </w:pPr>
    </w:p>
    <w:p>
      <w:pPr>
        <w:adjustRightInd w:val="0"/>
        <w:snapToGrid w:val="0"/>
        <w:spacing w:line="600" w:lineRule="exact"/>
        <w:jc w:val="center"/>
        <w:rPr>
          <w:rFonts w:ascii="方正小标宋简体" w:eastAsia="方正小标宋简体"/>
          <w:color w:val="auto"/>
          <w:sz w:val="44"/>
          <w:szCs w:val="44"/>
          <w:highlight w:val="none"/>
        </w:rPr>
      </w:pPr>
    </w:p>
    <w:p>
      <w:pPr>
        <w:spacing w:line="600" w:lineRule="exact"/>
        <w:rPr>
          <w:rFonts w:ascii="仿宋_GB2312" w:eastAsia="仿宋_GB2312"/>
          <w:color w:val="auto"/>
          <w:sz w:val="28"/>
          <w:szCs w:val="28"/>
          <w:highlight w:val="none"/>
        </w:rPr>
      </w:pPr>
      <w:bookmarkStart w:id="183" w:name="_Toc88209952"/>
      <w:bookmarkStart w:id="184" w:name="_Toc87616389"/>
      <w:r>
        <w:rPr>
          <w:rFonts w:hint="eastAsia" w:ascii="仿宋_GB2312" w:eastAsia="仿宋_GB2312"/>
          <w:color w:val="auto"/>
          <w:sz w:val="28"/>
          <w:szCs w:val="28"/>
          <w:highlight w:val="none"/>
        </w:rPr>
        <w:t>1.响应函</w:t>
      </w:r>
      <w:bookmarkEnd w:id="183"/>
      <w:bookmarkEnd w:id="184"/>
    </w:p>
    <w:p>
      <w:pPr>
        <w:spacing w:line="600" w:lineRule="exact"/>
        <w:rPr>
          <w:rFonts w:ascii="仿宋_GB2312" w:eastAsia="仿宋_GB2312"/>
          <w:color w:val="auto"/>
          <w:sz w:val="28"/>
          <w:szCs w:val="28"/>
          <w:highlight w:val="none"/>
        </w:rPr>
      </w:pPr>
      <w:bookmarkStart w:id="185" w:name="_Toc87616390"/>
      <w:bookmarkStart w:id="186" w:name="_Toc88209953"/>
      <w:r>
        <w:rPr>
          <w:rFonts w:hint="eastAsia" w:ascii="仿宋_GB2312" w:eastAsia="仿宋_GB2312"/>
          <w:color w:val="auto"/>
          <w:sz w:val="28"/>
          <w:szCs w:val="28"/>
          <w:highlight w:val="none"/>
        </w:rPr>
        <w:t>2.法定代表人证明或授权委托书</w:t>
      </w:r>
      <w:bookmarkEnd w:id="185"/>
      <w:bookmarkEnd w:id="186"/>
      <w:bookmarkStart w:id="187" w:name="_Toc88209956"/>
      <w:bookmarkStart w:id="188" w:name="_Toc87616393"/>
      <w:r>
        <w:rPr>
          <w:rFonts w:hint="eastAsia" w:ascii="仿宋_GB2312" w:eastAsia="仿宋_GB2312"/>
          <w:color w:val="auto"/>
          <w:sz w:val="28"/>
          <w:szCs w:val="28"/>
          <w:highlight w:val="none"/>
        </w:rPr>
        <w:cr/>
      </w:r>
      <w:r>
        <w:rPr>
          <w:rFonts w:hint="eastAsia" w:ascii="仿宋_GB2312" w:eastAsia="仿宋_GB2312"/>
          <w:color w:val="auto"/>
          <w:sz w:val="28"/>
          <w:szCs w:val="28"/>
          <w:highlight w:val="none"/>
        </w:rPr>
        <w:t>3.资格审查资料</w:t>
      </w:r>
      <w:r>
        <w:rPr>
          <w:rFonts w:hint="eastAsia" w:ascii="仿宋_GB2312" w:eastAsia="仿宋_GB2312"/>
          <w:color w:val="auto"/>
          <w:sz w:val="28"/>
          <w:szCs w:val="28"/>
          <w:highlight w:val="none"/>
        </w:rPr>
        <w:cr/>
      </w:r>
      <w:r>
        <w:rPr>
          <w:rFonts w:hint="eastAsia" w:ascii="仿宋_GB2312" w:eastAsia="仿宋_GB2312"/>
          <w:color w:val="auto"/>
          <w:sz w:val="28"/>
          <w:szCs w:val="28"/>
          <w:highlight w:val="none"/>
        </w:rPr>
        <w:t>4.拟投入本项目的项目负责人情况表</w:t>
      </w:r>
    </w:p>
    <w:p>
      <w:pPr>
        <w:spacing w:line="600" w:lineRule="exact"/>
        <w:rPr>
          <w:rFonts w:ascii="仿宋_GB2312" w:eastAsia="仿宋_GB2312"/>
          <w:color w:val="auto"/>
          <w:sz w:val="28"/>
          <w:szCs w:val="28"/>
          <w:highlight w:val="none"/>
        </w:rPr>
      </w:pPr>
      <w:r>
        <w:rPr>
          <w:rFonts w:hint="eastAsia" w:ascii="仿宋_GB2312" w:eastAsia="仿宋_GB2312"/>
          <w:color w:val="auto"/>
          <w:sz w:val="28"/>
          <w:szCs w:val="28"/>
          <w:highlight w:val="none"/>
        </w:rPr>
        <w:t>5.报价表</w:t>
      </w:r>
      <w:r>
        <w:rPr>
          <w:rFonts w:hint="eastAsia" w:ascii="仿宋_GB2312" w:eastAsia="仿宋_GB2312"/>
          <w:color w:val="auto"/>
          <w:sz w:val="28"/>
          <w:szCs w:val="28"/>
          <w:highlight w:val="none"/>
        </w:rPr>
        <w:cr/>
      </w:r>
      <w:r>
        <w:rPr>
          <w:rFonts w:hint="eastAsia" w:ascii="仿宋_GB2312" w:eastAsia="仿宋_GB2312"/>
          <w:color w:val="auto"/>
          <w:sz w:val="28"/>
          <w:szCs w:val="28"/>
          <w:highlight w:val="none"/>
        </w:rPr>
        <w:t>6.其他资料</w:t>
      </w:r>
      <w:bookmarkEnd w:id="187"/>
      <w:bookmarkEnd w:id="188"/>
      <w:r>
        <w:rPr>
          <w:rFonts w:hint="eastAsia" w:ascii="仿宋_GB2312" w:eastAsia="仿宋_GB2312"/>
          <w:color w:val="auto"/>
          <w:sz w:val="28"/>
          <w:szCs w:val="28"/>
          <w:highlight w:val="none"/>
        </w:rPr>
        <w:cr/>
      </w:r>
    </w:p>
    <w:p>
      <w:pPr>
        <w:adjustRightInd w:val="0"/>
        <w:snapToGrid w:val="0"/>
        <w:spacing w:before="156" w:beforeLines="50" w:after="156" w:afterLines="50" w:line="600" w:lineRule="exact"/>
        <w:jc w:val="center"/>
        <w:rPr>
          <w:rFonts w:ascii="方正小标宋简体" w:eastAsia="方正小标宋简体"/>
          <w:color w:val="auto"/>
          <w:sz w:val="44"/>
          <w:szCs w:val="44"/>
          <w:highlight w:val="none"/>
        </w:rPr>
      </w:pPr>
    </w:p>
    <w:p>
      <w:pPr>
        <w:adjustRightInd w:val="0"/>
        <w:snapToGrid w:val="0"/>
        <w:spacing w:before="156" w:beforeLines="50" w:after="156" w:afterLines="50" w:line="600" w:lineRule="exact"/>
        <w:jc w:val="center"/>
        <w:rPr>
          <w:rFonts w:ascii="方正小标宋简体" w:eastAsia="方正小标宋简体"/>
          <w:color w:val="auto"/>
          <w:sz w:val="44"/>
          <w:szCs w:val="44"/>
          <w:highlight w:val="none"/>
        </w:rPr>
      </w:pPr>
    </w:p>
    <w:p>
      <w:pPr>
        <w:adjustRightInd w:val="0"/>
        <w:snapToGrid w:val="0"/>
        <w:spacing w:before="156" w:beforeLines="50" w:after="156" w:afterLines="50" w:line="600" w:lineRule="exact"/>
        <w:jc w:val="center"/>
        <w:rPr>
          <w:rFonts w:ascii="方正小标宋简体" w:eastAsia="方正小标宋简体"/>
          <w:color w:val="auto"/>
          <w:sz w:val="44"/>
          <w:szCs w:val="44"/>
          <w:highlight w:val="none"/>
        </w:rPr>
      </w:pPr>
    </w:p>
    <w:p>
      <w:pPr>
        <w:pStyle w:val="2"/>
        <w:rPr>
          <w:color w:val="auto"/>
          <w:highlight w:val="none"/>
        </w:rPr>
      </w:pPr>
    </w:p>
    <w:p>
      <w:pPr>
        <w:adjustRightInd w:val="0"/>
        <w:snapToGrid w:val="0"/>
        <w:spacing w:before="156" w:beforeLines="50" w:after="156" w:afterLines="50" w:line="600" w:lineRule="exact"/>
        <w:rPr>
          <w:rFonts w:ascii="方正小标宋简体" w:eastAsia="方正小标宋简体"/>
          <w:color w:val="auto"/>
          <w:sz w:val="44"/>
          <w:szCs w:val="44"/>
          <w:highlight w:val="none"/>
        </w:rPr>
      </w:pPr>
    </w:p>
    <w:p>
      <w:pPr>
        <w:adjustRightInd w:val="0"/>
        <w:snapToGrid w:val="0"/>
        <w:spacing w:before="156" w:beforeLines="50" w:after="156" w:afterLines="50" w:line="600" w:lineRule="exact"/>
        <w:rPr>
          <w:rFonts w:ascii="方正小标宋简体" w:eastAsia="方正小标宋简体"/>
          <w:color w:val="auto"/>
          <w:sz w:val="44"/>
          <w:szCs w:val="44"/>
          <w:highlight w:val="none"/>
        </w:rPr>
      </w:pPr>
    </w:p>
    <w:p>
      <w:pPr>
        <w:pStyle w:val="2"/>
        <w:rPr>
          <w:rFonts w:ascii="宋体" w:eastAsia="等线"/>
          <w:color w:val="auto"/>
          <w:sz w:val="24"/>
          <w:szCs w:val="24"/>
          <w:highlight w:val="none"/>
        </w:rPr>
      </w:pPr>
    </w:p>
    <w:p>
      <w:pPr>
        <w:pStyle w:val="6"/>
        <w:rPr>
          <w:rFonts w:asciiTheme="minorEastAsia" w:hAnsiTheme="minorEastAsia" w:eastAsiaTheme="minorEastAsia"/>
          <w:color w:val="auto"/>
          <w:sz w:val="28"/>
          <w:szCs w:val="28"/>
          <w:highlight w:val="none"/>
        </w:rPr>
      </w:pPr>
      <w:bookmarkStart w:id="189" w:name="_Toc88209957"/>
      <w:bookmarkStart w:id="190" w:name="_Toc6313"/>
      <w:bookmarkStart w:id="191" w:name="_Toc12665"/>
      <w:bookmarkStart w:id="192" w:name="_Toc87616394"/>
      <w:bookmarkStart w:id="193" w:name="_Toc28619645"/>
      <w:r>
        <w:rPr>
          <w:rFonts w:hint="eastAsia" w:asciiTheme="minorEastAsia" w:hAnsiTheme="minorEastAsia" w:eastAsiaTheme="minorEastAsia"/>
          <w:color w:val="auto"/>
          <w:sz w:val="28"/>
          <w:szCs w:val="28"/>
          <w:highlight w:val="none"/>
        </w:rPr>
        <w:t>1.响应函</w:t>
      </w:r>
      <w:bookmarkEnd w:id="189"/>
      <w:bookmarkEnd w:id="190"/>
      <w:bookmarkEnd w:id="191"/>
      <w:bookmarkEnd w:id="192"/>
      <w:bookmarkEnd w:id="193"/>
    </w:p>
    <w:p>
      <w:pPr>
        <w:spacing w:line="360" w:lineRule="auto"/>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1.1响应函</w:t>
      </w:r>
    </w:p>
    <w:p>
      <w:pPr>
        <w:spacing w:line="360" w:lineRule="auto"/>
        <w:rPr>
          <w:rFonts w:ascii="仿宋_GB2312" w:hAnsi="黑体" w:eastAsia="仿宋_GB2312"/>
          <w:color w:val="auto"/>
          <w:sz w:val="28"/>
          <w:szCs w:val="28"/>
          <w:highlight w:val="none"/>
          <w:u w:val="single"/>
        </w:rPr>
      </w:pPr>
    </w:p>
    <w:p>
      <w:pPr>
        <w:spacing w:line="360" w:lineRule="auto"/>
        <w:rPr>
          <w:rFonts w:ascii="仿宋_GB2312" w:hAnsi="黑体" w:eastAsia="仿宋_GB2312"/>
          <w:color w:val="auto"/>
          <w:sz w:val="28"/>
          <w:szCs w:val="28"/>
          <w:highlight w:val="none"/>
          <w:u w:val="single"/>
        </w:rPr>
      </w:pPr>
      <w:r>
        <w:rPr>
          <w:rFonts w:hint="eastAsia" w:ascii="仿宋_GB2312" w:hAnsi="黑体" w:eastAsia="仿宋_GB2312"/>
          <w:color w:val="auto"/>
          <w:sz w:val="28"/>
          <w:szCs w:val="28"/>
          <w:highlight w:val="none"/>
          <w:u w:val="single"/>
        </w:rPr>
        <w:t>至（采购人名称）：</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1.我方已仔细研究了</w:t>
      </w:r>
      <w:r>
        <w:rPr>
          <w:rFonts w:hint="eastAsia" w:ascii="仿宋_GB2312" w:hAnsi="黑体" w:eastAsia="仿宋_GB2312"/>
          <w:color w:val="auto"/>
          <w:sz w:val="28"/>
          <w:szCs w:val="28"/>
          <w:highlight w:val="none"/>
          <w:u w:val="single"/>
        </w:rPr>
        <w:t xml:space="preserve">（项目名称、项目编号、标段/标包号）   </w:t>
      </w:r>
      <w:r>
        <w:rPr>
          <w:rFonts w:hint="eastAsia" w:ascii="仿宋_GB2312" w:hAnsi="黑体" w:eastAsia="仿宋_GB2312"/>
          <w:color w:val="auto"/>
          <w:sz w:val="28"/>
          <w:szCs w:val="28"/>
          <w:highlight w:val="none"/>
        </w:rPr>
        <w:t>采购文件的全部内容，愿意以含税价人民币（大写）</w:t>
      </w:r>
      <w:r>
        <w:rPr>
          <w:rFonts w:hint="eastAsia" w:ascii="仿宋_GB2312" w:hAnsi="黑体" w:eastAsia="仿宋_GB2312"/>
          <w:color w:val="auto"/>
          <w:sz w:val="28"/>
          <w:szCs w:val="28"/>
          <w:highlight w:val="none"/>
          <w:u w:val="single"/>
        </w:rPr>
        <w:t xml:space="preserve">                </w:t>
      </w:r>
      <w:r>
        <w:rPr>
          <w:rFonts w:hint="eastAsia" w:ascii="仿宋_GB2312" w:hAnsi="黑体" w:eastAsia="仿宋_GB2312"/>
          <w:color w:val="auto"/>
          <w:sz w:val="28"/>
          <w:szCs w:val="28"/>
          <w:highlight w:val="none"/>
        </w:rPr>
        <w:t>(</w:t>
      </w:r>
      <w:r>
        <w:rPr>
          <w:rFonts w:hint="eastAsia" w:ascii="宋体" w:hAnsi="宋体" w:eastAsia="仿宋_GB2312"/>
          <w:color w:val="auto"/>
          <w:sz w:val="28"/>
          <w:szCs w:val="28"/>
          <w:highlight w:val="none"/>
        </w:rPr>
        <w:t>¥</w:t>
      </w:r>
      <w:r>
        <w:rPr>
          <w:rFonts w:hint="eastAsia" w:ascii="仿宋_GB2312" w:hAnsi="黑体" w:eastAsia="仿宋_GB2312"/>
          <w:color w:val="auto"/>
          <w:sz w:val="28"/>
          <w:szCs w:val="28"/>
          <w:highlight w:val="none"/>
          <w:u w:val="single"/>
        </w:rPr>
        <w:tab/>
      </w:r>
      <w:r>
        <w:rPr>
          <w:rFonts w:hint="eastAsia" w:ascii="仿宋_GB2312" w:hAnsi="黑体" w:eastAsia="仿宋_GB2312"/>
          <w:color w:val="auto"/>
          <w:sz w:val="28"/>
          <w:szCs w:val="28"/>
          <w:highlight w:val="none"/>
          <w:u w:val="single"/>
        </w:rPr>
        <w:tab/>
      </w:r>
      <w:r>
        <w:rPr>
          <w:rFonts w:hint="eastAsia" w:ascii="仿宋_GB2312" w:hAnsi="黑体" w:eastAsia="仿宋_GB2312"/>
          <w:color w:val="auto"/>
          <w:sz w:val="28"/>
          <w:szCs w:val="28"/>
          <w:highlight w:val="none"/>
          <w:u w:val="single"/>
        </w:rPr>
        <w:t xml:space="preserve">  </w:t>
      </w:r>
      <w:r>
        <w:rPr>
          <w:rFonts w:hint="eastAsia" w:ascii="仿宋_GB2312" w:hAnsi="黑体" w:eastAsia="仿宋_GB2312"/>
          <w:color w:val="auto"/>
          <w:sz w:val="28"/>
          <w:szCs w:val="28"/>
          <w:highlight w:val="none"/>
          <w:u w:val="single"/>
        </w:rPr>
        <w:tab/>
      </w:r>
      <w:r>
        <w:rPr>
          <w:rFonts w:hint="eastAsia" w:ascii="仿宋_GB2312" w:hAnsi="黑体" w:eastAsia="仿宋_GB2312"/>
          <w:color w:val="auto"/>
          <w:sz w:val="28"/>
          <w:szCs w:val="28"/>
          <w:highlight w:val="none"/>
          <w:u w:val="single"/>
        </w:rPr>
        <w:tab/>
      </w:r>
      <w:r>
        <w:rPr>
          <w:rFonts w:hint="eastAsia" w:ascii="仿宋_GB2312" w:hAnsi="黑体" w:eastAsia="仿宋_GB2312"/>
          <w:color w:val="auto"/>
          <w:sz w:val="28"/>
          <w:szCs w:val="28"/>
          <w:highlight w:val="none"/>
        </w:rPr>
        <w:t>）的报价（其中，不含税价为</w:t>
      </w:r>
      <w:r>
        <w:rPr>
          <w:rFonts w:hint="eastAsia" w:ascii="仿宋_GB2312" w:hAnsi="黑体" w:eastAsia="仿宋_GB2312"/>
          <w:color w:val="auto"/>
          <w:sz w:val="28"/>
          <w:szCs w:val="28"/>
          <w:highlight w:val="none"/>
          <w:u w:val="single"/>
        </w:rPr>
        <w:t xml:space="preserve">       </w:t>
      </w:r>
      <w:r>
        <w:rPr>
          <w:rFonts w:hint="eastAsia" w:ascii="仿宋_GB2312" w:hAnsi="黑体" w:eastAsia="仿宋_GB2312"/>
          <w:color w:val="auto"/>
          <w:sz w:val="28"/>
          <w:szCs w:val="28"/>
          <w:highlight w:val="none"/>
        </w:rPr>
        <w:t>；增值税为</w:t>
      </w:r>
      <w:r>
        <w:rPr>
          <w:rFonts w:hint="eastAsia" w:ascii="仿宋_GB2312" w:hAnsi="黑体" w:eastAsia="仿宋_GB2312"/>
          <w:color w:val="auto"/>
          <w:sz w:val="28"/>
          <w:szCs w:val="28"/>
          <w:highlight w:val="none"/>
          <w:u w:val="single"/>
        </w:rPr>
        <w:t xml:space="preserve">       </w:t>
      </w:r>
      <w:r>
        <w:rPr>
          <w:rFonts w:hint="eastAsia" w:ascii="仿宋_GB2312" w:hAnsi="黑体" w:eastAsia="仿宋_GB2312"/>
          <w:color w:val="auto"/>
          <w:sz w:val="28"/>
          <w:szCs w:val="28"/>
          <w:highlight w:val="none"/>
        </w:rPr>
        <w:t>）完成/提供本项目</w:t>
      </w:r>
      <w:r>
        <w:rPr>
          <w:rFonts w:hint="eastAsia" w:ascii="仿宋_GB2312" w:eastAsia="仿宋_GB2312" w:hAnsiTheme="minorEastAsia"/>
          <w:color w:val="auto"/>
          <w:sz w:val="28"/>
          <w:szCs w:val="28"/>
          <w:highlight w:val="none"/>
        </w:rPr>
        <w:sym w:font="Wingdings 2" w:char="0052"/>
      </w:r>
      <w:r>
        <w:rPr>
          <w:rFonts w:hint="eastAsia" w:ascii="仿宋_GB2312" w:hAnsi="黑体" w:eastAsia="仿宋_GB2312"/>
          <w:color w:val="auto"/>
          <w:sz w:val="28"/>
          <w:szCs w:val="28"/>
          <w:highlight w:val="none"/>
        </w:rPr>
        <w:t xml:space="preserve">工程 </w:t>
      </w:r>
      <w:r>
        <w:rPr>
          <w:rFonts w:hint="eastAsia" w:ascii="仿宋_GB2312" w:eastAsia="仿宋_GB2312" w:hAnsiTheme="minorEastAsia"/>
          <w:color w:val="auto"/>
          <w:sz w:val="28"/>
          <w:szCs w:val="28"/>
          <w:highlight w:val="none"/>
        </w:rPr>
        <w:t>□</w:t>
      </w:r>
      <w:r>
        <w:rPr>
          <w:rFonts w:hint="eastAsia" w:ascii="仿宋_GB2312" w:hAnsi="黑体" w:eastAsia="仿宋_GB2312"/>
          <w:color w:val="auto"/>
          <w:sz w:val="28"/>
          <w:szCs w:val="28"/>
          <w:highlight w:val="none"/>
        </w:rPr>
        <w:t>货物</w:t>
      </w:r>
      <w:r>
        <w:rPr>
          <w:rFonts w:hint="eastAsia" w:ascii="仿宋_GB2312" w:eastAsia="仿宋_GB2312" w:hAnsiTheme="minorEastAsia"/>
          <w:color w:val="auto"/>
          <w:sz w:val="28"/>
          <w:szCs w:val="28"/>
          <w:highlight w:val="none"/>
        </w:rPr>
        <w:t>□</w:t>
      </w:r>
      <w:r>
        <w:rPr>
          <w:rFonts w:hint="eastAsia" w:ascii="仿宋_GB2312" w:hAnsi="黑体" w:eastAsia="仿宋_GB2312"/>
          <w:color w:val="auto"/>
          <w:sz w:val="28"/>
          <w:szCs w:val="28"/>
          <w:highlight w:val="none"/>
        </w:rPr>
        <w:t>服务并按合同约定履行义务。</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2.我方响应文件包括下列内容：</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（1）响应函</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（2）法定代表人证明或授权委托书</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（3）资格审查资料</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（4）拟投入本项目的项目负责人情况表</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（5）报价表</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（6）其他资料</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响应文件的上述组成部分如有不一致的内容，以响应函为准。</w:t>
      </w:r>
    </w:p>
    <w:p>
      <w:pPr>
        <w:spacing w:line="360" w:lineRule="auto"/>
        <w:ind w:firstLine="560" w:firstLineChars="200"/>
        <w:rPr>
          <w:rFonts w:ascii="仿宋_GB2312" w:hAnsi="黑体" w:eastAsia="仿宋_GB2312"/>
          <w:color w:val="auto"/>
          <w:sz w:val="28"/>
          <w:szCs w:val="28"/>
          <w:highlight w:val="none"/>
          <w:u w:val="single"/>
        </w:rPr>
      </w:pPr>
      <w:r>
        <w:rPr>
          <w:rFonts w:hint="eastAsia" w:ascii="仿宋_GB2312" w:hAnsi="黑体" w:eastAsia="仿宋_GB2312"/>
          <w:color w:val="auto"/>
          <w:sz w:val="28"/>
          <w:szCs w:val="28"/>
          <w:highlight w:val="none"/>
        </w:rPr>
        <w:t>3.</w:t>
      </w:r>
      <w:r>
        <w:rPr>
          <w:rFonts w:hint="eastAsia" w:ascii="仿宋_GB2312" w:hAnsi="黑体" w:eastAsia="仿宋_GB2312"/>
          <w:color w:val="auto"/>
          <w:sz w:val="28"/>
          <w:szCs w:val="28"/>
          <w:highlight w:val="none"/>
          <w:u w:val="single"/>
        </w:rPr>
        <w:t>我方完全理解询价文件中所有要求均为实质性响应条款，如有任何一条负偏离或者不满足将导致询价无效。由于我方提供资料不实或与需求书中所有条款不符而造成的责任和后果由我方承担。</w:t>
      </w:r>
    </w:p>
    <w:p>
      <w:pPr>
        <w:spacing w:line="360" w:lineRule="auto"/>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4</w:t>
      </w: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我方承诺在</w:t>
      </w:r>
      <w:r>
        <w:rPr>
          <w:rFonts w:hint="eastAsia" w:ascii="仿宋_GB2312" w:hAnsi="黑体" w:eastAsia="仿宋_GB2312"/>
          <w:color w:val="auto"/>
          <w:sz w:val="28"/>
          <w:szCs w:val="28"/>
          <w:highlight w:val="none"/>
        </w:rPr>
        <w:t>采购</w:t>
      </w:r>
      <w:r>
        <w:rPr>
          <w:rFonts w:ascii="仿宋_GB2312" w:hAnsi="黑体" w:eastAsia="仿宋_GB2312"/>
          <w:color w:val="auto"/>
          <w:sz w:val="28"/>
          <w:szCs w:val="28"/>
          <w:highlight w:val="none"/>
        </w:rPr>
        <w:t>文件有效期内不撤销响应文件。</w:t>
      </w:r>
    </w:p>
    <w:p>
      <w:pPr>
        <w:spacing w:line="360" w:lineRule="auto"/>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5</w:t>
      </w: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如我方</w:t>
      </w:r>
      <w:r>
        <w:rPr>
          <w:rFonts w:hint="eastAsia" w:ascii="仿宋_GB2312" w:hAnsi="黑体" w:eastAsia="仿宋_GB2312"/>
          <w:color w:val="auto"/>
          <w:sz w:val="28"/>
          <w:szCs w:val="28"/>
          <w:highlight w:val="none"/>
        </w:rPr>
        <w:t>成交</w:t>
      </w:r>
      <w:r>
        <w:rPr>
          <w:rFonts w:ascii="仿宋_GB2312" w:hAnsi="黑体" w:eastAsia="仿宋_GB2312"/>
          <w:color w:val="auto"/>
          <w:sz w:val="28"/>
          <w:szCs w:val="28"/>
          <w:highlight w:val="none"/>
        </w:rPr>
        <w:t>，我方承诺：</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1）在收到成交通知书后，在成交通知书规定的期限内与你方签订合同；</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2）在签订合同时不向你方提出附加条件；</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3）按照采购文件要求提交履约保证金；</w:t>
      </w:r>
    </w:p>
    <w:p>
      <w:pPr>
        <w:spacing w:line="360" w:lineRule="auto"/>
        <w:ind w:firstLine="560" w:firstLineChars="200"/>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w:t>
      </w:r>
      <w:r>
        <w:rPr>
          <w:rFonts w:ascii="仿宋_GB2312" w:hAnsi="黑体" w:eastAsia="仿宋_GB2312"/>
          <w:color w:val="auto"/>
          <w:sz w:val="28"/>
          <w:szCs w:val="28"/>
          <w:highlight w:val="none"/>
        </w:rPr>
        <w:t>4）在合同约定的期限内完成合同规定的全部义务。</w:t>
      </w:r>
    </w:p>
    <w:p>
      <w:pPr>
        <w:spacing w:line="360" w:lineRule="auto"/>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6</w:t>
      </w:r>
      <w:r>
        <w:rPr>
          <w:rFonts w:hint="eastAsia" w:ascii="仿宋_GB2312" w:hAnsi="黑体" w:eastAsia="仿宋_GB2312"/>
          <w:color w:val="auto"/>
          <w:sz w:val="28"/>
          <w:szCs w:val="28"/>
          <w:highlight w:val="none"/>
        </w:rPr>
        <w:t>.我方在此声明，所递交的响应文件及有关资料内容完整、真实和准确，且不存在采购公告（采购邀请书）中供应商不得存在的情形。</w:t>
      </w:r>
    </w:p>
    <w:p>
      <w:pPr>
        <w:spacing w:line="360" w:lineRule="auto"/>
        <w:ind w:firstLine="560" w:firstLineChars="200"/>
        <w:rPr>
          <w:rFonts w:ascii="仿宋_GB2312" w:hAnsi="黑体" w:eastAsia="仿宋_GB2312"/>
          <w:color w:val="auto"/>
          <w:sz w:val="28"/>
          <w:szCs w:val="28"/>
          <w:highlight w:val="none"/>
        </w:rPr>
      </w:pPr>
      <w:r>
        <w:rPr>
          <w:rFonts w:ascii="仿宋_GB2312" w:hAnsi="黑体" w:eastAsia="仿宋_GB2312"/>
          <w:color w:val="auto"/>
          <w:sz w:val="28"/>
          <w:szCs w:val="28"/>
          <w:highlight w:val="none"/>
        </w:rPr>
        <w:t>7</w:t>
      </w:r>
      <w:r>
        <w:rPr>
          <w:rFonts w:hint="eastAsia" w:ascii="仿宋_GB2312" w:hAnsi="黑体" w:eastAsia="仿宋_GB2312"/>
          <w:color w:val="auto"/>
          <w:sz w:val="28"/>
          <w:szCs w:val="28"/>
          <w:highlight w:val="none"/>
        </w:rPr>
        <w:t>.</w:t>
      </w:r>
      <w:r>
        <w:rPr>
          <w:rFonts w:hint="eastAsia" w:ascii="仿宋_GB2312" w:hAnsi="黑体" w:eastAsia="仿宋_GB2312"/>
          <w:color w:val="auto"/>
          <w:sz w:val="28"/>
          <w:szCs w:val="28"/>
          <w:highlight w:val="none"/>
          <w:u w:val="single"/>
        </w:rPr>
        <w:t xml:space="preserve">       （其他补充说明）</w:t>
      </w:r>
      <w:r>
        <w:rPr>
          <w:rFonts w:hint="eastAsia" w:ascii="仿宋_GB2312" w:hAnsi="黑体" w:eastAsia="仿宋_GB2312"/>
          <w:color w:val="auto"/>
          <w:sz w:val="28"/>
          <w:szCs w:val="28"/>
          <w:highlight w:val="none"/>
        </w:rPr>
        <w:t>。</w:t>
      </w:r>
    </w:p>
    <w:p>
      <w:pPr>
        <w:adjustRightInd w:val="0"/>
        <w:snapToGrid w:val="0"/>
        <w:spacing w:line="600" w:lineRule="exact"/>
        <w:ind w:left="1" w:firstLine="551" w:firstLineChars="197"/>
        <w:jc w:val="left"/>
        <w:rPr>
          <w:rFonts w:ascii="仿宋_GB2312" w:eastAsia="仿宋_GB2312" w:hAnsiTheme="minorEastAsia"/>
          <w:color w:val="auto"/>
          <w:sz w:val="28"/>
          <w:szCs w:val="28"/>
          <w:highlight w:val="none"/>
        </w:rPr>
      </w:pPr>
    </w:p>
    <w:p>
      <w:pPr>
        <w:adjustRightInd w:val="0"/>
        <w:snapToGrid w:val="0"/>
        <w:spacing w:line="600" w:lineRule="exact"/>
        <w:ind w:left="1" w:firstLine="551" w:firstLineChars="197"/>
        <w:jc w:val="left"/>
        <w:rPr>
          <w:rFonts w:ascii="仿宋_GB2312" w:eastAsia="仿宋_GB2312" w:hAnsiTheme="minorEastAsia"/>
          <w:color w:val="auto"/>
          <w:sz w:val="28"/>
          <w:szCs w:val="28"/>
          <w:highlight w:val="none"/>
        </w:rPr>
      </w:pPr>
    </w:p>
    <w:p>
      <w:pPr>
        <w:adjustRightInd w:val="0"/>
        <w:snapToGrid w:val="0"/>
        <w:spacing w:line="600" w:lineRule="exact"/>
        <w:ind w:left="1" w:firstLine="551" w:firstLineChars="197"/>
        <w:jc w:val="righ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供应商：</w:t>
      </w: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（单位公章）</w:t>
      </w:r>
    </w:p>
    <w:p>
      <w:pPr>
        <w:adjustRightInd w:val="0"/>
        <w:snapToGrid w:val="0"/>
        <w:spacing w:line="600" w:lineRule="exact"/>
        <w:ind w:left="1" w:firstLine="551" w:firstLineChars="197"/>
        <w:jc w:val="righ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法定代表人或委托代理人：</w:t>
      </w: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（签字或盖章）</w:t>
      </w:r>
    </w:p>
    <w:p>
      <w:pPr>
        <w:adjustRightInd w:val="0"/>
        <w:snapToGrid w:val="0"/>
        <w:spacing w:line="600" w:lineRule="exact"/>
        <w:ind w:left="1" w:firstLine="3771" w:firstLineChars="1347"/>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地址：</w:t>
      </w:r>
      <w:r>
        <w:rPr>
          <w:rFonts w:hint="eastAsia" w:ascii="仿宋_GB2312" w:eastAsia="仿宋_GB2312" w:hAnsiTheme="minorEastAsia"/>
          <w:color w:val="auto"/>
          <w:sz w:val="28"/>
          <w:szCs w:val="28"/>
          <w:highlight w:val="none"/>
          <w:u w:val="single"/>
        </w:rPr>
        <w:t xml:space="preserve">                              </w:t>
      </w:r>
    </w:p>
    <w:p>
      <w:pPr>
        <w:adjustRightInd w:val="0"/>
        <w:snapToGrid w:val="0"/>
        <w:spacing w:line="600" w:lineRule="exact"/>
        <w:ind w:left="1" w:firstLine="3771" w:firstLineChars="1347"/>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电子邮箱：</w:t>
      </w:r>
      <w:r>
        <w:rPr>
          <w:rFonts w:hint="eastAsia" w:ascii="仿宋_GB2312" w:eastAsia="仿宋_GB2312" w:hAnsiTheme="minorEastAsia"/>
          <w:color w:val="auto"/>
          <w:sz w:val="28"/>
          <w:szCs w:val="28"/>
          <w:highlight w:val="none"/>
          <w:u w:val="single"/>
        </w:rPr>
        <w:t xml:space="preserve">                          </w:t>
      </w:r>
    </w:p>
    <w:p>
      <w:pPr>
        <w:adjustRightInd w:val="0"/>
        <w:snapToGrid w:val="0"/>
        <w:spacing w:line="600" w:lineRule="exact"/>
        <w:ind w:left="1" w:firstLine="3771" w:firstLineChars="1347"/>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电话：</w:t>
      </w:r>
      <w:r>
        <w:rPr>
          <w:rFonts w:hint="eastAsia" w:ascii="仿宋_GB2312" w:eastAsia="仿宋_GB2312" w:hAnsiTheme="minorEastAsia"/>
          <w:color w:val="auto"/>
          <w:sz w:val="28"/>
          <w:szCs w:val="28"/>
          <w:highlight w:val="none"/>
          <w:u w:val="single"/>
        </w:rPr>
        <w:t xml:space="preserve">                              </w:t>
      </w:r>
    </w:p>
    <w:p>
      <w:pPr>
        <w:adjustRightInd w:val="0"/>
        <w:snapToGrid w:val="0"/>
        <w:spacing w:line="600" w:lineRule="exact"/>
        <w:ind w:left="1" w:firstLine="3771" w:firstLineChars="1347"/>
        <w:jc w:val="lef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传真：</w:t>
      </w:r>
      <w:r>
        <w:rPr>
          <w:rFonts w:hint="eastAsia" w:ascii="仿宋_GB2312" w:eastAsia="仿宋_GB2312" w:hAnsiTheme="minorEastAsia"/>
          <w:color w:val="auto"/>
          <w:sz w:val="28"/>
          <w:szCs w:val="28"/>
          <w:highlight w:val="none"/>
          <w:u w:val="single"/>
        </w:rPr>
        <w:t xml:space="preserve">                              </w:t>
      </w:r>
    </w:p>
    <w:p>
      <w:pPr>
        <w:spacing w:line="600" w:lineRule="exact"/>
        <w:ind w:left="1" w:firstLine="551" w:firstLineChars="197"/>
        <w:jc w:val="righ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年</w:t>
      </w: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月</w:t>
      </w:r>
      <w:r>
        <w:rPr>
          <w:rFonts w:hint="eastAsia" w:ascii="仿宋_GB2312" w:eastAsia="仿宋_GB2312" w:hAnsiTheme="minorEastAsia"/>
          <w:color w:val="auto"/>
          <w:sz w:val="28"/>
          <w:szCs w:val="28"/>
          <w:highlight w:val="none"/>
          <w:u w:val="single"/>
        </w:rPr>
        <w:t xml:space="preserve">    </w:t>
      </w:r>
      <w:r>
        <w:rPr>
          <w:rFonts w:hint="eastAsia" w:ascii="仿宋_GB2312" w:eastAsia="仿宋_GB2312" w:hAnsiTheme="minorEastAsia"/>
          <w:color w:val="auto"/>
          <w:sz w:val="28"/>
          <w:szCs w:val="28"/>
          <w:highlight w:val="none"/>
        </w:rPr>
        <w:t>日</w:t>
      </w:r>
    </w:p>
    <w:p>
      <w:pPr>
        <w:adjustRightInd w:val="0"/>
        <w:snapToGrid w:val="0"/>
        <w:spacing w:line="600" w:lineRule="exact"/>
        <w:ind w:left="1" w:firstLine="551" w:firstLineChars="197"/>
        <w:jc w:val="right"/>
        <w:rPr>
          <w:rFonts w:asciiTheme="minorEastAsia" w:hAnsiTheme="minorEastAsia"/>
          <w:color w:val="auto"/>
          <w:sz w:val="28"/>
          <w:szCs w:val="28"/>
          <w:highlight w:val="none"/>
        </w:rPr>
      </w:pPr>
      <w:bookmarkStart w:id="194" w:name="_Toc88209958"/>
      <w:bookmarkStart w:id="195" w:name="_Toc29833"/>
      <w:bookmarkStart w:id="196" w:name="_Toc87616395"/>
      <w:bookmarkStart w:id="197" w:name="_Toc22527"/>
    </w:p>
    <w:p>
      <w:pPr>
        <w:pStyle w:val="6"/>
        <w:rPr>
          <w:rFonts w:asciiTheme="minorEastAsia" w:hAnsiTheme="minorEastAsia" w:eastAsiaTheme="minorEastAsia"/>
          <w:color w:val="auto"/>
          <w:sz w:val="28"/>
          <w:szCs w:val="28"/>
          <w:highlight w:val="none"/>
        </w:rPr>
      </w:pPr>
      <w:r>
        <w:rPr>
          <w:rFonts w:hint="eastAsia" w:asciiTheme="minorEastAsia" w:hAnsiTheme="minorEastAsia" w:eastAsiaTheme="minorEastAsia"/>
          <w:color w:val="auto"/>
          <w:sz w:val="28"/>
          <w:szCs w:val="28"/>
          <w:highlight w:val="none"/>
        </w:rPr>
        <w:t>2.法定代表人证明或授权委托书</w:t>
      </w:r>
      <w:bookmarkEnd w:id="194"/>
      <w:bookmarkEnd w:id="195"/>
      <w:bookmarkEnd w:id="196"/>
      <w:bookmarkEnd w:id="197"/>
    </w:p>
    <w:p>
      <w:pPr>
        <w:spacing w:line="360" w:lineRule="auto"/>
        <w:rPr>
          <w:color w:val="auto"/>
          <w:highlight w:val="none"/>
        </w:rPr>
      </w:pPr>
      <w:r>
        <w:rPr>
          <w:rFonts w:hint="eastAsia" w:ascii="仿宋_GB2312" w:hAnsi="黑体" w:eastAsia="仿宋_GB2312"/>
          <w:color w:val="auto"/>
          <w:sz w:val="28"/>
          <w:szCs w:val="28"/>
          <w:highlight w:val="none"/>
        </w:rPr>
        <w:t>2.1法定代表人证明格式</w:t>
      </w:r>
    </w:p>
    <w:p>
      <w:pPr>
        <w:widowControl/>
        <w:adjustRightInd w:val="0"/>
        <w:snapToGrid w:val="0"/>
        <w:spacing w:before="156" w:beforeLines="50" w:after="156" w:afterLines="50" w:line="600" w:lineRule="exact"/>
        <w:jc w:val="center"/>
        <w:rPr>
          <w:rFonts w:ascii="方正小标宋简体" w:hAnsi="Times New Roman" w:eastAsia="方正小标宋简体" w:cs="Tahoma"/>
          <w:color w:val="auto"/>
          <w:kern w:val="0"/>
          <w:sz w:val="44"/>
          <w:szCs w:val="44"/>
          <w:highlight w:val="none"/>
        </w:rPr>
      </w:pPr>
      <w:r>
        <w:rPr>
          <w:rFonts w:hint="eastAsia" w:ascii="方正小标宋简体" w:hAnsi="Times New Roman" w:eastAsia="方正小标宋简体" w:cs="Tahoma"/>
          <w:color w:val="auto"/>
          <w:kern w:val="0"/>
          <w:sz w:val="44"/>
          <w:szCs w:val="44"/>
          <w:highlight w:val="none"/>
        </w:rPr>
        <w:t>法定代表人证明书</w:t>
      </w:r>
    </w:p>
    <w:p>
      <w:pPr>
        <w:pStyle w:val="36"/>
        <w:snapToGrid w:val="0"/>
        <w:spacing w:after="0" w:line="600" w:lineRule="exact"/>
        <w:jc w:val="both"/>
        <w:rPr>
          <w:rFonts w:ascii="仿宋_GB2312" w:hAnsi="宋体" w:eastAsia="仿宋_GB2312" w:cs="Times New Roman"/>
          <w:sz w:val="30"/>
          <w:szCs w:val="30"/>
          <w:highlight w:val="none"/>
          <w:u w:val="single"/>
        </w:rPr>
      </w:pPr>
      <w:r>
        <w:rPr>
          <w:rFonts w:hint="eastAsia" w:ascii="仿宋_GB2312" w:hAnsi="宋体" w:eastAsia="仿宋_GB2312" w:cs="Times New Roman"/>
          <w:sz w:val="32"/>
          <w:szCs w:val="32"/>
          <w:highlight w:val="none"/>
        </w:rPr>
        <w:t xml:space="preserve">     </w:t>
      </w:r>
      <w:r>
        <w:rPr>
          <w:rFonts w:hint="eastAsia" w:ascii="仿宋_GB2312" w:hAnsi="宋体" w:eastAsia="仿宋_GB2312" w:cs="Times New Roman"/>
          <w:sz w:val="30"/>
          <w:szCs w:val="30"/>
          <w:highlight w:val="none"/>
        </w:rPr>
        <w:t>供应商名称：</w:t>
      </w:r>
      <w:r>
        <w:rPr>
          <w:rFonts w:hint="eastAsia" w:ascii="仿宋_GB2312" w:hAnsi="宋体" w:eastAsia="仿宋_GB2312" w:cs="Times New Roman"/>
          <w:sz w:val="30"/>
          <w:szCs w:val="30"/>
          <w:highlight w:val="none"/>
          <w:u w:val="single"/>
        </w:rPr>
        <w:t xml:space="preserve">                          </w:t>
      </w:r>
    </w:p>
    <w:p>
      <w:pPr>
        <w:pStyle w:val="13"/>
        <w:snapToGrid w:val="0"/>
        <w:spacing w:line="600" w:lineRule="exact"/>
        <w:rPr>
          <w:rFonts w:ascii="仿宋_GB2312" w:hAnsi="宋体" w:eastAsia="仿宋_GB2312" w:cs="Times New Roman"/>
          <w:color w:val="auto"/>
          <w:sz w:val="30"/>
          <w:szCs w:val="30"/>
          <w:highlight w:val="none"/>
          <w:u w:val="single"/>
        </w:rPr>
      </w:pPr>
      <w:r>
        <w:rPr>
          <w:rFonts w:hint="eastAsia" w:ascii="仿宋_GB2312" w:hAnsi="宋体" w:eastAsia="仿宋_GB2312" w:cs="Times New Roman"/>
          <w:color w:val="auto"/>
          <w:sz w:val="30"/>
          <w:szCs w:val="30"/>
          <w:highlight w:val="none"/>
        </w:rPr>
        <w:t xml:space="preserve">     单位性质：</w:t>
      </w:r>
      <w:r>
        <w:rPr>
          <w:rFonts w:hint="eastAsia" w:ascii="仿宋_GB2312" w:hAnsi="宋体" w:eastAsia="仿宋_GB2312" w:cs="Times New Roman"/>
          <w:color w:val="auto"/>
          <w:sz w:val="30"/>
          <w:szCs w:val="30"/>
          <w:highlight w:val="none"/>
          <w:u w:val="single"/>
        </w:rPr>
        <w:t xml:space="preserve">                            </w:t>
      </w:r>
    </w:p>
    <w:p>
      <w:pPr>
        <w:pStyle w:val="35"/>
        <w:snapToGrid w:val="0"/>
        <w:spacing w:after="0" w:line="600" w:lineRule="exact"/>
        <w:ind w:firstLine="750" w:firstLineChars="250"/>
        <w:rPr>
          <w:rFonts w:ascii="仿宋_GB2312" w:hAnsi="宋体" w:eastAsia="仿宋_GB2312" w:cs="Times New Roman"/>
          <w:sz w:val="30"/>
          <w:szCs w:val="30"/>
          <w:highlight w:val="none"/>
          <w:u w:val="single"/>
        </w:rPr>
      </w:pPr>
      <w:r>
        <w:rPr>
          <w:rFonts w:hint="eastAsia" w:ascii="仿宋_GB2312" w:hAnsi="宋体" w:eastAsia="仿宋_GB2312" w:cs="Times New Roman"/>
          <w:sz w:val="30"/>
          <w:szCs w:val="30"/>
          <w:highlight w:val="none"/>
        </w:rPr>
        <w:t>地    址：</w:t>
      </w:r>
      <w:r>
        <w:rPr>
          <w:rFonts w:hint="eastAsia" w:ascii="仿宋_GB2312" w:hAnsi="宋体" w:eastAsia="仿宋_GB2312" w:cs="Times New Roman"/>
          <w:sz w:val="30"/>
          <w:szCs w:val="30"/>
          <w:highlight w:val="none"/>
          <w:u w:val="single"/>
        </w:rPr>
        <w:t xml:space="preserve">                            </w:t>
      </w:r>
    </w:p>
    <w:p>
      <w:pPr>
        <w:pStyle w:val="13"/>
        <w:snapToGrid w:val="0"/>
        <w:spacing w:line="600" w:lineRule="exact"/>
        <w:ind w:firstLine="771" w:firstLineChars="257"/>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成立时间：</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年</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月</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日</w:t>
      </w:r>
    </w:p>
    <w:p>
      <w:pPr>
        <w:pStyle w:val="13"/>
        <w:snapToGrid w:val="0"/>
        <w:spacing w:line="600" w:lineRule="exact"/>
        <w:ind w:firstLine="771" w:firstLineChars="257"/>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经营期限：</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 xml:space="preserve">   </w:t>
      </w:r>
    </w:p>
    <w:p>
      <w:pPr>
        <w:pStyle w:val="13"/>
        <w:snapToGrid w:val="0"/>
        <w:spacing w:line="600" w:lineRule="exact"/>
        <w:ind w:firstLine="771" w:firstLineChars="257"/>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姓名：</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 xml:space="preserve"> 性别：</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 xml:space="preserve"> 年龄：</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 xml:space="preserve"> 身份证号码：</w:t>
      </w:r>
      <w:r>
        <w:rPr>
          <w:rFonts w:hint="eastAsia" w:ascii="仿宋_GB2312" w:hAnsi="宋体" w:eastAsia="仿宋_GB2312" w:cs="Times New Roman"/>
          <w:color w:val="auto"/>
          <w:sz w:val="30"/>
          <w:szCs w:val="30"/>
          <w:highlight w:val="none"/>
          <w:u w:val="single"/>
        </w:rPr>
        <w:t xml:space="preserve">          </w:t>
      </w:r>
    </w:p>
    <w:p>
      <w:pPr>
        <w:pStyle w:val="13"/>
        <w:snapToGrid w:val="0"/>
        <w:spacing w:line="600" w:lineRule="exact"/>
        <w:ind w:firstLine="771" w:firstLineChars="257"/>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职务：</w:t>
      </w:r>
      <w:r>
        <w:rPr>
          <w:rFonts w:hint="eastAsia" w:ascii="仿宋_GB2312" w:hAnsi="宋体" w:eastAsia="仿宋_GB2312" w:cs="Times New Roman"/>
          <w:color w:val="auto"/>
          <w:sz w:val="30"/>
          <w:szCs w:val="30"/>
          <w:highlight w:val="none"/>
          <w:u w:val="single"/>
        </w:rPr>
        <w:t xml:space="preserve">         </w:t>
      </w:r>
      <w:r>
        <w:rPr>
          <w:rFonts w:hint="eastAsia" w:ascii="仿宋_GB2312" w:hAnsi="宋体" w:eastAsia="仿宋_GB2312" w:cs="Times New Roman"/>
          <w:color w:val="auto"/>
          <w:sz w:val="30"/>
          <w:szCs w:val="30"/>
          <w:highlight w:val="none"/>
        </w:rPr>
        <w:t>系</w:t>
      </w:r>
      <w:r>
        <w:rPr>
          <w:rFonts w:hint="eastAsia" w:ascii="仿宋_GB2312" w:hAnsi="宋体" w:eastAsia="仿宋_GB2312" w:cs="Times New Roman"/>
          <w:color w:val="auto"/>
          <w:sz w:val="30"/>
          <w:szCs w:val="30"/>
          <w:highlight w:val="none"/>
          <w:u w:val="single"/>
        </w:rPr>
        <w:t xml:space="preserve">     (供应商名称)       </w:t>
      </w:r>
      <w:r>
        <w:rPr>
          <w:rFonts w:hint="eastAsia" w:ascii="仿宋_GB2312" w:hAnsi="宋体" w:eastAsia="仿宋_GB2312" w:cs="Times New Roman"/>
          <w:color w:val="auto"/>
          <w:sz w:val="30"/>
          <w:szCs w:val="30"/>
          <w:highlight w:val="none"/>
        </w:rPr>
        <w:t xml:space="preserve"> 的法定代表人。</w:t>
      </w:r>
    </w:p>
    <w:p>
      <w:pPr>
        <w:pStyle w:val="13"/>
        <w:snapToGrid w:val="0"/>
        <w:spacing w:line="600" w:lineRule="exact"/>
        <w:ind w:firstLine="771" w:firstLineChars="257"/>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特此证明。</w:t>
      </w:r>
    </w:p>
    <w:p>
      <w:pPr>
        <w:adjustRightInd w:val="0"/>
        <w:snapToGrid w:val="0"/>
        <w:spacing w:line="600" w:lineRule="exact"/>
        <w:ind w:firstLine="702" w:firstLineChars="234"/>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附：法定代表人身份证(正反两面)复印件</w:t>
      </w:r>
    </w:p>
    <w:p>
      <w:pPr>
        <w:pStyle w:val="13"/>
        <w:snapToGrid w:val="0"/>
        <w:spacing w:line="600" w:lineRule="exact"/>
        <w:ind w:firstLine="3907" w:firstLineChars="1221"/>
        <w:rPr>
          <w:rFonts w:ascii="仿宋_GB2312" w:hAnsi="宋体" w:eastAsia="仿宋_GB2312" w:cs="Times New Roman"/>
          <w:color w:val="auto"/>
          <w:sz w:val="32"/>
          <w:szCs w:val="32"/>
          <w:highlight w:val="none"/>
        </w:rPr>
      </w:pPr>
    </w:p>
    <w:p>
      <w:pPr>
        <w:pStyle w:val="13"/>
        <w:snapToGrid w:val="0"/>
        <w:spacing w:line="600" w:lineRule="exact"/>
        <w:ind w:firstLine="3663" w:firstLineChars="1221"/>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供应商：</w:t>
      </w:r>
      <w:r>
        <w:rPr>
          <w:rFonts w:hint="eastAsia" w:ascii="仿宋_GB2312" w:hAnsi="宋体" w:eastAsia="仿宋_GB2312" w:cs="Times New Roman"/>
          <w:color w:val="auto"/>
          <w:sz w:val="30"/>
          <w:szCs w:val="30"/>
          <w:highlight w:val="none"/>
          <w:u w:val="single"/>
        </w:rPr>
        <w:t xml:space="preserve">       (盖单位章)      </w:t>
      </w:r>
    </w:p>
    <w:p>
      <w:pPr>
        <w:widowControl/>
        <w:adjustRightInd w:val="0"/>
        <w:snapToGrid w:val="0"/>
        <w:spacing w:line="600" w:lineRule="exact"/>
        <w:jc w:val="right"/>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日  期：</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年</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月</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日</w:t>
      </w:r>
    </w:p>
    <w:p>
      <w:pPr>
        <w:widowControl/>
        <w:adjustRightInd w:val="0"/>
        <w:snapToGrid w:val="0"/>
        <w:spacing w:line="600" w:lineRule="exact"/>
        <w:jc w:val="left"/>
        <w:rPr>
          <w:rFonts w:ascii="仿宋_GB2312" w:hAnsi="宋体" w:eastAsia="仿宋_GB2312" w:cs="宋体"/>
          <w:color w:val="auto"/>
          <w:kern w:val="0"/>
          <w:sz w:val="28"/>
          <w:szCs w:val="28"/>
          <w:highlight w:val="none"/>
        </w:rPr>
      </w:pPr>
      <w:r>
        <w:rPr>
          <w:rFonts w:ascii="仿宋_GB2312" w:hAnsi="宋体" w:eastAsia="仿宋_GB2312" w:cs="宋体"/>
          <w:color w:val="auto"/>
          <w:kern w:val="0"/>
          <w:sz w:val="28"/>
          <w:szCs w:val="28"/>
          <w:highlight w:val="none"/>
        </w:rPr>
        <mc:AlternateContent>
          <mc:Choice Requires="wps">
            <w:drawing>
              <wp:anchor distT="0" distB="0" distL="114300" distR="114300" simplePos="0" relativeHeight="251670528" behindDoc="0" locked="0" layoutInCell="1" allowOverlap="1">
                <wp:simplePos x="0" y="0"/>
                <wp:positionH relativeFrom="column">
                  <wp:posOffset>406400</wp:posOffset>
                </wp:positionH>
                <wp:positionV relativeFrom="paragraph">
                  <wp:posOffset>187960</wp:posOffset>
                </wp:positionV>
                <wp:extent cx="3771900" cy="1287780"/>
                <wp:effectExtent l="4445" t="5080" r="14605" b="21590"/>
                <wp:wrapSquare wrapText="bothSides"/>
                <wp:docPr id="10"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771900" cy="1287780"/>
                        </a:xfrm>
                        <a:prstGeom prst="rect">
                          <a:avLst/>
                        </a:prstGeom>
                        <a:solidFill>
                          <a:srgbClr val="FFFFFF"/>
                        </a:solidFill>
                        <a:ln w="9525">
                          <a:solidFill>
                            <a:srgbClr val="000000"/>
                          </a:solidFill>
                          <a:miter lim="800000"/>
                        </a:ln>
                        <a:effectLst/>
                      </wps:spPr>
                      <wps:txbx>
                        <w:txbxContent>
                          <w:p>
                            <w:pPr>
                              <w:jc w:val="center"/>
                              <w:rPr>
                                <w:sz w:val="24"/>
                              </w:rPr>
                            </w:pPr>
                          </w:p>
                          <w:p>
                            <w:pPr>
                              <w:jc w:val="center"/>
                              <w:rPr>
                                <w:color w:val="FF0000"/>
                                <w:sz w:val="24"/>
                              </w:rPr>
                            </w:pPr>
                          </w:p>
                          <w:p>
                            <w:pPr>
                              <w:jc w:val="center"/>
                              <w:rPr>
                                <w:sz w:val="24"/>
                              </w:rPr>
                            </w:pPr>
                            <w:r>
                              <w:rPr>
                                <w:rFonts w:hint="eastAsia"/>
                                <w:sz w:val="24"/>
                              </w:rPr>
                              <w:t>身份证复印件（含正反面）</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32pt;margin-top:14.8pt;height:101.4pt;width:297pt;mso-wrap-distance-bottom:0pt;mso-wrap-distance-left:9pt;mso-wrap-distance-right:9pt;mso-wrap-distance-top:0pt;z-index:251670528;mso-width-relative:page;mso-height-relative:page;" fillcolor="#FFFFFF" filled="t" stroked="t" coordsize="21600,21600" o:gfxdata="UEsDBAoAAAAAAIdO4kAAAAAAAAAAAAAAAAAEAAAAZHJzL1BLAwQUAAAACACHTuJA9qn8X9gAAAAJ&#10;AQAADwAAAGRycy9kb3ducmV2LnhtbE2PwU7DMBBE70j8g7VIXBB1mgaThjg9IIHgVkpVrm7sJhH2&#10;OthuWv6e5QTHnRnNvqlXZ2fZZEIcPEqYzzJgBluvB+wkbN+fbktgMSnUyno0Er5NhFVzeVGrSvsT&#10;vplpkzpGJRgrJaFPaaw4j21vnIozPxok7+CDU4nO0HEd1InKneV5lgnu1ID0oVejeexN+7k5Ogll&#10;8TJ9xNfFeteKg12mm/vp+StIeX01zx6AJXNOf2H4xSd0aIhp74+oI7MSREFTkoR8KYCRL+5KEvYk&#10;LPICeFPz/wuaH1BLAwQUAAAACACHTuJAiw+d10kCAACXBAAADgAAAGRycy9lMm9Eb2MueG1srVTN&#10;bhMxEL4j8Q6W73ST0JJ0lU1VWhUhlR+p8ACO15u1sD1m7GS3PAB9A05cuPNceQ7G3rREAaQe2MPK&#10;szP+5ptvZnZ+1lvDNgqDBlfx8dGIM+Uk1NqtKv7xw9WzGWchClcLA05V/FYFfrZ4+mTe+VJNoAVT&#10;K2QE4kLZ+Yq3MfqyKIJslRXhCLxy5GwArYhk4qqoUXSEbk0xGY1eFB1g7RGkCoG+Xg5OvkPExwBC&#10;02ipLkGurXJxQEVlRKSSQqt94IvMtmmUjO+aJqjITMWp0pjflITOy/QuFnNRrlD4VssdBfEYCgc1&#10;WaEdJX2AuhRRsDXqP6CslggBmngkwRZDIVkRqmI8OtDmphVe5VpI6uAfRA//D1a+3bxHpmuaBJLE&#10;CUsd3367237/uf3xlU2SPp0PJYXdeAqM/UvoKTbXGvw1yE+BObhohVupc0ToWiVq4jdON4u9qwNO&#10;SCDL7g3UlEesI2SgvkGbxCM5GKETkduH3qg+Mkkfn0+n49MRuST5xpPZdDrL3StEeX/dY4ivFFiW&#10;DhVHan6GF5vrEBMdUd6HpGwBjK6vtDHZwNXywiDbCBqUq/zkCg7CjGNdxU9PJieDAv+EGOXnbxBW&#10;R9ofo23FZ/tBxiUeKs/sjm+SLyk2aBf7Zb9rxxLqWxISYZhn2mY6tIBfOOtolisePq8FKs7Ma0fN&#10;OB0fH5NyMRvHJ9MJGbjvWe57hJMEVfHI2XC8iMPCrD3qVUuZhvY7OKcGNjpLm6gOrHZtp3nNiu92&#10;Ky3Evp2jfv9PFr8A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9qn8X9gAAAAJAQAADwAAAAAAAAAB&#10;ACAAAAAiAAAAZHJzL2Rvd25yZXYueG1sUEsBAhQAFAAAAAgAh07iQIsPnddJAgAAlwQAAA4AAAAA&#10;AAAAAQAgAAAAJwEAAGRycy9lMm9Eb2MueG1sUEsFBgAAAAAGAAYAWQEAAOIFAAAAAA==&#10;">
                <v:fill on="t" focussize="0,0"/>
                <v:stroke color="#000000" miterlimit="8" joinstyle="miter"/>
                <v:imagedata o:title=""/>
                <o:lock v:ext="edit" aspectratio="f"/>
                <v:textbox>
                  <w:txbxContent>
                    <w:p>
                      <w:pPr>
                        <w:jc w:val="center"/>
                        <w:rPr>
                          <w:sz w:val="24"/>
                        </w:rPr>
                      </w:pPr>
                    </w:p>
                    <w:p>
                      <w:pPr>
                        <w:jc w:val="center"/>
                        <w:rPr>
                          <w:color w:val="FF0000"/>
                          <w:sz w:val="24"/>
                        </w:rPr>
                      </w:pPr>
                    </w:p>
                    <w:p>
                      <w:pPr>
                        <w:jc w:val="center"/>
                        <w:rPr>
                          <w:sz w:val="24"/>
                        </w:rPr>
                      </w:pPr>
                      <w:r>
                        <w:rPr>
                          <w:rFonts w:hint="eastAsia"/>
                          <w:sz w:val="24"/>
                        </w:rPr>
                        <w:t>身份证复印件（含正反面）</w:t>
                      </w:r>
                    </w:p>
                  </w:txbxContent>
                </v:textbox>
                <w10:wrap type="square"/>
              </v:shape>
            </w:pict>
          </mc:Fallback>
        </mc:AlternateContent>
      </w:r>
    </w:p>
    <w:p>
      <w:pPr>
        <w:widowControl/>
        <w:adjustRightInd w:val="0"/>
        <w:snapToGrid w:val="0"/>
        <w:spacing w:line="600" w:lineRule="exact"/>
        <w:jc w:val="left"/>
        <w:rPr>
          <w:rFonts w:ascii="仿宋_GB2312" w:hAnsi="宋体" w:eastAsia="仿宋_GB2312" w:cs="宋体"/>
          <w:color w:val="auto"/>
          <w:kern w:val="0"/>
          <w:sz w:val="28"/>
          <w:szCs w:val="28"/>
          <w:highlight w:val="none"/>
        </w:rPr>
      </w:pPr>
    </w:p>
    <w:p>
      <w:pPr>
        <w:widowControl/>
        <w:adjustRightInd w:val="0"/>
        <w:snapToGrid w:val="0"/>
        <w:spacing w:line="600" w:lineRule="exact"/>
        <w:jc w:val="left"/>
        <w:rPr>
          <w:rFonts w:ascii="仿宋_GB2312" w:hAnsi="宋体" w:eastAsia="仿宋_GB2312" w:cs="宋体"/>
          <w:color w:val="auto"/>
          <w:kern w:val="0"/>
          <w:sz w:val="28"/>
          <w:szCs w:val="28"/>
          <w:highlight w:val="none"/>
        </w:rPr>
      </w:pPr>
    </w:p>
    <w:p>
      <w:pPr>
        <w:widowControl/>
        <w:adjustRightInd w:val="0"/>
        <w:snapToGrid w:val="0"/>
        <w:spacing w:line="600" w:lineRule="exact"/>
        <w:jc w:val="left"/>
        <w:rPr>
          <w:rFonts w:ascii="仿宋_GB2312" w:hAnsi="宋体" w:eastAsia="仿宋_GB2312" w:cs="宋体"/>
          <w:color w:val="auto"/>
          <w:kern w:val="0"/>
          <w:sz w:val="28"/>
          <w:szCs w:val="28"/>
          <w:highlight w:val="none"/>
        </w:rPr>
      </w:pPr>
    </w:p>
    <w:p>
      <w:pPr>
        <w:adjustRightInd w:val="0"/>
        <w:snapToGrid w:val="0"/>
        <w:spacing w:line="600" w:lineRule="exact"/>
        <w:ind w:firstLine="480"/>
        <w:rPr>
          <w:rFonts w:ascii="仿宋_GB2312" w:eastAsia="仿宋_GB2312"/>
          <w:color w:val="auto"/>
          <w:highlight w:val="none"/>
        </w:rPr>
      </w:pPr>
      <w:r>
        <w:rPr>
          <w:rFonts w:hint="eastAsia" w:ascii="仿宋_GB2312" w:hAnsi="宋体" w:eastAsia="仿宋_GB2312"/>
          <w:color w:val="auto"/>
          <w:kern w:val="0"/>
          <w:szCs w:val="21"/>
          <w:highlight w:val="none"/>
        </w:rPr>
        <w:t>注：法定代表人证明书亦可采用工商行政管理局统一制订的格式。</w:t>
      </w:r>
    </w:p>
    <w:p>
      <w:pPr>
        <w:spacing w:line="360" w:lineRule="auto"/>
        <w:rPr>
          <w:color w:val="auto"/>
          <w:highlight w:val="none"/>
        </w:rPr>
      </w:pPr>
      <w:r>
        <w:rPr>
          <w:rFonts w:hint="eastAsia" w:ascii="宋体" w:hAnsi="宋体" w:cs="宋体"/>
          <w:color w:val="auto"/>
          <w:kern w:val="0"/>
          <w:sz w:val="28"/>
          <w:szCs w:val="28"/>
          <w:highlight w:val="none"/>
        </w:rPr>
        <w:br w:type="page"/>
      </w:r>
      <w:r>
        <w:rPr>
          <w:rFonts w:hint="eastAsia" w:ascii="仿宋_GB2312" w:hAnsi="黑体" w:eastAsia="仿宋_GB2312"/>
          <w:color w:val="auto"/>
          <w:sz w:val="28"/>
          <w:szCs w:val="28"/>
          <w:highlight w:val="none"/>
        </w:rPr>
        <w:t>2.2法人授权委托书</w:t>
      </w:r>
    </w:p>
    <w:p>
      <w:pPr>
        <w:adjustRightInd w:val="0"/>
        <w:snapToGrid w:val="0"/>
        <w:spacing w:before="156" w:beforeLines="50" w:after="156" w:afterLines="50" w:line="600" w:lineRule="exact"/>
        <w:jc w:val="center"/>
        <w:rPr>
          <w:rFonts w:ascii="方正小标宋简体" w:hAnsi="Times New Roman" w:eastAsia="方正小标宋简体" w:cs="Tahoma"/>
          <w:color w:val="auto"/>
          <w:kern w:val="0"/>
          <w:sz w:val="44"/>
          <w:szCs w:val="44"/>
          <w:highlight w:val="none"/>
        </w:rPr>
      </w:pPr>
      <w:r>
        <w:rPr>
          <w:rFonts w:hint="eastAsia" w:ascii="方正小标宋简体" w:hAnsi="Times New Roman" w:eastAsia="方正小标宋简体" w:cs="Tahoma"/>
          <w:color w:val="auto"/>
          <w:kern w:val="0"/>
          <w:sz w:val="44"/>
          <w:szCs w:val="44"/>
          <w:highlight w:val="none"/>
        </w:rPr>
        <w:t>法定代表人授权委托书</w:t>
      </w:r>
    </w:p>
    <w:p>
      <w:pPr>
        <w:adjustRightInd w:val="0"/>
        <w:snapToGrid w:val="0"/>
        <w:spacing w:line="600" w:lineRule="exact"/>
        <w:ind w:firstLine="600" w:firstLineChars="2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本人</w:t>
      </w:r>
      <w:r>
        <w:rPr>
          <w:rFonts w:hint="eastAsia" w:ascii="仿宋_GB2312" w:hAnsi="宋体" w:eastAsia="仿宋_GB2312"/>
          <w:color w:val="auto"/>
          <w:sz w:val="30"/>
          <w:szCs w:val="30"/>
          <w:highlight w:val="none"/>
          <w:u w:val="single"/>
        </w:rPr>
        <w:t xml:space="preserve">   (姓名)    </w:t>
      </w:r>
      <w:r>
        <w:rPr>
          <w:rFonts w:hint="eastAsia" w:ascii="仿宋_GB2312" w:hAnsi="宋体" w:eastAsia="仿宋_GB2312"/>
          <w:color w:val="auto"/>
          <w:sz w:val="30"/>
          <w:szCs w:val="30"/>
          <w:highlight w:val="none"/>
        </w:rPr>
        <w:t>系</w:t>
      </w:r>
      <w:r>
        <w:rPr>
          <w:rFonts w:hint="eastAsia" w:ascii="仿宋_GB2312" w:hAnsi="宋体" w:eastAsia="仿宋_GB2312"/>
          <w:color w:val="auto"/>
          <w:sz w:val="30"/>
          <w:szCs w:val="30"/>
          <w:highlight w:val="none"/>
          <w:u w:val="single"/>
        </w:rPr>
        <w:t xml:space="preserve">        (供应商名称)          </w:t>
      </w:r>
      <w:r>
        <w:rPr>
          <w:rFonts w:hint="eastAsia" w:ascii="仿宋_GB2312" w:hAnsi="宋体" w:eastAsia="仿宋_GB2312"/>
          <w:color w:val="auto"/>
          <w:sz w:val="30"/>
          <w:szCs w:val="30"/>
          <w:highlight w:val="none"/>
        </w:rPr>
        <w:t>的法定代表人，现授权</w:t>
      </w:r>
      <w:r>
        <w:rPr>
          <w:rFonts w:hint="eastAsia" w:ascii="仿宋_GB2312" w:hAnsi="宋体" w:eastAsia="仿宋_GB2312"/>
          <w:color w:val="auto"/>
          <w:sz w:val="30"/>
          <w:szCs w:val="30"/>
          <w:highlight w:val="none"/>
          <w:u w:val="single"/>
        </w:rPr>
        <w:t xml:space="preserve">   (姓名)   </w:t>
      </w:r>
      <w:r>
        <w:rPr>
          <w:rFonts w:hint="eastAsia" w:ascii="仿宋_GB2312" w:hAnsi="宋体" w:eastAsia="仿宋_GB2312"/>
          <w:color w:val="auto"/>
          <w:sz w:val="30"/>
          <w:szCs w:val="30"/>
          <w:highlight w:val="none"/>
        </w:rPr>
        <w:t>为我方代理人。代理人根据授权，以我方名义签署、澄清、说明、提交、撤回、修改</w:t>
      </w:r>
      <w:r>
        <w:rPr>
          <w:rFonts w:hint="eastAsia" w:ascii="仿宋_GB2312" w:hAnsi="宋体" w:eastAsia="仿宋_GB2312"/>
          <w:color w:val="auto"/>
          <w:sz w:val="30"/>
          <w:szCs w:val="30"/>
          <w:highlight w:val="none"/>
          <w:u w:val="single"/>
        </w:rPr>
        <w:t xml:space="preserve"> （项目名称、项目编号、标段/标包号）  </w:t>
      </w:r>
      <w:r>
        <w:rPr>
          <w:rFonts w:hint="eastAsia" w:ascii="仿宋_GB2312" w:hAnsi="宋体" w:eastAsia="仿宋_GB2312"/>
          <w:color w:val="auto"/>
          <w:sz w:val="30"/>
          <w:szCs w:val="30"/>
          <w:highlight w:val="none"/>
        </w:rPr>
        <w:t>的响应文件、签订合同和处理有关事宜，其法律后果由我方承担。</w:t>
      </w:r>
    </w:p>
    <w:p>
      <w:pPr>
        <w:adjustRightInd w:val="0"/>
        <w:snapToGrid w:val="0"/>
        <w:spacing w:line="600" w:lineRule="exact"/>
        <w:ind w:firstLine="59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委托期限：</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w:t>
      </w:r>
    </w:p>
    <w:p>
      <w:pPr>
        <w:adjustRightInd w:val="0"/>
        <w:snapToGrid w:val="0"/>
        <w:spacing w:line="600" w:lineRule="exact"/>
        <w:ind w:firstLine="59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代理人无转委托权。</w:t>
      </w:r>
    </w:p>
    <w:p>
      <w:pPr>
        <w:adjustRightInd w:val="0"/>
        <w:snapToGrid w:val="0"/>
        <w:spacing w:line="600" w:lineRule="exact"/>
        <w:ind w:firstLine="59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附：1.委托代理人身份证(正反两面)复印件</w:t>
      </w:r>
    </w:p>
    <w:p>
      <w:pPr>
        <w:pStyle w:val="34"/>
        <w:ind w:firstLine="1200" w:firstLineChars="400"/>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2.提供授权委托人在本单位近三个月社保记录（以加盖社会保险基金管理中心印章的《缴费历史明细表》或《社会保险参保人员证明》为准），否则为无效代理人，询价响应文件无效。</w:t>
      </w:r>
    </w:p>
    <w:p>
      <w:pPr>
        <w:pStyle w:val="13"/>
        <w:snapToGrid w:val="0"/>
        <w:spacing w:line="600" w:lineRule="exact"/>
        <w:ind w:firstLine="3618" w:firstLineChars="1005"/>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pacing w:val="30"/>
          <w:sz w:val="30"/>
          <w:szCs w:val="30"/>
          <w:highlight w:val="none"/>
        </w:rPr>
        <w:t>供应商</w:t>
      </w:r>
      <w:r>
        <w:rPr>
          <w:rFonts w:hint="eastAsia" w:ascii="仿宋_GB2312" w:hAnsi="宋体" w:eastAsia="仿宋_GB2312" w:cs="Times New Roman"/>
          <w:color w:val="auto"/>
          <w:sz w:val="30"/>
          <w:szCs w:val="30"/>
          <w:highlight w:val="none"/>
        </w:rPr>
        <w:t>：</w:t>
      </w:r>
      <w:r>
        <w:rPr>
          <w:rFonts w:hint="eastAsia" w:ascii="仿宋_GB2312" w:hAnsi="宋体" w:eastAsia="仿宋_GB2312" w:cs="Times New Roman"/>
          <w:color w:val="auto"/>
          <w:sz w:val="30"/>
          <w:szCs w:val="30"/>
          <w:highlight w:val="none"/>
          <w:u w:val="single"/>
        </w:rPr>
        <w:t xml:space="preserve">      (单位公章)         </w:t>
      </w:r>
    </w:p>
    <w:p>
      <w:pPr>
        <w:pStyle w:val="13"/>
        <w:snapToGrid w:val="0"/>
        <w:spacing w:line="600" w:lineRule="exact"/>
        <w:ind w:firstLine="3600" w:firstLineChars="1200"/>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法定代表人：</w:t>
      </w:r>
      <w:r>
        <w:rPr>
          <w:rFonts w:hint="eastAsia" w:ascii="仿宋_GB2312" w:hAnsi="宋体" w:eastAsia="仿宋_GB2312" w:cs="Times New Roman"/>
          <w:color w:val="auto"/>
          <w:sz w:val="30"/>
          <w:szCs w:val="30"/>
          <w:highlight w:val="none"/>
          <w:u w:val="single"/>
        </w:rPr>
        <w:t xml:space="preserve">       (签字)            </w:t>
      </w:r>
    </w:p>
    <w:p>
      <w:pPr>
        <w:pStyle w:val="13"/>
        <w:snapToGrid w:val="0"/>
        <w:spacing w:line="600" w:lineRule="exact"/>
        <w:ind w:firstLine="3600" w:firstLineChars="1200"/>
        <w:rPr>
          <w:rFonts w:ascii="仿宋_GB2312" w:hAnsi="宋体" w:eastAsia="仿宋_GB2312" w:cs="Times New Roman"/>
          <w:color w:val="auto"/>
          <w:sz w:val="30"/>
          <w:szCs w:val="30"/>
          <w:highlight w:val="none"/>
        </w:rPr>
      </w:pPr>
      <w:r>
        <w:rPr>
          <w:rFonts w:hint="eastAsia" w:ascii="仿宋_GB2312" w:hAnsi="宋体" w:eastAsia="仿宋_GB2312" w:cs="Times New Roman"/>
          <w:color w:val="auto"/>
          <w:sz w:val="30"/>
          <w:szCs w:val="30"/>
          <w:highlight w:val="none"/>
        </w:rPr>
        <w:t>委托代理人：</w:t>
      </w:r>
      <w:r>
        <w:rPr>
          <w:rFonts w:hint="eastAsia" w:ascii="仿宋_GB2312" w:hAnsi="宋体" w:eastAsia="仿宋_GB2312" w:cs="Times New Roman"/>
          <w:color w:val="auto"/>
          <w:sz w:val="30"/>
          <w:szCs w:val="30"/>
          <w:highlight w:val="none"/>
          <w:u w:val="single"/>
        </w:rPr>
        <w:t xml:space="preserve">       (签字)            </w:t>
      </w:r>
    </w:p>
    <w:p>
      <w:pPr>
        <w:widowControl/>
        <w:adjustRightInd w:val="0"/>
        <w:snapToGrid w:val="0"/>
        <w:spacing w:line="600" w:lineRule="exact"/>
        <w:rPr>
          <w:rFonts w:ascii="仿宋_GB2312" w:hAnsi="宋体" w:eastAsia="仿宋_GB2312"/>
          <w:color w:val="auto"/>
          <w:sz w:val="30"/>
          <w:szCs w:val="30"/>
          <w:highlight w:val="none"/>
        </w:rPr>
      </w:pPr>
      <w:r>
        <w:rPr>
          <w:rFonts w:hint="eastAsia" w:ascii="仿宋_GB2312" w:hAnsi="宋体" w:eastAsia="仿宋_GB2312"/>
          <w:color w:val="auto"/>
          <w:sz w:val="30"/>
          <w:szCs w:val="30"/>
          <w:highlight w:val="none"/>
        </w:rPr>
        <w:t xml:space="preserve">                        日    期：</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年</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月</w:t>
      </w:r>
      <w:r>
        <w:rPr>
          <w:rFonts w:hint="eastAsia" w:ascii="仿宋_GB2312" w:hAnsi="宋体" w:eastAsia="仿宋_GB2312"/>
          <w:color w:val="auto"/>
          <w:sz w:val="30"/>
          <w:szCs w:val="30"/>
          <w:highlight w:val="none"/>
          <w:u w:val="single"/>
        </w:rPr>
        <w:t xml:space="preserve">     </w:t>
      </w:r>
      <w:r>
        <w:rPr>
          <w:rFonts w:hint="eastAsia" w:ascii="仿宋_GB2312" w:hAnsi="宋体" w:eastAsia="仿宋_GB2312"/>
          <w:color w:val="auto"/>
          <w:sz w:val="30"/>
          <w:szCs w:val="30"/>
          <w:highlight w:val="none"/>
        </w:rPr>
        <w:t>日</w:t>
      </w:r>
    </w:p>
    <w:p>
      <w:pPr>
        <w:pStyle w:val="2"/>
        <w:rPr>
          <w:rFonts w:ascii="仿宋_GB2312" w:eastAsia="仿宋_GB2312"/>
          <w:color w:val="auto"/>
          <w:sz w:val="30"/>
          <w:szCs w:val="30"/>
          <w:highlight w:val="none"/>
        </w:rPr>
      </w:pPr>
    </w:p>
    <w:p>
      <w:pPr>
        <w:pStyle w:val="2"/>
        <w:rPr>
          <w:rFonts w:ascii="仿宋_GB2312" w:eastAsia="仿宋_GB2312"/>
          <w:color w:val="auto"/>
          <w:sz w:val="30"/>
          <w:szCs w:val="30"/>
          <w:highlight w:val="none"/>
        </w:rPr>
      </w:pPr>
    </w:p>
    <w:p>
      <w:pPr>
        <w:pStyle w:val="2"/>
        <w:rPr>
          <w:rFonts w:ascii="仿宋_GB2312" w:eastAsia="仿宋_GB2312"/>
          <w:color w:val="auto"/>
          <w:sz w:val="30"/>
          <w:szCs w:val="30"/>
          <w:highlight w:val="none"/>
        </w:rPr>
      </w:pPr>
    </w:p>
    <w:p>
      <w:pPr>
        <w:pStyle w:val="2"/>
        <w:rPr>
          <w:rFonts w:ascii="仿宋_GB2312" w:eastAsia="仿宋_GB2312"/>
          <w:color w:val="auto"/>
          <w:sz w:val="30"/>
          <w:szCs w:val="30"/>
          <w:highlight w:val="none"/>
        </w:rPr>
      </w:pPr>
    </w:p>
    <w:p>
      <w:pPr>
        <w:pStyle w:val="7"/>
        <w:spacing w:after="0" w:line="600" w:lineRule="exact"/>
        <w:rPr>
          <w:rFonts w:ascii="仿宋_GB2312" w:eastAsia="仿宋_GB2312"/>
          <w:color w:val="auto"/>
          <w:highlight w:val="none"/>
        </w:rPr>
      </w:pPr>
      <w:r>
        <w:rPr>
          <w:rFonts w:ascii="仿宋_GB2312" w:eastAsia="仿宋_GB2312"/>
          <w:color w:val="auto"/>
          <w:sz w:val="44"/>
          <w:szCs w:val="44"/>
          <w:highlight w:val="none"/>
          <w:u w:val="single"/>
        </w:rPr>
        <mc:AlternateContent>
          <mc:Choice Requires="wps">
            <w:drawing>
              <wp:anchor distT="0" distB="0" distL="114300" distR="114300" simplePos="0" relativeHeight="251671552" behindDoc="0" locked="0" layoutInCell="1" allowOverlap="1">
                <wp:simplePos x="0" y="0"/>
                <wp:positionH relativeFrom="column">
                  <wp:posOffset>615950</wp:posOffset>
                </wp:positionH>
                <wp:positionV relativeFrom="paragraph">
                  <wp:posOffset>200025</wp:posOffset>
                </wp:positionV>
                <wp:extent cx="3771900" cy="1287780"/>
                <wp:effectExtent l="4445" t="5080" r="14605" b="21590"/>
                <wp:wrapSquare wrapText="bothSides"/>
                <wp:docPr id="11"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771900" cy="1287780"/>
                        </a:xfrm>
                        <a:prstGeom prst="rect">
                          <a:avLst/>
                        </a:prstGeom>
                        <a:solidFill>
                          <a:srgbClr val="FFFFFF"/>
                        </a:solidFill>
                        <a:ln w="9525">
                          <a:solidFill>
                            <a:srgbClr val="000000"/>
                          </a:solidFill>
                          <a:miter lim="800000"/>
                        </a:ln>
                        <a:effectLst/>
                      </wps:spPr>
                      <wps:txbx>
                        <w:txbxContent>
                          <w:p>
                            <w:pPr>
                              <w:jc w:val="center"/>
                              <w:rPr>
                                <w:sz w:val="24"/>
                              </w:rPr>
                            </w:pPr>
                          </w:p>
                          <w:p>
                            <w:pPr>
                              <w:jc w:val="center"/>
                              <w:rPr>
                                <w:color w:val="FF0000"/>
                                <w:sz w:val="24"/>
                              </w:rPr>
                            </w:pPr>
                          </w:p>
                          <w:p>
                            <w:pPr>
                              <w:jc w:val="center"/>
                              <w:rPr>
                                <w:sz w:val="24"/>
                              </w:rPr>
                            </w:pPr>
                            <w:r>
                              <w:rPr>
                                <w:rFonts w:hint="eastAsia"/>
                                <w:sz w:val="24"/>
                              </w:rPr>
                              <w:t>身份证复印件（含正反面）</w:t>
                            </w:r>
                          </w:p>
                        </w:txbxContent>
                      </wps:txbx>
                      <wps:bodyPr rot="0" vert="horz" wrap="square" lIns="91440" tIns="45720" rIns="91440" bIns="45720" anchor="t" anchorCtr="0" upright="1">
                        <a:noAutofit/>
                      </wps:bodyPr>
                    </wps:wsp>
                  </a:graphicData>
                </a:graphic>
              </wp:anchor>
            </w:drawing>
          </mc:Choice>
          <mc:Fallback>
            <w:pict>
              <v:shape id="文本框 2" o:spid="_x0000_s1026" o:spt="202" type="#_x0000_t202" style="position:absolute;left:0pt;margin-left:48.5pt;margin-top:15.75pt;height:101.4pt;width:297pt;mso-wrap-distance-bottom:0pt;mso-wrap-distance-left:9pt;mso-wrap-distance-right:9pt;mso-wrap-distance-top:0pt;z-index:251671552;mso-width-relative:page;mso-height-relative:page;" fillcolor="#FFFFFF" filled="t" stroked="t" coordsize="21600,21600" o:gfxdata="UEsDBAoAAAAAAIdO4kAAAAAAAAAAAAAAAAAEAAAAZHJzL1BLAwQUAAAACACHTuJA9TIojtkAAAAJ&#10;AQAADwAAAGRycy9kb3ducmV2LnhtbE2PwU7DMBBE70j8g7VIXBB10pS0Cdn0gASCGxTUXt3YTSLi&#10;dbDdtPw9ywmOs7OaeVOtz3YQk/Ghd4SQzhIQhhqne2oRPt4fb1cgQlSk1eDIIHybAOv68qJSpXYn&#10;ejPTJraCQyiUCqGLcSylDE1nrAozNxpi7+C8VZGlb6X26sThdpDzJMmlVT1xQ6dG89CZ5nNztAir&#10;xfO0Cy/Z67bJD0MRb5bT05dHvL5Kk3sQ0Zzj3zP84jM61My0d0fSQQwIxZKnRIQsvQPBfl6kfNgj&#10;zLNFBrKu5P8F9Q9QSwMEFAAAAAgAh07iQJv5us1JAgAAlwQAAA4AAABkcnMvZTJvRG9jLnhtbK1U&#10;zW7UMBC+I/EOlu80m6Vlt1GzVWlVhFR+pMIDeB1nY2F7zNi7SXkA+gacuHDnufY5GDvbsiog9UAO&#10;kScz/mbm+2ZycjpYwzYKgwZX8/JgwplyEhrtVjX/+OHy2ZyzEIVrhAGnan6jAj9dPH1y0vtKTaED&#10;0yhkBOJC1fuadzH6qiiC7JQV4QC8cuRsAa2IZOKqaFD0hG5NMZ1MXhQ9YOMRpAqBvl6MTr5DxMcA&#10;QttqqS5Arq1ycURFZUSklkKnfeCLXG3bKhnftW1QkZmaU6cxvykJnZfpXSxORLVC4TstdyWIx5Tw&#10;oCcrtKOk91AXIgq2Rv0HlNUSIUAbDyTYYmwkM0JdlJMH3Fx3wqvcC1Ed/D3p4f/Byreb98h0Q5NQ&#10;cuaEJcW33263339uf3xl08RP70NFYdeeAuPwEgaKzb0GfwXyU2AOzjvhVuoMEfpOiYbqK9PNYu/q&#10;iBMSyLJ/Aw3lEesIGWho0SbyiA5G6KTNzb02aohM0sfns1l5PCGXJF85nc9m86xeIaq76x5DfKXA&#10;snSoOZL4GV5srkJM5YjqLiRlC2B0c6mNyQaulucG2UbQoFzmJ3fwIMw41tf8+Gh6NDLwT4hJfv4G&#10;YXWk/THa1ny+H2RcqkPlmd3Vm+hLjI3cxWE57ORYQnNDRCKM80zbTIcO8AtnPc1yzcPntUDFmXnt&#10;SIzj8vAwDX82Do9mUzJw37Pc9wgnCarmkbPxeB7HhVl71KuOMo3yOzgjAVudqU2ljlXtZKd5zYzv&#10;distxL6do37/Txa/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LsEAABbQ29udGVudF9UeXBlc10ueG1sUEsBAhQACgAAAAAAh07iQAAAAAAAAAAA&#10;AAAAAAYAAAAAAAAAAAAQAAAAnQMAAF9yZWxzL1BLAQIUABQAAAAIAIdO4kCKFGY80QAAAJQBAAAL&#10;AAAAAAAAAAEAIAAAAMEDAABfcmVscy8ucmVsc1BLAQIUAAoAAAAAAIdO4kAAAAAAAAAAAAAAAAAE&#10;AAAAAAAAAAAAEAAAAAAAAABkcnMvUEsBAhQAFAAAAAgAh07iQPUyKI7ZAAAACQEAAA8AAAAAAAAA&#10;AQAgAAAAIgAAAGRycy9kb3ducmV2LnhtbFBLAQIUABQAAAAIAIdO4kCb+brNSQIAAJcEAAAOAAAA&#10;AAAAAAEAIAAAACgBAABkcnMvZTJvRG9jLnhtbFBLBQYAAAAABgAGAFkBAADjBQAAAAA=&#10;">
                <v:fill on="t" focussize="0,0"/>
                <v:stroke color="#000000" miterlimit="8" joinstyle="miter"/>
                <v:imagedata o:title=""/>
                <o:lock v:ext="edit" aspectratio="f"/>
                <v:textbox>
                  <w:txbxContent>
                    <w:p>
                      <w:pPr>
                        <w:jc w:val="center"/>
                        <w:rPr>
                          <w:sz w:val="24"/>
                        </w:rPr>
                      </w:pPr>
                    </w:p>
                    <w:p>
                      <w:pPr>
                        <w:jc w:val="center"/>
                        <w:rPr>
                          <w:color w:val="FF0000"/>
                          <w:sz w:val="24"/>
                        </w:rPr>
                      </w:pPr>
                    </w:p>
                    <w:p>
                      <w:pPr>
                        <w:jc w:val="center"/>
                        <w:rPr>
                          <w:sz w:val="24"/>
                        </w:rPr>
                      </w:pPr>
                      <w:r>
                        <w:rPr>
                          <w:rFonts w:hint="eastAsia"/>
                          <w:sz w:val="24"/>
                        </w:rPr>
                        <w:t>身份证复印件（含正反面）</w:t>
                      </w:r>
                    </w:p>
                  </w:txbxContent>
                </v:textbox>
                <w10:wrap type="square"/>
              </v:shape>
            </w:pict>
          </mc:Fallback>
        </mc:AlternateContent>
      </w:r>
    </w:p>
    <w:p>
      <w:pPr>
        <w:pStyle w:val="7"/>
        <w:spacing w:after="0" w:line="600" w:lineRule="exact"/>
        <w:rPr>
          <w:rFonts w:ascii="仿宋_GB2312" w:eastAsia="仿宋_GB2312"/>
          <w:color w:val="auto"/>
          <w:highlight w:val="none"/>
        </w:rPr>
      </w:pPr>
    </w:p>
    <w:p>
      <w:pPr>
        <w:pStyle w:val="7"/>
        <w:spacing w:after="0" w:line="600" w:lineRule="exact"/>
        <w:rPr>
          <w:rFonts w:ascii="仿宋_GB2312" w:eastAsia="仿宋_GB2312"/>
          <w:color w:val="auto"/>
          <w:highlight w:val="none"/>
        </w:rPr>
      </w:pPr>
    </w:p>
    <w:p>
      <w:pPr>
        <w:pStyle w:val="7"/>
        <w:spacing w:after="0" w:line="600" w:lineRule="exact"/>
        <w:ind w:firstLine="0"/>
        <w:rPr>
          <w:rFonts w:ascii="仿宋_GB2312" w:eastAsia="仿宋_GB2312"/>
          <w:color w:val="auto"/>
          <w:highlight w:val="none"/>
        </w:rPr>
      </w:pPr>
    </w:p>
    <w:p>
      <w:pPr>
        <w:pStyle w:val="7"/>
        <w:spacing w:after="0" w:line="600" w:lineRule="exact"/>
        <w:rPr>
          <w:rFonts w:ascii="仿宋_GB2312" w:eastAsia="仿宋_GB2312"/>
          <w:color w:val="auto"/>
          <w:highlight w:val="none"/>
        </w:rPr>
      </w:pPr>
    </w:p>
    <w:p>
      <w:pPr>
        <w:adjustRightInd w:val="0"/>
        <w:snapToGrid w:val="0"/>
        <w:spacing w:line="600" w:lineRule="exact"/>
        <w:ind w:firstLine="480"/>
        <w:rPr>
          <w:rFonts w:ascii="仿宋_GB2312" w:hAnsi="宋体" w:eastAsia="仿宋_GB2312"/>
          <w:color w:val="auto"/>
          <w:kern w:val="0"/>
          <w:szCs w:val="21"/>
          <w:highlight w:val="none"/>
        </w:rPr>
      </w:pPr>
      <w:r>
        <w:rPr>
          <w:rFonts w:hint="eastAsia" w:ascii="仿宋_GB2312" w:hAnsi="宋体" w:eastAsia="仿宋_GB2312"/>
          <w:color w:val="auto"/>
          <w:kern w:val="0"/>
          <w:szCs w:val="21"/>
          <w:highlight w:val="none"/>
        </w:rPr>
        <w:t>注：法人授权委托书亦可采用工商行政管理局统一制订的格式。</w:t>
      </w:r>
    </w:p>
    <w:tbl>
      <w:tblPr>
        <w:tblStyle w:val="2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6" w:hRule="atLeast"/>
        </w:trPr>
        <w:tc>
          <w:tcPr>
            <w:tcW w:w="9608" w:type="dxa"/>
          </w:tcPr>
          <w:p>
            <w:pPr>
              <w:spacing w:line="360" w:lineRule="auto"/>
              <w:rPr>
                <w:rFonts w:ascii="宋体" w:hAnsi="宋体" w:eastAsia="宋体" w:cs="Times New Roman"/>
                <w:color w:val="auto"/>
                <w:sz w:val="24"/>
                <w:szCs w:val="24"/>
                <w:highlight w:val="none"/>
              </w:rPr>
            </w:pPr>
          </w:p>
          <w:p>
            <w:pPr>
              <w:spacing w:line="360" w:lineRule="auto"/>
              <w:jc w:val="center"/>
              <w:rPr>
                <w:rFonts w:ascii="宋体" w:hAnsi="宋体" w:eastAsia="宋体" w:cs="Times New Roman"/>
                <w:color w:val="auto"/>
                <w:sz w:val="24"/>
                <w:szCs w:val="24"/>
                <w:highlight w:val="none"/>
              </w:rPr>
            </w:pPr>
          </w:p>
          <w:p>
            <w:pPr>
              <w:spacing w:line="360" w:lineRule="auto"/>
              <w:jc w:val="center"/>
              <w:rPr>
                <w:rFonts w:ascii="宋体" w:hAnsi="宋体"/>
                <w:color w:val="auto"/>
                <w:sz w:val="24"/>
                <w:szCs w:val="24"/>
                <w:highlight w:val="none"/>
              </w:rPr>
            </w:pPr>
            <w:r>
              <w:rPr>
                <w:rFonts w:hint="eastAsia" w:ascii="宋体" w:hAnsi="宋体" w:cs="Times New Roman"/>
                <w:color w:val="auto"/>
                <w:sz w:val="24"/>
                <w:szCs w:val="24"/>
                <w:highlight w:val="none"/>
              </w:rPr>
              <w:t>授权代理人在本单位近三个月社保记录，（以加盖社会保险基金管理中心印章的《缴费历史明细表》或《社会保险参保人员证明》为准，加</w:t>
            </w:r>
            <w:r>
              <w:rPr>
                <w:rFonts w:hint="eastAsia" w:ascii="宋体" w:hAnsi="宋体"/>
                <w:color w:val="auto"/>
                <w:sz w:val="24"/>
                <w:szCs w:val="24"/>
                <w:highlight w:val="none"/>
              </w:rPr>
              <w:t>盖单位公章</w:t>
            </w:r>
          </w:p>
          <w:p>
            <w:pPr>
              <w:spacing w:line="360" w:lineRule="auto"/>
              <w:jc w:val="center"/>
              <w:rPr>
                <w:rFonts w:ascii="宋体" w:hAnsi="宋体"/>
                <w:color w:val="auto"/>
                <w:sz w:val="24"/>
                <w:szCs w:val="24"/>
                <w:highlight w:val="none"/>
              </w:rPr>
            </w:pPr>
          </w:p>
          <w:p>
            <w:pPr>
              <w:spacing w:line="360" w:lineRule="auto"/>
              <w:jc w:val="left"/>
              <w:rPr>
                <w:rFonts w:ascii="宋体" w:hAnsi="宋体"/>
                <w:color w:val="auto"/>
                <w:sz w:val="24"/>
                <w:szCs w:val="24"/>
                <w:highlight w:val="none"/>
              </w:rPr>
            </w:pPr>
          </w:p>
          <w:p>
            <w:pPr>
              <w:spacing w:line="360" w:lineRule="auto"/>
              <w:jc w:val="left"/>
              <w:rPr>
                <w:rFonts w:ascii="宋体" w:hAnsi="宋体"/>
                <w:color w:val="auto"/>
                <w:sz w:val="24"/>
                <w:szCs w:val="24"/>
                <w:highlight w:val="none"/>
              </w:rPr>
            </w:pPr>
          </w:p>
        </w:tc>
      </w:tr>
    </w:tbl>
    <w:p>
      <w:pPr>
        <w:spacing w:line="440" w:lineRule="exact"/>
        <w:ind w:firstLine="859" w:firstLineChars="307"/>
        <w:rPr>
          <w:rFonts w:ascii="仿宋" w:hAnsi="仿宋" w:eastAsia="仿宋" w:cs="仿宋_GB2312"/>
          <w:color w:val="auto"/>
          <w:sz w:val="28"/>
          <w:szCs w:val="28"/>
          <w:highlight w:val="none"/>
        </w:rPr>
      </w:pPr>
    </w:p>
    <w:p>
      <w:pPr>
        <w:spacing w:line="480" w:lineRule="exact"/>
        <w:ind w:firstLine="843" w:firstLineChars="300"/>
        <w:rPr>
          <w:rFonts w:ascii="仿宋" w:hAnsi="仿宋" w:eastAsia="仿宋" w:cs="仿宋_GB2312"/>
          <w:b/>
          <w:color w:val="auto"/>
          <w:sz w:val="28"/>
          <w:szCs w:val="28"/>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6"/>
        <w:rPr>
          <w:rFonts w:asciiTheme="minorEastAsia" w:hAnsiTheme="minorEastAsia" w:eastAsiaTheme="minorEastAsia"/>
          <w:color w:val="auto"/>
          <w:sz w:val="28"/>
          <w:szCs w:val="28"/>
          <w:highlight w:val="none"/>
        </w:rPr>
      </w:pPr>
      <w:r>
        <w:rPr>
          <w:rFonts w:hint="eastAsia" w:ascii="仿宋_GB2312" w:eastAsia="仿宋_GB2312" w:hAnsiTheme="minorEastAsia"/>
          <w:color w:val="auto"/>
          <w:sz w:val="28"/>
          <w:szCs w:val="28"/>
          <w:highlight w:val="none"/>
        </w:rPr>
        <w:t xml:space="preserve"> </w:t>
      </w:r>
      <w:bookmarkStart w:id="198" w:name="_Toc87616400"/>
      <w:bookmarkStart w:id="199" w:name="_Toc88209963"/>
      <w:bookmarkStart w:id="200" w:name="_Toc8086"/>
      <w:bookmarkStart w:id="201" w:name="_Toc19830"/>
      <w:r>
        <w:rPr>
          <w:rFonts w:hint="eastAsia" w:ascii="仿宋_GB2312" w:eastAsia="仿宋_GB2312" w:hAnsiTheme="minorEastAsia"/>
          <w:color w:val="auto"/>
          <w:sz w:val="28"/>
          <w:szCs w:val="28"/>
          <w:highlight w:val="none"/>
        </w:rPr>
        <w:t>3</w:t>
      </w:r>
      <w:r>
        <w:rPr>
          <w:rFonts w:hint="eastAsia" w:asciiTheme="minorEastAsia" w:hAnsiTheme="minorEastAsia" w:eastAsiaTheme="minorEastAsia"/>
          <w:color w:val="auto"/>
          <w:sz w:val="28"/>
          <w:szCs w:val="28"/>
          <w:highlight w:val="none"/>
        </w:rPr>
        <w:t>.资格审查资料</w:t>
      </w:r>
      <w:bookmarkEnd w:id="198"/>
      <w:bookmarkEnd w:id="199"/>
      <w:bookmarkEnd w:id="200"/>
      <w:bookmarkEnd w:id="201"/>
    </w:p>
    <w:p>
      <w:pPr>
        <w:spacing w:line="360" w:lineRule="auto"/>
        <w:rPr>
          <w:rFonts w:ascii="仿宋_GB2312" w:hAnsi="黑体" w:eastAsia="仿宋_GB2312"/>
          <w:color w:val="auto"/>
          <w:sz w:val="28"/>
          <w:szCs w:val="28"/>
          <w:highlight w:val="none"/>
        </w:rPr>
      </w:pPr>
      <w:r>
        <w:rPr>
          <w:rFonts w:hint="eastAsia" w:ascii="仿宋_GB2312" w:hAnsi="黑体" w:eastAsia="仿宋_GB2312"/>
          <w:color w:val="auto"/>
          <w:sz w:val="28"/>
          <w:szCs w:val="28"/>
          <w:highlight w:val="none"/>
        </w:rPr>
        <w:t>3.1供应商基本情况表</w:t>
      </w:r>
    </w:p>
    <w:tbl>
      <w:tblPr>
        <w:tblStyle w:val="22"/>
        <w:tblW w:w="9264" w:type="dxa"/>
        <w:tblInd w:w="-20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986"/>
        <w:gridCol w:w="1134"/>
        <w:gridCol w:w="966"/>
        <w:gridCol w:w="1018"/>
        <w:gridCol w:w="142"/>
        <w:gridCol w:w="283"/>
        <w:gridCol w:w="1145"/>
        <w:gridCol w:w="840"/>
        <w:gridCol w:w="455"/>
        <w:gridCol w:w="129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供应商名称</w:t>
            </w:r>
          </w:p>
        </w:tc>
        <w:tc>
          <w:tcPr>
            <w:tcW w:w="7278" w:type="dxa"/>
            <w:gridSpan w:val="9"/>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注册地址</w:t>
            </w:r>
          </w:p>
        </w:tc>
        <w:tc>
          <w:tcPr>
            <w:tcW w:w="3118" w:type="dxa"/>
            <w:gridSpan w:val="3"/>
          </w:tcPr>
          <w:p>
            <w:pPr>
              <w:adjustRightInd w:val="0"/>
              <w:snapToGrid w:val="0"/>
              <w:spacing w:line="600" w:lineRule="exact"/>
              <w:rPr>
                <w:rFonts w:ascii="仿宋_GB2312" w:eastAsia="仿宋_GB2312" w:hAnsiTheme="minorEastAsia"/>
                <w:color w:val="auto"/>
                <w:sz w:val="28"/>
                <w:szCs w:val="28"/>
                <w:highlight w:val="none"/>
              </w:rPr>
            </w:pPr>
          </w:p>
        </w:tc>
        <w:tc>
          <w:tcPr>
            <w:tcW w:w="1570"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邮政编码</w:t>
            </w:r>
          </w:p>
        </w:tc>
        <w:tc>
          <w:tcPr>
            <w:tcW w:w="2590" w:type="dxa"/>
            <w:gridSpan w:val="3"/>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vMerge w:val="restart"/>
            <w:vAlign w:val="center"/>
          </w:tcPr>
          <w:p>
            <w:pPr>
              <w:adjustRightInd w:val="0"/>
              <w:snapToGrid w:val="0"/>
              <w:spacing w:line="600" w:lineRule="exact"/>
              <w:jc w:val="center"/>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联系方式</w:t>
            </w:r>
          </w:p>
        </w:tc>
        <w:tc>
          <w:tcPr>
            <w:tcW w:w="1134" w:type="dxa"/>
            <w:vAlign w:val="center"/>
          </w:tcPr>
          <w:p>
            <w:pPr>
              <w:adjustRightInd w:val="0"/>
              <w:snapToGrid w:val="0"/>
              <w:spacing w:line="600" w:lineRule="exact"/>
              <w:jc w:val="center"/>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联系人</w:t>
            </w:r>
          </w:p>
        </w:tc>
        <w:tc>
          <w:tcPr>
            <w:tcW w:w="1984" w:type="dxa"/>
            <w:gridSpan w:val="2"/>
            <w:vAlign w:val="center"/>
          </w:tcPr>
          <w:p>
            <w:pPr>
              <w:adjustRightInd w:val="0"/>
              <w:snapToGrid w:val="0"/>
              <w:spacing w:line="600" w:lineRule="exact"/>
              <w:jc w:val="center"/>
              <w:rPr>
                <w:rFonts w:ascii="仿宋_GB2312" w:eastAsia="仿宋_GB2312" w:hAnsiTheme="minorEastAsia"/>
                <w:color w:val="auto"/>
                <w:sz w:val="28"/>
                <w:szCs w:val="28"/>
                <w:highlight w:val="none"/>
              </w:rPr>
            </w:pPr>
          </w:p>
        </w:tc>
        <w:tc>
          <w:tcPr>
            <w:tcW w:w="1570" w:type="dxa"/>
            <w:gridSpan w:val="3"/>
            <w:vAlign w:val="center"/>
          </w:tcPr>
          <w:p>
            <w:pPr>
              <w:adjustRightInd w:val="0"/>
              <w:snapToGrid w:val="0"/>
              <w:spacing w:line="600" w:lineRule="exact"/>
              <w:jc w:val="center"/>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电话</w:t>
            </w:r>
          </w:p>
        </w:tc>
        <w:tc>
          <w:tcPr>
            <w:tcW w:w="2590" w:type="dxa"/>
            <w:gridSpan w:val="3"/>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vMerge w:val="continue"/>
            <w:vAlign w:val="center"/>
          </w:tcPr>
          <w:p>
            <w:pPr>
              <w:adjustRightInd w:val="0"/>
              <w:snapToGrid w:val="0"/>
              <w:spacing w:line="600" w:lineRule="exact"/>
              <w:jc w:val="center"/>
              <w:rPr>
                <w:rFonts w:ascii="仿宋_GB2312" w:eastAsia="仿宋_GB2312" w:hAnsiTheme="minorEastAsia"/>
                <w:color w:val="auto"/>
                <w:sz w:val="28"/>
                <w:szCs w:val="28"/>
                <w:highlight w:val="none"/>
              </w:rPr>
            </w:pPr>
          </w:p>
        </w:tc>
        <w:tc>
          <w:tcPr>
            <w:tcW w:w="1134" w:type="dxa"/>
            <w:vAlign w:val="center"/>
          </w:tcPr>
          <w:p>
            <w:pPr>
              <w:adjustRightInd w:val="0"/>
              <w:snapToGrid w:val="0"/>
              <w:spacing w:line="600" w:lineRule="exact"/>
              <w:jc w:val="center"/>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传真</w:t>
            </w:r>
          </w:p>
        </w:tc>
        <w:tc>
          <w:tcPr>
            <w:tcW w:w="1984" w:type="dxa"/>
            <w:gridSpan w:val="2"/>
            <w:vAlign w:val="center"/>
          </w:tcPr>
          <w:p>
            <w:pPr>
              <w:adjustRightInd w:val="0"/>
              <w:snapToGrid w:val="0"/>
              <w:spacing w:line="600" w:lineRule="exact"/>
              <w:jc w:val="center"/>
              <w:rPr>
                <w:rFonts w:ascii="仿宋_GB2312" w:eastAsia="仿宋_GB2312" w:hAnsiTheme="minorEastAsia"/>
                <w:color w:val="auto"/>
                <w:sz w:val="28"/>
                <w:szCs w:val="28"/>
                <w:highlight w:val="none"/>
              </w:rPr>
            </w:pPr>
          </w:p>
        </w:tc>
        <w:tc>
          <w:tcPr>
            <w:tcW w:w="1570" w:type="dxa"/>
            <w:gridSpan w:val="3"/>
            <w:vAlign w:val="center"/>
          </w:tcPr>
          <w:p>
            <w:pPr>
              <w:adjustRightInd w:val="0"/>
              <w:snapToGrid w:val="0"/>
              <w:spacing w:line="600" w:lineRule="exact"/>
              <w:jc w:val="center"/>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网址</w:t>
            </w:r>
          </w:p>
        </w:tc>
        <w:tc>
          <w:tcPr>
            <w:tcW w:w="2590" w:type="dxa"/>
            <w:gridSpan w:val="3"/>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组织结构</w:t>
            </w:r>
          </w:p>
        </w:tc>
        <w:tc>
          <w:tcPr>
            <w:tcW w:w="7278" w:type="dxa"/>
            <w:gridSpan w:val="9"/>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法定代表人</w:t>
            </w:r>
          </w:p>
        </w:tc>
        <w:tc>
          <w:tcPr>
            <w:tcW w:w="1134"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姓名</w:t>
            </w:r>
          </w:p>
        </w:tc>
        <w:tc>
          <w:tcPr>
            <w:tcW w:w="966" w:type="dxa"/>
          </w:tcPr>
          <w:p>
            <w:pPr>
              <w:adjustRightInd w:val="0"/>
              <w:snapToGrid w:val="0"/>
              <w:spacing w:line="600" w:lineRule="exact"/>
              <w:rPr>
                <w:rFonts w:ascii="仿宋_GB2312" w:eastAsia="仿宋_GB2312" w:hAnsiTheme="minorEastAsia"/>
                <w:color w:val="auto"/>
                <w:sz w:val="28"/>
                <w:szCs w:val="28"/>
                <w:highlight w:val="none"/>
              </w:rPr>
            </w:pPr>
          </w:p>
        </w:tc>
        <w:tc>
          <w:tcPr>
            <w:tcW w:w="1443"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技术职称</w:t>
            </w:r>
          </w:p>
        </w:tc>
        <w:tc>
          <w:tcPr>
            <w:tcW w:w="1145" w:type="dxa"/>
          </w:tcPr>
          <w:p>
            <w:pPr>
              <w:adjustRightInd w:val="0"/>
              <w:snapToGrid w:val="0"/>
              <w:spacing w:line="600" w:lineRule="exact"/>
              <w:rPr>
                <w:rFonts w:ascii="仿宋_GB2312" w:eastAsia="仿宋_GB2312" w:hAnsiTheme="minorEastAsia"/>
                <w:color w:val="auto"/>
                <w:sz w:val="28"/>
                <w:szCs w:val="28"/>
                <w:highlight w:val="none"/>
              </w:rPr>
            </w:pPr>
          </w:p>
        </w:tc>
        <w:tc>
          <w:tcPr>
            <w:tcW w:w="1295" w:type="dxa"/>
            <w:gridSpan w:val="2"/>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电话</w:t>
            </w:r>
          </w:p>
        </w:tc>
        <w:tc>
          <w:tcPr>
            <w:tcW w:w="1295" w:type="dxa"/>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技术负责人</w:t>
            </w:r>
          </w:p>
        </w:tc>
        <w:tc>
          <w:tcPr>
            <w:tcW w:w="1134"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姓名</w:t>
            </w:r>
          </w:p>
        </w:tc>
        <w:tc>
          <w:tcPr>
            <w:tcW w:w="966" w:type="dxa"/>
          </w:tcPr>
          <w:p>
            <w:pPr>
              <w:adjustRightInd w:val="0"/>
              <w:snapToGrid w:val="0"/>
              <w:spacing w:line="600" w:lineRule="exact"/>
              <w:rPr>
                <w:rFonts w:ascii="仿宋_GB2312" w:eastAsia="仿宋_GB2312" w:hAnsiTheme="minorEastAsia"/>
                <w:color w:val="auto"/>
                <w:sz w:val="28"/>
                <w:szCs w:val="28"/>
                <w:highlight w:val="none"/>
              </w:rPr>
            </w:pPr>
          </w:p>
        </w:tc>
        <w:tc>
          <w:tcPr>
            <w:tcW w:w="1443"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技术职称</w:t>
            </w:r>
          </w:p>
        </w:tc>
        <w:tc>
          <w:tcPr>
            <w:tcW w:w="1145" w:type="dxa"/>
          </w:tcPr>
          <w:p>
            <w:pPr>
              <w:adjustRightInd w:val="0"/>
              <w:snapToGrid w:val="0"/>
              <w:spacing w:line="600" w:lineRule="exact"/>
              <w:rPr>
                <w:rFonts w:ascii="仿宋_GB2312" w:eastAsia="仿宋_GB2312" w:hAnsiTheme="minorEastAsia"/>
                <w:color w:val="auto"/>
                <w:sz w:val="28"/>
                <w:szCs w:val="28"/>
                <w:highlight w:val="none"/>
              </w:rPr>
            </w:pPr>
          </w:p>
        </w:tc>
        <w:tc>
          <w:tcPr>
            <w:tcW w:w="1295" w:type="dxa"/>
            <w:gridSpan w:val="2"/>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电话</w:t>
            </w:r>
          </w:p>
        </w:tc>
        <w:tc>
          <w:tcPr>
            <w:tcW w:w="1295" w:type="dxa"/>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成立时间</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5178" w:type="dxa"/>
            <w:gridSpan w:val="7"/>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□员工总人数：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企业资质等级</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1160" w:type="dxa"/>
            <w:gridSpan w:val="2"/>
            <w:vMerge w:val="restart"/>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其中</w:t>
            </w:r>
          </w:p>
        </w:tc>
        <w:tc>
          <w:tcPr>
            <w:tcW w:w="2268"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项目负责人</w:t>
            </w:r>
          </w:p>
        </w:tc>
        <w:tc>
          <w:tcPr>
            <w:tcW w:w="1750" w:type="dxa"/>
            <w:gridSpan w:val="2"/>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营业执照号</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1160" w:type="dxa"/>
            <w:gridSpan w:val="2"/>
            <w:vMerge w:val="continue"/>
          </w:tcPr>
          <w:p>
            <w:pPr>
              <w:adjustRightInd w:val="0"/>
              <w:snapToGrid w:val="0"/>
              <w:spacing w:line="600" w:lineRule="exact"/>
              <w:rPr>
                <w:rFonts w:ascii="仿宋_GB2312" w:eastAsia="仿宋_GB2312" w:hAnsiTheme="minorEastAsia"/>
                <w:color w:val="auto"/>
                <w:sz w:val="28"/>
                <w:szCs w:val="28"/>
                <w:highlight w:val="none"/>
              </w:rPr>
            </w:pPr>
          </w:p>
        </w:tc>
        <w:tc>
          <w:tcPr>
            <w:tcW w:w="2268"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□高级职称人员</w:t>
            </w:r>
          </w:p>
        </w:tc>
        <w:tc>
          <w:tcPr>
            <w:tcW w:w="1750" w:type="dxa"/>
            <w:gridSpan w:val="2"/>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注册资金</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1160" w:type="dxa"/>
            <w:gridSpan w:val="2"/>
            <w:vMerge w:val="continue"/>
          </w:tcPr>
          <w:p>
            <w:pPr>
              <w:adjustRightInd w:val="0"/>
              <w:snapToGrid w:val="0"/>
              <w:spacing w:line="600" w:lineRule="exact"/>
              <w:rPr>
                <w:rFonts w:ascii="仿宋_GB2312" w:eastAsia="仿宋_GB2312" w:hAnsiTheme="minorEastAsia"/>
                <w:color w:val="auto"/>
                <w:sz w:val="28"/>
                <w:szCs w:val="28"/>
                <w:highlight w:val="none"/>
              </w:rPr>
            </w:pPr>
          </w:p>
        </w:tc>
        <w:tc>
          <w:tcPr>
            <w:tcW w:w="2268"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□中级职称人员</w:t>
            </w:r>
          </w:p>
        </w:tc>
        <w:tc>
          <w:tcPr>
            <w:tcW w:w="1750" w:type="dxa"/>
            <w:gridSpan w:val="2"/>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开户银行</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1160" w:type="dxa"/>
            <w:gridSpan w:val="2"/>
            <w:vMerge w:val="continue"/>
          </w:tcPr>
          <w:p>
            <w:pPr>
              <w:adjustRightInd w:val="0"/>
              <w:snapToGrid w:val="0"/>
              <w:spacing w:line="600" w:lineRule="exact"/>
              <w:rPr>
                <w:rFonts w:ascii="仿宋_GB2312" w:eastAsia="仿宋_GB2312" w:hAnsiTheme="minorEastAsia"/>
                <w:color w:val="auto"/>
                <w:sz w:val="28"/>
                <w:szCs w:val="28"/>
                <w:highlight w:val="none"/>
              </w:rPr>
            </w:pPr>
          </w:p>
        </w:tc>
        <w:tc>
          <w:tcPr>
            <w:tcW w:w="2268"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□初级职称人员</w:t>
            </w:r>
          </w:p>
        </w:tc>
        <w:tc>
          <w:tcPr>
            <w:tcW w:w="1750" w:type="dxa"/>
            <w:gridSpan w:val="2"/>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账户</w:t>
            </w:r>
          </w:p>
        </w:tc>
        <w:tc>
          <w:tcPr>
            <w:tcW w:w="2100" w:type="dxa"/>
            <w:gridSpan w:val="2"/>
          </w:tcPr>
          <w:p>
            <w:pPr>
              <w:adjustRightInd w:val="0"/>
              <w:snapToGrid w:val="0"/>
              <w:spacing w:line="600" w:lineRule="exact"/>
              <w:rPr>
                <w:rFonts w:ascii="仿宋_GB2312" w:eastAsia="仿宋_GB2312" w:hAnsiTheme="minorEastAsia"/>
                <w:color w:val="auto"/>
                <w:sz w:val="28"/>
                <w:szCs w:val="28"/>
                <w:highlight w:val="none"/>
              </w:rPr>
            </w:pPr>
          </w:p>
        </w:tc>
        <w:tc>
          <w:tcPr>
            <w:tcW w:w="1160" w:type="dxa"/>
            <w:gridSpan w:val="2"/>
            <w:vMerge w:val="continue"/>
          </w:tcPr>
          <w:p>
            <w:pPr>
              <w:adjustRightInd w:val="0"/>
              <w:snapToGrid w:val="0"/>
              <w:spacing w:line="600" w:lineRule="exact"/>
              <w:rPr>
                <w:rFonts w:ascii="仿宋_GB2312" w:eastAsia="仿宋_GB2312" w:hAnsiTheme="minorEastAsia"/>
                <w:color w:val="auto"/>
                <w:sz w:val="28"/>
                <w:szCs w:val="28"/>
                <w:highlight w:val="none"/>
              </w:rPr>
            </w:pPr>
          </w:p>
        </w:tc>
        <w:tc>
          <w:tcPr>
            <w:tcW w:w="2268" w:type="dxa"/>
            <w:gridSpan w:val="3"/>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□技工</w:t>
            </w:r>
          </w:p>
        </w:tc>
        <w:tc>
          <w:tcPr>
            <w:tcW w:w="1750" w:type="dxa"/>
            <w:gridSpan w:val="2"/>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186" w:hRule="atLeast"/>
        </w:trPr>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经营范围</w:t>
            </w:r>
          </w:p>
        </w:tc>
        <w:tc>
          <w:tcPr>
            <w:tcW w:w="7278" w:type="dxa"/>
            <w:gridSpan w:val="9"/>
          </w:tcPr>
          <w:p>
            <w:pPr>
              <w:adjustRightInd w:val="0"/>
              <w:snapToGrid w:val="0"/>
              <w:spacing w:line="600" w:lineRule="exact"/>
              <w:rPr>
                <w:rFonts w:ascii="仿宋_GB2312" w:eastAsia="仿宋_GB2312" w:hAnsiTheme="minorEastAsia"/>
                <w:color w:val="auto"/>
                <w:sz w:val="28"/>
                <w:szCs w:val="28"/>
                <w:highlight w:val="none"/>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712" w:hRule="atLeast"/>
        </w:trPr>
        <w:tc>
          <w:tcPr>
            <w:tcW w:w="1986" w:type="dxa"/>
          </w:tcPr>
          <w:p>
            <w:pPr>
              <w:adjustRightInd w:val="0"/>
              <w:snapToGrid w:val="0"/>
              <w:spacing w:line="600" w:lineRule="exact"/>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备注</w:t>
            </w:r>
          </w:p>
        </w:tc>
        <w:tc>
          <w:tcPr>
            <w:tcW w:w="7278" w:type="dxa"/>
            <w:gridSpan w:val="9"/>
          </w:tcPr>
          <w:p>
            <w:pPr>
              <w:adjustRightInd w:val="0"/>
              <w:snapToGrid w:val="0"/>
              <w:spacing w:line="600" w:lineRule="exact"/>
              <w:rPr>
                <w:rFonts w:ascii="仿宋_GB2312" w:eastAsia="仿宋_GB2312" w:hAnsiTheme="minorEastAsia"/>
                <w:color w:val="auto"/>
                <w:sz w:val="28"/>
                <w:szCs w:val="28"/>
                <w:highlight w:val="none"/>
              </w:rPr>
            </w:pPr>
          </w:p>
        </w:tc>
      </w:tr>
    </w:tbl>
    <w:p>
      <w:pPr>
        <w:adjustRightInd w:val="0"/>
        <w:snapToGrid w:val="0"/>
        <w:ind w:firstLine="573"/>
        <w:rPr>
          <w:rFonts w:cs="Times New Roman" w:asciiTheme="minorEastAsia" w:hAnsiTheme="minorEastAsia"/>
          <w:b/>
          <w:bCs/>
          <w:color w:val="auto"/>
          <w:sz w:val="28"/>
          <w:szCs w:val="28"/>
          <w:highlight w:val="none"/>
        </w:rPr>
      </w:pPr>
      <w:r>
        <w:rPr>
          <w:rFonts w:ascii="仿宋_GB2312" w:eastAsia="仿宋_GB2312" w:hAnsiTheme="minorEastAsia"/>
          <w:color w:val="auto"/>
          <w:sz w:val="28"/>
          <w:szCs w:val="28"/>
          <w:highlight w:val="none"/>
        </w:rPr>
        <w:t>注</w:t>
      </w:r>
      <w:r>
        <w:rPr>
          <w:rFonts w:hint="eastAsia" w:ascii="仿宋_GB2312" w:eastAsia="仿宋_GB2312" w:hAnsiTheme="minorEastAsia"/>
          <w:color w:val="auto"/>
          <w:sz w:val="28"/>
          <w:szCs w:val="28"/>
          <w:highlight w:val="none"/>
        </w:rPr>
        <w:t>：</w:t>
      </w:r>
      <w:r>
        <w:rPr>
          <w:rFonts w:ascii="仿宋_GB2312" w:eastAsia="仿宋_GB2312" w:hAnsiTheme="minorEastAsia"/>
          <w:color w:val="auto"/>
          <w:sz w:val="28"/>
          <w:szCs w:val="28"/>
          <w:highlight w:val="none"/>
        </w:rPr>
        <w:t>供应商应按供应商须知的要求提供主体资格证明材料及相关资质证明材料</w:t>
      </w:r>
      <w:r>
        <w:rPr>
          <w:rFonts w:hint="eastAsia" w:ascii="仿宋_GB2312" w:eastAsia="仿宋_GB2312" w:hAnsiTheme="minorEastAsia"/>
          <w:color w:val="auto"/>
          <w:sz w:val="28"/>
          <w:szCs w:val="28"/>
          <w:highlight w:val="none"/>
        </w:rPr>
        <w:t>。</w:t>
      </w:r>
      <w:r>
        <w:rPr>
          <w:rFonts w:hint="eastAsia" w:cs="Times New Roman" w:asciiTheme="minorEastAsia" w:hAnsiTheme="minorEastAsia"/>
          <w:b/>
          <w:bCs/>
          <w:color w:val="auto"/>
          <w:sz w:val="28"/>
          <w:szCs w:val="28"/>
          <w:highlight w:val="none"/>
        </w:rPr>
        <w:t>（相关证明文件附后）</w:t>
      </w:r>
    </w:p>
    <w:p>
      <w:pPr>
        <w:adjustRightInd w:val="0"/>
        <w:snapToGrid w:val="0"/>
        <w:spacing w:line="360" w:lineRule="auto"/>
        <w:jc w:val="right"/>
        <w:rPr>
          <w:rFonts w:cs="Times New Roman" w:asciiTheme="minorEastAsia" w:hAnsiTheme="minorEastAsia"/>
          <w:b/>
          <w:bCs/>
          <w:color w:val="auto"/>
          <w:sz w:val="28"/>
          <w:szCs w:val="28"/>
          <w:highlight w:val="none"/>
        </w:rPr>
      </w:pPr>
      <w:bookmarkStart w:id="202" w:name="_Hlk59025866"/>
      <w:r>
        <w:rPr>
          <w:rFonts w:hint="eastAsia" w:ascii="宋体" w:hAnsi="宋体" w:eastAsia="宋体" w:cs="宋体"/>
          <w:color w:val="auto"/>
          <w:sz w:val="24"/>
          <w:szCs w:val="24"/>
          <w:highlight w:val="none"/>
          <w:lang w:val="en-GB"/>
        </w:rPr>
        <w:t>供应商名称（加盖公章）：</w:t>
      </w:r>
    </w:p>
    <w:p>
      <w:pPr>
        <w:adjustRightInd w:val="0"/>
        <w:snapToGrid w:val="0"/>
        <w:spacing w:line="360" w:lineRule="auto"/>
        <w:jc w:val="left"/>
        <w:rPr>
          <w:rFonts w:cs="Times New Roman" w:asciiTheme="minorEastAsia" w:hAnsiTheme="minorEastAsia"/>
          <w:b/>
          <w:bCs/>
          <w:color w:val="auto"/>
          <w:sz w:val="28"/>
          <w:szCs w:val="28"/>
          <w:highlight w:val="none"/>
        </w:rPr>
      </w:pPr>
      <w:r>
        <w:rPr>
          <w:rFonts w:hint="eastAsia" w:cs="Times New Roman" w:asciiTheme="minorEastAsia" w:hAnsiTheme="minorEastAsia"/>
          <w:b/>
          <w:bCs/>
          <w:color w:val="auto"/>
          <w:sz w:val="28"/>
          <w:szCs w:val="28"/>
          <w:highlight w:val="none"/>
        </w:rPr>
        <w:t>3.2不得存在情形承诺函</w:t>
      </w:r>
    </w:p>
    <w:bookmarkEnd w:id="202"/>
    <w:p>
      <w:pPr>
        <w:adjustRightInd w:val="0"/>
        <w:snapToGrid w:val="0"/>
        <w:spacing w:line="360" w:lineRule="auto"/>
        <w:rPr>
          <w:rFonts w:ascii="宋体" w:hAnsi="宋体" w:eastAsia="宋体" w:cs="宋体"/>
          <w:color w:val="auto"/>
          <w:sz w:val="24"/>
          <w:szCs w:val="24"/>
          <w:highlight w:val="none"/>
          <w:lang w:val="en-GB"/>
        </w:rPr>
      </w:pPr>
    </w:p>
    <w:p>
      <w:pPr>
        <w:adjustRightInd w:val="0"/>
        <w:snapToGrid w:val="0"/>
        <w:spacing w:line="360" w:lineRule="auto"/>
        <w:rPr>
          <w:rFonts w:ascii="宋体" w:hAnsi="宋体" w:eastAsia="宋体" w:cs="宋体"/>
          <w:color w:val="auto"/>
          <w:sz w:val="24"/>
          <w:szCs w:val="24"/>
          <w:highlight w:val="none"/>
          <w:lang w:val="en-GB"/>
        </w:rPr>
      </w:pPr>
      <w:r>
        <w:rPr>
          <w:rFonts w:hint="eastAsia" w:ascii="宋体" w:hAnsi="宋体" w:eastAsia="宋体" w:cs="宋体"/>
          <w:color w:val="auto"/>
          <w:sz w:val="24"/>
          <w:szCs w:val="24"/>
          <w:highlight w:val="none"/>
          <w:lang w:val="en-GB"/>
        </w:rPr>
        <w:t>致：</w:t>
      </w:r>
      <w:r>
        <w:rPr>
          <w:rFonts w:hint="eastAsia" w:ascii="宋体" w:hAnsi="宋体" w:eastAsia="宋体" w:cs="宋体"/>
          <w:b/>
          <w:bCs/>
          <w:color w:val="auto"/>
          <w:sz w:val="24"/>
          <w:szCs w:val="24"/>
          <w:highlight w:val="none"/>
          <w:shd w:val="clear" w:color="auto" w:fill="FFFFFF"/>
        </w:rPr>
        <w:t>广州市净水有限公司</w:t>
      </w:r>
    </w:p>
    <w:p>
      <w:pPr>
        <w:adjustRightInd w:val="0"/>
        <w:snapToGrid w:val="0"/>
        <w:spacing w:line="360" w:lineRule="auto"/>
        <w:ind w:firstLine="480" w:firstLineChars="200"/>
        <w:rPr>
          <w:rFonts w:ascii="仿宋_GB2312" w:eastAsia="仿宋_GB2312"/>
          <w:color w:val="auto"/>
          <w:sz w:val="28"/>
          <w:szCs w:val="28"/>
          <w:highlight w:val="none"/>
        </w:rPr>
      </w:pPr>
      <w:r>
        <w:rPr>
          <w:rFonts w:hint="eastAsia" w:ascii="宋体" w:hAnsi="宋体" w:eastAsia="宋体" w:cs="宋体"/>
          <w:color w:val="auto"/>
          <w:sz w:val="24"/>
          <w:szCs w:val="24"/>
          <w:highlight w:val="none"/>
          <w:lang w:val="en-GB"/>
        </w:rPr>
        <w:t>我方郑重承诺，在参与</w:t>
      </w:r>
      <w:r>
        <w:rPr>
          <w:rFonts w:hint="eastAsia" w:ascii="宋体" w:hAnsi="宋体" w:eastAsia="宋体" w:cs="宋体"/>
          <w:color w:val="auto"/>
          <w:sz w:val="24"/>
          <w:szCs w:val="24"/>
          <w:highlight w:val="none"/>
          <w:lang w:val="en-US" w:eastAsia="zh-CN"/>
        </w:rPr>
        <w:t xml:space="preserve">            </w:t>
      </w:r>
      <w:r>
        <w:rPr>
          <w:rFonts w:hint="eastAsia" w:ascii="宋体" w:hAnsi="宋体" w:cs="宋体"/>
          <w:color w:val="auto"/>
          <w:sz w:val="24"/>
          <w:szCs w:val="24"/>
          <w:highlight w:val="none"/>
          <w:lang w:val="en-GB"/>
        </w:rPr>
        <w:t>项目</w:t>
      </w:r>
      <w:r>
        <w:rPr>
          <w:rFonts w:hint="eastAsia" w:ascii="宋体" w:hAnsi="宋体" w:eastAsia="宋体" w:cs="宋体"/>
          <w:color w:val="auto"/>
          <w:sz w:val="24"/>
          <w:szCs w:val="24"/>
          <w:highlight w:val="none"/>
          <w:u w:val="single"/>
          <w:lang w:val="en-GB"/>
        </w:rPr>
        <w:t>（项目编号： ******）</w:t>
      </w:r>
      <w:r>
        <w:rPr>
          <w:rFonts w:hint="eastAsia" w:ascii="宋体" w:hAnsi="宋体" w:eastAsia="宋体" w:cs="宋体"/>
          <w:color w:val="auto"/>
          <w:sz w:val="24"/>
          <w:szCs w:val="24"/>
          <w:highlight w:val="none"/>
          <w:lang w:val="en-GB"/>
        </w:rPr>
        <w:t>采购期间，未被</w:t>
      </w:r>
      <w:r>
        <w:rPr>
          <w:rFonts w:hint="eastAsia" w:ascii="仿宋_GB2312" w:eastAsia="仿宋_GB2312"/>
          <w:color w:val="auto"/>
          <w:sz w:val="28"/>
          <w:szCs w:val="28"/>
          <w:highlight w:val="none"/>
        </w:rPr>
        <w:t>列入下列情形之一：</w:t>
      </w:r>
    </w:p>
    <w:p>
      <w:pPr>
        <w:adjustRightInd w:val="0"/>
        <w:snapToGrid w:val="0"/>
        <w:spacing w:line="360" w:lineRule="auto"/>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（1）与本项目其他供应商的单位负责人为同一人。</w:t>
      </w:r>
    </w:p>
    <w:p>
      <w:pPr>
        <w:adjustRightInd w:val="0"/>
        <w:snapToGrid w:val="0"/>
        <w:spacing w:line="360" w:lineRule="auto"/>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（2）与本项目其他供应商存在控股或管理关系。</w:t>
      </w:r>
    </w:p>
    <w:p>
      <w:pPr>
        <w:adjustRightInd w:val="0"/>
        <w:snapToGrid w:val="0"/>
        <w:spacing w:line="360" w:lineRule="auto"/>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（3）被本项目所在地省级以上行业主管部门依法暂停、取消投标或禁止参加采购活动且处于有效期内的。</w:t>
      </w:r>
    </w:p>
    <w:p>
      <w:pPr>
        <w:adjustRightInd w:val="0"/>
        <w:snapToGrid w:val="0"/>
        <w:spacing w:line="360" w:lineRule="auto"/>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（4）处于被责令停产停业、暂扣或者吊销执照、暂扣或者吊销许可证、吊销资质证书状态。</w:t>
      </w:r>
    </w:p>
    <w:p>
      <w:pPr>
        <w:adjustRightInd w:val="0"/>
        <w:snapToGrid w:val="0"/>
        <w:spacing w:line="360" w:lineRule="auto"/>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（5）进入清算程序，或被宣告破产，或其他丧失履约能力情形的。</w:t>
      </w:r>
    </w:p>
    <w:p>
      <w:pPr>
        <w:adjustRightInd w:val="0"/>
        <w:snapToGrid w:val="0"/>
        <w:spacing w:line="360" w:lineRule="auto"/>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（6）近三年内因发生质量或安全生产事故等受到行政处罚且在处罚期内的。</w:t>
      </w:r>
    </w:p>
    <w:p>
      <w:pPr>
        <w:adjustRightInd w:val="0"/>
        <w:snapToGrid w:val="0"/>
        <w:spacing w:line="360" w:lineRule="auto"/>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（7）被最高人民法院在“信用中国”网站（www.creditchina.gov.cn）或各级信用信息共享平台中列入失信被执行人名单。</w:t>
      </w:r>
    </w:p>
    <w:p>
      <w:pPr>
        <w:adjustRightInd w:val="0"/>
        <w:snapToGrid w:val="0"/>
        <w:spacing w:line="360" w:lineRule="auto"/>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（8）被“全国企业信用信息公示系统”（网址：http://www.gsxt.gov.cn/）</w:t>
      </w:r>
    </w:p>
    <w:p>
      <w:pPr>
        <w:adjustRightInd w:val="0"/>
        <w:snapToGrid w:val="0"/>
        <w:spacing w:line="360" w:lineRule="auto"/>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列入经营异常名录和严重违法企业名单。</w:t>
      </w:r>
    </w:p>
    <w:p>
      <w:pPr>
        <w:adjustRightInd w:val="0"/>
        <w:snapToGrid w:val="0"/>
        <w:spacing w:line="360" w:lineRule="auto"/>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（9）被“信用广州”网站纳入失信被执行人名单（失信黑名单）。</w:t>
      </w:r>
    </w:p>
    <w:p>
      <w:pPr>
        <w:adjustRightInd w:val="0"/>
        <w:snapToGrid w:val="0"/>
        <w:spacing w:line="360" w:lineRule="auto"/>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（10）被纳入本项目采购人（包括市水投集团及相关所属企业）书面限制参与采购活动且处于有效期内的。</w:t>
      </w:r>
    </w:p>
    <w:p>
      <w:pPr>
        <w:adjustRightInd w:val="0"/>
        <w:snapToGrid w:val="0"/>
        <w:spacing w:line="360" w:lineRule="auto"/>
        <w:rPr>
          <w:rFonts w:ascii="宋体" w:hAnsi="宋体" w:eastAsia="宋体" w:cs="宋体"/>
          <w:b/>
          <w:color w:val="auto"/>
          <w:sz w:val="24"/>
          <w:szCs w:val="24"/>
          <w:highlight w:val="none"/>
        </w:rPr>
      </w:pPr>
      <w:r>
        <w:rPr>
          <w:rFonts w:hint="eastAsia" w:ascii="宋体" w:hAnsi="宋体" w:eastAsia="宋体" w:cs="宋体"/>
          <w:b/>
          <w:color w:val="auto"/>
          <w:sz w:val="24"/>
          <w:szCs w:val="24"/>
          <w:highlight w:val="none"/>
        </w:rPr>
        <w:t>（11）其他违法违纪行为，经审查认为不宜被邀请参加采购活动的。</w:t>
      </w:r>
    </w:p>
    <w:p>
      <w:pPr>
        <w:adjustRightInd w:val="0"/>
        <w:snapToGrid w:val="0"/>
        <w:spacing w:line="360" w:lineRule="auto"/>
        <w:jc w:val="right"/>
        <w:rPr>
          <w:rFonts w:ascii="宋体" w:hAnsi="宋体" w:eastAsia="宋体" w:cs="宋体"/>
          <w:color w:val="auto"/>
          <w:sz w:val="24"/>
          <w:szCs w:val="24"/>
          <w:highlight w:val="none"/>
          <w:lang w:val="en-GB"/>
        </w:rPr>
      </w:pPr>
    </w:p>
    <w:p>
      <w:pPr>
        <w:adjustRightInd w:val="0"/>
        <w:snapToGrid w:val="0"/>
        <w:spacing w:line="360" w:lineRule="auto"/>
        <w:jc w:val="right"/>
        <w:rPr>
          <w:rFonts w:ascii="宋体" w:hAnsi="宋体" w:eastAsia="宋体" w:cs="宋体"/>
          <w:color w:val="auto"/>
          <w:sz w:val="24"/>
          <w:szCs w:val="24"/>
          <w:highlight w:val="none"/>
          <w:lang w:val="en-GB"/>
        </w:rPr>
      </w:pPr>
      <w:r>
        <w:rPr>
          <w:rFonts w:hint="eastAsia" w:ascii="宋体" w:hAnsi="宋体" w:eastAsia="宋体" w:cs="宋体"/>
          <w:color w:val="auto"/>
          <w:sz w:val="24"/>
          <w:szCs w:val="24"/>
          <w:highlight w:val="none"/>
          <w:lang w:val="en-GB"/>
        </w:rPr>
        <w:t xml:space="preserve">供应商名称（加盖公章）： </w:t>
      </w:r>
    </w:p>
    <w:p>
      <w:pPr>
        <w:jc w:val="right"/>
        <w:rPr>
          <w:color w:val="auto"/>
          <w:highlight w:val="none"/>
        </w:rPr>
      </w:pPr>
      <w:r>
        <w:rPr>
          <w:rFonts w:hint="eastAsia" w:ascii="宋体" w:hAnsi="宋体" w:eastAsia="宋体" w:cs="宋体"/>
          <w:color w:val="auto"/>
          <w:sz w:val="24"/>
          <w:szCs w:val="24"/>
          <w:highlight w:val="none"/>
          <w:lang w:val="en-GB"/>
        </w:rPr>
        <w:t>年  月  日</w:t>
      </w:r>
    </w:p>
    <w:p>
      <w:pPr>
        <w:jc w:val="left"/>
        <w:rPr>
          <w:rFonts w:hint="eastAsia" w:cs="Times New Roman" w:asciiTheme="minorEastAsia" w:hAnsiTheme="minorEastAsia"/>
          <w:b/>
          <w:bCs/>
          <w:color w:val="auto"/>
          <w:sz w:val="28"/>
          <w:szCs w:val="28"/>
          <w:highlight w:val="none"/>
        </w:rPr>
      </w:pPr>
    </w:p>
    <w:p>
      <w:pPr>
        <w:jc w:val="left"/>
        <w:rPr>
          <w:rFonts w:hint="eastAsia" w:cs="Times New Roman" w:asciiTheme="minorEastAsia" w:hAnsiTheme="minorEastAsia"/>
          <w:b/>
          <w:bCs/>
          <w:color w:val="auto"/>
          <w:sz w:val="28"/>
          <w:szCs w:val="28"/>
          <w:highlight w:val="none"/>
        </w:rPr>
      </w:pPr>
    </w:p>
    <w:p>
      <w:pPr>
        <w:jc w:val="left"/>
        <w:rPr>
          <w:rFonts w:cs="Times New Roman" w:asciiTheme="minorEastAsia" w:hAnsiTheme="minorEastAsia"/>
          <w:b/>
          <w:bCs/>
          <w:color w:val="auto"/>
          <w:sz w:val="28"/>
          <w:szCs w:val="28"/>
          <w:highlight w:val="none"/>
        </w:rPr>
      </w:pPr>
      <w:r>
        <w:rPr>
          <w:rFonts w:hint="eastAsia" w:cs="Times New Roman" w:asciiTheme="minorEastAsia" w:hAnsiTheme="minorEastAsia"/>
          <w:b/>
          <w:bCs/>
          <w:color w:val="auto"/>
          <w:sz w:val="28"/>
          <w:szCs w:val="28"/>
          <w:highlight w:val="none"/>
        </w:rPr>
        <w:t>4.拟投入本项目的项目负责人情况表</w:t>
      </w:r>
    </w:p>
    <w:p>
      <w:pPr>
        <w:pStyle w:val="2"/>
        <w:rPr>
          <w:rFonts w:ascii="仿宋_GB2312" w:eastAsia="仿宋_GB2312" w:hAnsiTheme="minorEastAsia"/>
          <w:color w:val="auto"/>
          <w:sz w:val="28"/>
          <w:szCs w:val="28"/>
          <w:highlight w:val="none"/>
        </w:rPr>
      </w:pPr>
    </w:p>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 xml:space="preserve"> 拟投入本项目的项目负责人情况表</w:t>
      </w:r>
    </w:p>
    <w:tbl>
      <w:tblPr>
        <w:tblStyle w:val="21"/>
        <w:tblW w:w="94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332"/>
        <w:gridCol w:w="1165"/>
        <w:gridCol w:w="828"/>
        <w:gridCol w:w="785"/>
        <w:gridCol w:w="1208"/>
        <w:gridCol w:w="129"/>
        <w:gridCol w:w="1864"/>
        <w:gridCol w:w="334"/>
        <w:gridCol w:w="11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1" w:type="dxa"/>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姓名</w:t>
            </w:r>
          </w:p>
        </w:tc>
        <w:tc>
          <w:tcPr>
            <w:tcW w:w="1497" w:type="dxa"/>
            <w:gridSpan w:val="2"/>
          </w:tcPr>
          <w:p>
            <w:pPr>
              <w:jc w:val="center"/>
              <w:rPr>
                <w:rFonts w:ascii="仿宋" w:hAnsi="仿宋" w:eastAsia="仿宋" w:cs="仿宋_GB2312"/>
                <w:b/>
                <w:color w:val="auto"/>
                <w:sz w:val="28"/>
                <w:szCs w:val="28"/>
                <w:highlight w:val="none"/>
              </w:rPr>
            </w:pPr>
          </w:p>
        </w:tc>
        <w:tc>
          <w:tcPr>
            <w:tcW w:w="1613" w:type="dxa"/>
            <w:gridSpan w:val="2"/>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出生年月</w:t>
            </w:r>
          </w:p>
        </w:tc>
        <w:tc>
          <w:tcPr>
            <w:tcW w:w="1337" w:type="dxa"/>
            <w:gridSpan w:val="2"/>
          </w:tcPr>
          <w:p>
            <w:pPr>
              <w:jc w:val="center"/>
              <w:rPr>
                <w:rFonts w:ascii="仿宋" w:hAnsi="仿宋" w:eastAsia="仿宋" w:cs="仿宋_GB2312"/>
                <w:b/>
                <w:color w:val="auto"/>
                <w:sz w:val="28"/>
                <w:szCs w:val="28"/>
                <w:highlight w:val="none"/>
              </w:rPr>
            </w:pPr>
          </w:p>
        </w:tc>
        <w:tc>
          <w:tcPr>
            <w:tcW w:w="2198" w:type="dxa"/>
            <w:gridSpan w:val="2"/>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学历</w:t>
            </w:r>
          </w:p>
        </w:tc>
        <w:tc>
          <w:tcPr>
            <w:tcW w:w="1119" w:type="dxa"/>
          </w:tcPr>
          <w:p>
            <w:pPr>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661" w:type="dxa"/>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职称</w:t>
            </w:r>
          </w:p>
        </w:tc>
        <w:tc>
          <w:tcPr>
            <w:tcW w:w="1497" w:type="dxa"/>
            <w:gridSpan w:val="2"/>
          </w:tcPr>
          <w:p>
            <w:pPr>
              <w:spacing w:line="360" w:lineRule="exact"/>
              <w:jc w:val="center"/>
              <w:rPr>
                <w:rFonts w:ascii="仿宋" w:hAnsi="仿宋" w:eastAsia="仿宋" w:cs="仿宋_GB2312"/>
                <w:b/>
                <w:color w:val="auto"/>
                <w:sz w:val="28"/>
                <w:szCs w:val="28"/>
                <w:highlight w:val="none"/>
              </w:rPr>
            </w:pPr>
          </w:p>
        </w:tc>
        <w:tc>
          <w:tcPr>
            <w:tcW w:w="1613" w:type="dxa"/>
            <w:gridSpan w:val="2"/>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职务</w:t>
            </w:r>
          </w:p>
        </w:tc>
        <w:tc>
          <w:tcPr>
            <w:tcW w:w="1337" w:type="dxa"/>
            <w:gridSpan w:val="2"/>
          </w:tcPr>
          <w:p>
            <w:pPr>
              <w:spacing w:line="360" w:lineRule="exact"/>
              <w:jc w:val="center"/>
              <w:rPr>
                <w:rFonts w:ascii="仿宋" w:hAnsi="仿宋" w:eastAsia="仿宋" w:cs="仿宋_GB2312"/>
                <w:b/>
                <w:color w:val="auto"/>
                <w:sz w:val="28"/>
                <w:szCs w:val="28"/>
                <w:highlight w:val="none"/>
              </w:rPr>
            </w:pPr>
          </w:p>
        </w:tc>
        <w:tc>
          <w:tcPr>
            <w:tcW w:w="2198" w:type="dxa"/>
            <w:gridSpan w:val="2"/>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从事本工作时间</w:t>
            </w:r>
          </w:p>
        </w:tc>
        <w:tc>
          <w:tcPr>
            <w:tcW w:w="1119" w:type="dxa"/>
          </w:tcPr>
          <w:p>
            <w:pPr>
              <w:spacing w:line="360" w:lineRule="exact"/>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661" w:type="dxa"/>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毕业院校</w:t>
            </w:r>
          </w:p>
        </w:tc>
        <w:tc>
          <w:tcPr>
            <w:tcW w:w="1497" w:type="dxa"/>
            <w:gridSpan w:val="2"/>
          </w:tcPr>
          <w:p>
            <w:pPr>
              <w:spacing w:line="360" w:lineRule="exact"/>
              <w:jc w:val="center"/>
              <w:rPr>
                <w:rFonts w:ascii="仿宋" w:hAnsi="仿宋" w:eastAsia="仿宋" w:cs="仿宋_GB2312"/>
                <w:b/>
                <w:color w:val="auto"/>
                <w:sz w:val="28"/>
                <w:szCs w:val="28"/>
                <w:highlight w:val="none"/>
              </w:rPr>
            </w:pPr>
          </w:p>
        </w:tc>
        <w:tc>
          <w:tcPr>
            <w:tcW w:w="1613" w:type="dxa"/>
            <w:gridSpan w:val="2"/>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毕业时间</w:t>
            </w:r>
          </w:p>
        </w:tc>
        <w:tc>
          <w:tcPr>
            <w:tcW w:w="1337" w:type="dxa"/>
            <w:gridSpan w:val="2"/>
          </w:tcPr>
          <w:p>
            <w:pPr>
              <w:spacing w:line="360" w:lineRule="exact"/>
              <w:jc w:val="center"/>
              <w:rPr>
                <w:rFonts w:ascii="仿宋" w:hAnsi="仿宋" w:eastAsia="仿宋" w:cs="仿宋_GB2312"/>
                <w:b/>
                <w:color w:val="auto"/>
                <w:sz w:val="28"/>
                <w:szCs w:val="28"/>
                <w:highlight w:val="none"/>
              </w:rPr>
            </w:pPr>
          </w:p>
        </w:tc>
        <w:tc>
          <w:tcPr>
            <w:tcW w:w="2198" w:type="dxa"/>
            <w:gridSpan w:val="2"/>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专业</w:t>
            </w:r>
          </w:p>
        </w:tc>
        <w:tc>
          <w:tcPr>
            <w:tcW w:w="1119" w:type="dxa"/>
          </w:tcPr>
          <w:p>
            <w:pPr>
              <w:spacing w:line="360" w:lineRule="exact"/>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58" w:type="dxa"/>
            <w:gridSpan w:val="3"/>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注册证书等级</w:t>
            </w:r>
          </w:p>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和专业</w:t>
            </w:r>
          </w:p>
        </w:tc>
        <w:tc>
          <w:tcPr>
            <w:tcW w:w="2950" w:type="dxa"/>
            <w:gridSpan w:val="4"/>
          </w:tcPr>
          <w:p>
            <w:pPr>
              <w:spacing w:line="360" w:lineRule="exact"/>
              <w:jc w:val="center"/>
              <w:rPr>
                <w:rFonts w:ascii="仿宋" w:hAnsi="仿宋" w:eastAsia="仿宋" w:cs="仿宋_GB2312"/>
                <w:b/>
                <w:color w:val="auto"/>
                <w:sz w:val="28"/>
                <w:szCs w:val="28"/>
                <w:highlight w:val="none"/>
              </w:rPr>
            </w:pPr>
          </w:p>
        </w:tc>
        <w:tc>
          <w:tcPr>
            <w:tcW w:w="2198" w:type="dxa"/>
            <w:gridSpan w:val="2"/>
          </w:tcPr>
          <w:p>
            <w:pPr>
              <w:spacing w:line="360" w:lineRule="exact"/>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证书编号</w:t>
            </w:r>
          </w:p>
        </w:tc>
        <w:tc>
          <w:tcPr>
            <w:tcW w:w="1119" w:type="dxa"/>
          </w:tcPr>
          <w:p>
            <w:pPr>
              <w:spacing w:line="360" w:lineRule="exact"/>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3158" w:type="dxa"/>
            <w:gridSpan w:val="3"/>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职称证专业</w:t>
            </w:r>
          </w:p>
        </w:tc>
        <w:tc>
          <w:tcPr>
            <w:tcW w:w="2950" w:type="dxa"/>
            <w:gridSpan w:val="4"/>
          </w:tcPr>
          <w:p>
            <w:pPr>
              <w:jc w:val="center"/>
              <w:rPr>
                <w:rFonts w:ascii="仿宋" w:hAnsi="仿宋" w:eastAsia="仿宋" w:cs="仿宋_GB2312"/>
                <w:b/>
                <w:color w:val="auto"/>
                <w:sz w:val="28"/>
                <w:szCs w:val="28"/>
                <w:highlight w:val="none"/>
              </w:rPr>
            </w:pPr>
          </w:p>
        </w:tc>
        <w:tc>
          <w:tcPr>
            <w:tcW w:w="2198" w:type="dxa"/>
            <w:gridSpan w:val="2"/>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证书编号</w:t>
            </w:r>
          </w:p>
        </w:tc>
        <w:tc>
          <w:tcPr>
            <w:tcW w:w="1119" w:type="dxa"/>
          </w:tcPr>
          <w:p>
            <w:pPr>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425" w:type="dxa"/>
            <w:gridSpan w:val="10"/>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参加过的项目情况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项目名称</w:t>
            </w:r>
          </w:p>
        </w:tc>
        <w:tc>
          <w:tcPr>
            <w:tcW w:w="1993" w:type="dxa"/>
            <w:gridSpan w:val="2"/>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合同金额</w:t>
            </w:r>
          </w:p>
        </w:tc>
        <w:tc>
          <w:tcPr>
            <w:tcW w:w="1993" w:type="dxa"/>
            <w:gridSpan w:val="2"/>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开、竣工时间</w:t>
            </w:r>
          </w:p>
        </w:tc>
        <w:tc>
          <w:tcPr>
            <w:tcW w:w="1993" w:type="dxa"/>
            <w:gridSpan w:val="2"/>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担任职务</w:t>
            </w:r>
          </w:p>
        </w:tc>
        <w:tc>
          <w:tcPr>
            <w:tcW w:w="1453" w:type="dxa"/>
            <w:gridSpan w:val="2"/>
          </w:tcPr>
          <w:p>
            <w:pPr>
              <w:jc w:val="center"/>
              <w:rPr>
                <w:rFonts w:ascii="仿宋" w:hAnsi="仿宋" w:eastAsia="仿宋" w:cs="仿宋_GB2312"/>
                <w:b/>
                <w:color w:val="auto"/>
                <w:sz w:val="28"/>
                <w:szCs w:val="28"/>
                <w:highlight w:val="none"/>
              </w:rPr>
            </w:pPr>
            <w:r>
              <w:rPr>
                <w:rFonts w:hint="eastAsia" w:ascii="仿宋" w:hAnsi="仿宋" w:eastAsia="仿宋" w:cs="仿宋_GB2312"/>
                <w:b/>
                <w:color w:val="auto"/>
                <w:sz w:val="28"/>
                <w:szCs w:val="28"/>
                <w:highlight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993" w:type="dxa"/>
            <w:gridSpan w:val="2"/>
          </w:tcPr>
          <w:p>
            <w:pPr>
              <w:jc w:val="center"/>
              <w:rPr>
                <w:rFonts w:ascii="仿宋" w:hAnsi="仿宋" w:eastAsia="仿宋" w:cs="仿宋_GB2312"/>
                <w:b/>
                <w:color w:val="auto"/>
                <w:sz w:val="28"/>
                <w:szCs w:val="28"/>
                <w:highlight w:val="none"/>
              </w:rPr>
            </w:pPr>
          </w:p>
        </w:tc>
        <w:tc>
          <w:tcPr>
            <w:tcW w:w="1993" w:type="dxa"/>
            <w:gridSpan w:val="2"/>
          </w:tcPr>
          <w:p>
            <w:pPr>
              <w:jc w:val="center"/>
              <w:rPr>
                <w:rFonts w:ascii="仿宋" w:hAnsi="仿宋" w:eastAsia="仿宋" w:cs="仿宋_GB2312"/>
                <w:b/>
                <w:color w:val="auto"/>
                <w:sz w:val="28"/>
                <w:szCs w:val="28"/>
                <w:highlight w:val="none"/>
              </w:rPr>
            </w:pPr>
          </w:p>
        </w:tc>
        <w:tc>
          <w:tcPr>
            <w:tcW w:w="1993" w:type="dxa"/>
            <w:gridSpan w:val="2"/>
          </w:tcPr>
          <w:p>
            <w:pPr>
              <w:jc w:val="center"/>
              <w:rPr>
                <w:rFonts w:ascii="仿宋" w:hAnsi="仿宋" w:eastAsia="仿宋" w:cs="仿宋_GB2312"/>
                <w:b/>
                <w:color w:val="auto"/>
                <w:sz w:val="28"/>
                <w:szCs w:val="28"/>
                <w:highlight w:val="none"/>
              </w:rPr>
            </w:pPr>
          </w:p>
        </w:tc>
        <w:tc>
          <w:tcPr>
            <w:tcW w:w="1993" w:type="dxa"/>
            <w:gridSpan w:val="2"/>
          </w:tcPr>
          <w:p>
            <w:pPr>
              <w:jc w:val="center"/>
              <w:rPr>
                <w:rFonts w:ascii="仿宋" w:hAnsi="仿宋" w:eastAsia="仿宋" w:cs="仿宋_GB2312"/>
                <w:b/>
                <w:color w:val="auto"/>
                <w:sz w:val="28"/>
                <w:szCs w:val="28"/>
                <w:highlight w:val="none"/>
              </w:rPr>
            </w:pPr>
          </w:p>
        </w:tc>
        <w:tc>
          <w:tcPr>
            <w:tcW w:w="1453" w:type="dxa"/>
            <w:gridSpan w:val="2"/>
          </w:tcPr>
          <w:p>
            <w:pPr>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color w:val="auto"/>
                <w:sz w:val="28"/>
                <w:szCs w:val="28"/>
                <w:highlight w:val="none"/>
              </w:rPr>
            </w:pPr>
          </w:p>
        </w:tc>
        <w:tc>
          <w:tcPr>
            <w:tcW w:w="1993" w:type="dxa"/>
            <w:gridSpan w:val="2"/>
          </w:tcPr>
          <w:p>
            <w:pPr>
              <w:jc w:val="center"/>
              <w:rPr>
                <w:rFonts w:ascii="仿宋" w:hAnsi="仿宋" w:eastAsia="仿宋" w:cs="仿宋_GB2312"/>
                <w:b/>
                <w:color w:val="auto"/>
                <w:sz w:val="28"/>
                <w:szCs w:val="28"/>
                <w:highlight w:val="none"/>
              </w:rPr>
            </w:pPr>
          </w:p>
        </w:tc>
        <w:tc>
          <w:tcPr>
            <w:tcW w:w="1993" w:type="dxa"/>
            <w:gridSpan w:val="2"/>
          </w:tcPr>
          <w:p>
            <w:pPr>
              <w:jc w:val="center"/>
              <w:rPr>
                <w:rFonts w:ascii="仿宋" w:hAnsi="仿宋" w:eastAsia="仿宋" w:cs="仿宋_GB2312"/>
                <w:b/>
                <w:color w:val="auto"/>
                <w:sz w:val="28"/>
                <w:szCs w:val="28"/>
                <w:highlight w:val="none"/>
              </w:rPr>
            </w:pPr>
          </w:p>
        </w:tc>
        <w:tc>
          <w:tcPr>
            <w:tcW w:w="1993" w:type="dxa"/>
            <w:gridSpan w:val="2"/>
          </w:tcPr>
          <w:p>
            <w:pPr>
              <w:jc w:val="center"/>
              <w:rPr>
                <w:rFonts w:ascii="仿宋" w:hAnsi="仿宋" w:eastAsia="仿宋" w:cs="仿宋_GB2312"/>
                <w:b/>
                <w:color w:val="auto"/>
                <w:sz w:val="28"/>
                <w:szCs w:val="28"/>
                <w:highlight w:val="none"/>
              </w:rPr>
            </w:pPr>
          </w:p>
        </w:tc>
        <w:tc>
          <w:tcPr>
            <w:tcW w:w="1453" w:type="dxa"/>
            <w:gridSpan w:val="2"/>
          </w:tcPr>
          <w:p>
            <w:pPr>
              <w:jc w:val="center"/>
              <w:rPr>
                <w:rFonts w:ascii="仿宋" w:hAnsi="仿宋" w:eastAsia="仿宋" w:cs="仿宋_GB2312"/>
                <w:b/>
                <w:color w:val="auto"/>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color w:val="auto"/>
                <w:sz w:val="28"/>
                <w:szCs w:val="28"/>
                <w:highlight w:val="none"/>
              </w:rPr>
            </w:pPr>
          </w:p>
        </w:tc>
        <w:tc>
          <w:tcPr>
            <w:tcW w:w="1993" w:type="dxa"/>
            <w:gridSpan w:val="2"/>
          </w:tcPr>
          <w:p>
            <w:pPr>
              <w:jc w:val="center"/>
              <w:rPr>
                <w:rFonts w:ascii="仿宋" w:hAnsi="仿宋" w:eastAsia="仿宋" w:cs="仿宋_GB2312"/>
                <w:b/>
                <w:color w:val="auto"/>
                <w:sz w:val="28"/>
                <w:szCs w:val="28"/>
                <w:highlight w:val="none"/>
              </w:rPr>
            </w:pPr>
          </w:p>
        </w:tc>
        <w:tc>
          <w:tcPr>
            <w:tcW w:w="1993" w:type="dxa"/>
            <w:gridSpan w:val="2"/>
          </w:tcPr>
          <w:p>
            <w:pPr>
              <w:jc w:val="center"/>
              <w:rPr>
                <w:rFonts w:ascii="仿宋" w:hAnsi="仿宋" w:eastAsia="仿宋" w:cs="仿宋_GB2312"/>
                <w:b/>
                <w:color w:val="auto"/>
                <w:sz w:val="28"/>
                <w:szCs w:val="28"/>
                <w:highlight w:val="none"/>
              </w:rPr>
            </w:pPr>
          </w:p>
        </w:tc>
        <w:tc>
          <w:tcPr>
            <w:tcW w:w="1993" w:type="dxa"/>
            <w:gridSpan w:val="2"/>
          </w:tcPr>
          <w:p>
            <w:pPr>
              <w:jc w:val="center"/>
              <w:rPr>
                <w:rFonts w:ascii="仿宋" w:hAnsi="仿宋" w:eastAsia="仿宋" w:cs="仿宋_GB2312"/>
                <w:b/>
                <w:color w:val="auto"/>
                <w:sz w:val="28"/>
                <w:szCs w:val="28"/>
                <w:highlight w:val="none"/>
              </w:rPr>
            </w:pPr>
          </w:p>
        </w:tc>
        <w:tc>
          <w:tcPr>
            <w:tcW w:w="1453" w:type="dxa"/>
            <w:gridSpan w:val="2"/>
          </w:tcPr>
          <w:p>
            <w:pPr>
              <w:jc w:val="center"/>
              <w:rPr>
                <w:rFonts w:ascii="仿宋" w:hAnsi="仿宋" w:eastAsia="仿宋" w:cs="仿宋_GB2312"/>
                <w:b/>
                <w:color w:val="auto"/>
                <w:sz w:val="28"/>
                <w:szCs w:val="28"/>
                <w:highlight w:val="none"/>
              </w:rPr>
            </w:pPr>
          </w:p>
        </w:tc>
      </w:tr>
    </w:tbl>
    <w:p>
      <w:pPr>
        <w:pStyle w:val="2"/>
        <w:rPr>
          <w:rFonts w:ascii="仿宋_GB2312" w:eastAsia="仿宋_GB2312" w:hAnsiTheme="minorEastAsia"/>
          <w:color w:val="auto"/>
          <w:sz w:val="28"/>
          <w:szCs w:val="28"/>
          <w:highlight w:val="none"/>
        </w:rPr>
      </w:pPr>
    </w:p>
    <w:p>
      <w:pPr>
        <w:pStyle w:val="2"/>
        <w:rPr>
          <w:rFonts w:ascii="仿宋_GB2312" w:eastAsia="仿宋_GB2312" w:hAnsiTheme="minorEastAsia"/>
          <w:color w:val="auto"/>
          <w:sz w:val="28"/>
          <w:szCs w:val="28"/>
          <w:highlight w:val="none"/>
        </w:rPr>
      </w:pPr>
    </w:p>
    <w:p>
      <w:pPr>
        <w:adjustRightInd w:val="0"/>
        <w:snapToGrid w:val="0"/>
        <w:spacing w:line="360" w:lineRule="auto"/>
        <w:jc w:val="right"/>
        <w:rPr>
          <w:rFonts w:ascii="宋体" w:hAnsi="宋体" w:eastAsia="宋体" w:cs="宋体"/>
          <w:color w:val="auto"/>
          <w:sz w:val="24"/>
          <w:szCs w:val="24"/>
          <w:highlight w:val="none"/>
          <w:lang w:val="en-GB"/>
        </w:rPr>
      </w:pPr>
      <w:r>
        <w:rPr>
          <w:rFonts w:hint="eastAsia" w:ascii="宋体" w:hAnsi="宋体" w:eastAsia="宋体" w:cs="宋体"/>
          <w:color w:val="auto"/>
          <w:sz w:val="24"/>
          <w:szCs w:val="24"/>
          <w:highlight w:val="none"/>
          <w:lang w:val="en-GB"/>
        </w:rPr>
        <w:t xml:space="preserve">供应商名称（加盖公章）： </w:t>
      </w:r>
    </w:p>
    <w:p>
      <w:pPr>
        <w:adjustRightInd w:val="0"/>
        <w:snapToGrid w:val="0"/>
        <w:spacing w:line="360" w:lineRule="auto"/>
        <w:jc w:val="right"/>
        <w:rPr>
          <w:rFonts w:ascii="宋体" w:hAnsi="宋体" w:eastAsia="宋体" w:cs="宋体"/>
          <w:color w:val="auto"/>
          <w:sz w:val="24"/>
          <w:szCs w:val="24"/>
          <w:highlight w:val="none"/>
          <w:lang w:val="en-GB"/>
        </w:rPr>
      </w:pPr>
      <w:r>
        <w:rPr>
          <w:rFonts w:hint="eastAsia" w:ascii="宋体" w:hAnsi="宋体" w:eastAsia="宋体" w:cs="宋体"/>
          <w:color w:val="auto"/>
          <w:sz w:val="24"/>
          <w:szCs w:val="24"/>
          <w:highlight w:val="none"/>
          <w:lang w:val="en-GB"/>
        </w:rPr>
        <w:t>年  月  日</w:t>
      </w:r>
    </w:p>
    <w:p>
      <w:pPr>
        <w:pStyle w:val="2"/>
        <w:rPr>
          <w:rFonts w:ascii="仿宋_GB2312" w:eastAsia="仿宋_GB2312" w:hAnsiTheme="minorEastAsia"/>
          <w:color w:val="auto"/>
          <w:sz w:val="28"/>
          <w:szCs w:val="28"/>
          <w:highlight w:val="none"/>
        </w:rPr>
      </w:pPr>
    </w:p>
    <w:p>
      <w:pPr>
        <w:pStyle w:val="2"/>
        <w:rPr>
          <w:rFonts w:ascii="仿宋_GB2312" w:eastAsia="仿宋_GB2312" w:hAnsiTheme="minorEastAsia"/>
          <w:color w:val="auto"/>
          <w:sz w:val="28"/>
          <w:szCs w:val="28"/>
          <w:highlight w:val="none"/>
        </w:rPr>
      </w:pPr>
    </w:p>
    <w:p>
      <w:pPr>
        <w:pStyle w:val="6"/>
        <w:rPr>
          <w:rFonts w:asciiTheme="minorEastAsia" w:hAnsiTheme="minorEastAsia" w:eastAsiaTheme="minorEastAsia"/>
          <w:color w:val="auto"/>
          <w:sz w:val="28"/>
          <w:szCs w:val="28"/>
          <w:highlight w:val="none"/>
        </w:rPr>
      </w:pPr>
      <w:bookmarkStart w:id="203" w:name="_Toc19423"/>
      <w:bookmarkStart w:id="204" w:name="_Toc32430"/>
      <w:r>
        <w:rPr>
          <w:rFonts w:hint="eastAsia" w:ascii="仿宋_GB2312" w:eastAsia="仿宋_GB2312" w:hAnsiTheme="minorEastAsia"/>
          <w:color w:val="auto"/>
          <w:sz w:val="28"/>
          <w:szCs w:val="28"/>
          <w:highlight w:val="none"/>
        </w:rPr>
        <w:t>5</w:t>
      </w:r>
      <w:r>
        <w:rPr>
          <w:rFonts w:hint="eastAsia" w:asciiTheme="minorEastAsia" w:hAnsiTheme="minorEastAsia" w:eastAsiaTheme="minorEastAsia"/>
          <w:color w:val="auto"/>
          <w:sz w:val="28"/>
          <w:szCs w:val="28"/>
          <w:highlight w:val="none"/>
        </w:rPr>
        <w:t>.报价表</w:t>
      </w:r>
      <w:bookmarkEnd w:id="203"/>
      <w:bookmarkEnd w:id="204"/>
    </w:p>
    <w:tbl>
      <w:tblPr>
        <w:tblStyle w:val="21"/>
        <w:tblW w:w="915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346"/>
        <w:gridCol w:w="3432"/>
        <w:gridCol w:w="87"/>
        <w:gridCol w:w="1994"/>
        <w:gridCol w:w="22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95" w:hRule="atLeast"/>
        </w:trPr>
        <w:tc>
          <w:tcPr>
            <w:tcW w:w="6864" w:type="dxa"/>
            <w:gridSpan w:val="5"/>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40"/>
                <w:szCs w:val="40"/>
                <w:highlight w:val="none"/>
                <w:u w:val="none"/>
              </w:rPr>
            </w:pPr>
            <w:r>
              <w:rPr>
                <w:rFonts w:hint="eastAsia" w:ascii="宋体" w:hAnsi="宋体" w:eastAsia="宋体" w:cs="宋体"/>
                <w:b/>
                <w:i w:val="0"/>
                <w:color w:val="auto"/>
                <w:kern w:val="0"/>
                <w:sz w:val="40"/>
                <w:szCs w:val="40"/>
                <w:highlight w:val="none"/>
                <w:u w:val="none"/>
                <w:lang w:val="en-US" w:eastAsia="zh-CN" w:bidi="ar"/>
              </w:rPr>
              <w:t>单位工程汇总表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4869" w:type="dxa"/>
            <w:gridSpan w:val="3"/>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工程名称：石井净分公司生产区域道闸采购项目</w:t>
            </w:r>
          </w:p>
        </w:tc>
        <w:tc>
          <w:tcPr>
            <w:tcW w:w="1995" w:type="dxa"/>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标段：</w:t>
            </w:r>
          </w:p>
        </w:tc>
        <w:tc>
          <w:tcPr>
            <w:tcW w:w="2292" w:type="dxa"/>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75" w:hRule="atLeast"/>
        </w:trPr>
        <w:tc>
          <w:tcPr>
            <w:tcW w:w="1347"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序号</w:t>
            </w:r>
          </w:p>
        </w:tc>
        <w:tc>
          <w:tcPr>
            <w:tcW w:w="3435"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汇总内容</w:t>
            </w:r>
          </w:p>
        </w:tc>
        <w:tc>
          <w:tcPr>
            <w:tcW w:w="2082"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金额:(元)</w:t>
            </w:r>
          </w:p>
        </w:tc>
        <w:tc>
          <w:tcPr>
            <w:tcW w:w="2292" w:type="dxa"/>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其中：暂估价(元)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3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分部分项合计</w:t>
            </w:r>
          </w:p>
        </w:tc>
        <w:tc>
          <w:tcPr>
            <w:tcW w:w="208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229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w:t>
            </w:r>
          </w:p>
        </w:tc>
        <w:tc>
          <w:tcPr>
            <w:tcW w:w="3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措施合计</w:t>
            </w:r>
          </w:p>
        </w:tc>
        <w:tc>
          <w:tcPr>
            <w:tcW w:w="208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229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2.1</w:t>
            </w:r>
          </w:p>
        </w:tc>
        <w:tc>
          <w:tcPr>
            <w:tcW w:w="3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绿色施工安全防护措施费</w:t>
            </w:r>
          </w:p>
        </w:tc>
        <w:tc>
          <w:tcPr>
            <w:tcW w:w="208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229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2.2</w:t>
            </w:r>
          </w:p>
        </w:tc>
        <w:tc>
          <w:tcPr>
            <w:tcW w:w="3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其他措施费</w:t>
            </w:r>
          </w:p>
        </w:tc>
        <w:tc>
          <w:tcPr>
            <w:tcW w:w="208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229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w:t>
            </w:r>
          </w:p>
        </w:tc>
        <w:tc>
          <w:tcPr>
            <w:tcW w:w="3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其他项目</w:t>
            </w:r>
          </w:p>
        </w:tc>
        <w:tc>
          <w:tcPr>
            <w:tcW w:w="208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229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3.1</w:t>
            </w:r>
          </w:p>
        </w:tc>
        <w:tc>
          <w:tcPr>
            <w:tcW w:w="3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暂列金额</w:t>
            </w:r>
          </w:p>
        </w:tc>
        <w:tc>
          <w:tcPr>
            <w:tcW w:w="208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229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3.2</w:t>
            </w:r>
          </w:p>
        </w:tc>
        <w:tc>
          <w:tcPr>
            <w:tcW w:w="3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暂估价</w:t>
            </w:r>
          </w:p>
        </w:tc>
        <w:tc>
          <w:tcPr>
            <w:tcW w:w="208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229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3.3</w:t>
            </w:r>
          </w:p>
        </w:tc>
        <w:tc>
          <w:tcPr>
            <w:tcW w:w="3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计日工</w:t>
            </w:r>
          </w:p>
        </w:tc>
        <w:tc>
          <w:tcPr>
            <w:tcW w:w="208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229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3.4</w:t>
            </w:r>
          </w:p>
        </w:tc>
        <w:tc>
          <w:tcPr>
            <w:tcW w:w="3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总承包服务费</w:t>
            </w:r>
          </w:p>
        </w:tc>
        <w:tc>
          <w:tcPr>
            <w:tcW w:w="208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229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3.5</w:t>
            </w:r>
          </w:p>
        </w:tc>
        <w:tc>
          <w:tcPr>
            <w:tcW w:w="3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预算包干费</w:t>
            </w:r>
          </w:p>
        </w:tc>
        <w:tc>
          <w:tcPr>
            <w:tcW w:w="208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229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3.6</w:t>
            </w:r>
          </w:p>
        </w:tc>
        <w:tc>
          <w:tcPr>
            <w:tcW w:w="3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工程优质费</w:t>
            </w:r>
          </w:p>
        </w:tc>
        <w:tc>
          <w:tcPr>
            <w:tcW w:w="208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229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3.7</w:t>
            </w:r>
          </w:p>
        </w:tc>
        <w:tc>
          <w:tcPr>
            <w:tcW w:w="3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概算幅度差</w:t>
            </w:r>
          </w:p>
        </w:tc>
        <w:tc>
          <w:tcPr>
            <w:tcW w:w="208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229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3.8</w:t>
            </w:r>
          </w:p>
        </w:tc>
        <w:tc>
          <w:tcPr>
            <w:tcW w:w="3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索赔费用</w:t>
            </w:r>
          </w:p>
        </w:tc>
        <w:tc>
          <w:tcPr>
            <w:tcW w:w="208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229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3.9</w:t>
            </w:r>
          </w:p>
        </w:tc>
        <w:tc>
          <w:tcPr>
            <w:tcW w:w="3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现场签证费用</w:t>
            </w:r>
          </w:p>
        </w:tc>
        <w:tc>
          <w:tcPr>
            <w:tcW w:w="208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229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3.10</w:t>
            </w:r>
          </w:p>
        </w:tc>
        <w:tc>
          <w:tcPr>
            <w:tcW w:w="3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其他费用</w:t>
            </w:r>
          </w:p>
        </w:tc>
        <w:tc>
          <w:tcPr>
            <w:tcW w:w="208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229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w:t>
            </w:r>
          </w:p>
        </w:tc>
        <w:tc>
          <w:tcPr>
            <w:tcW w:w="3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税前工程造价</w:t>
            </w:r>
          </w:p>
        </w:tc>
        <w:tc>
          <w:tcPr>
            <w:tcW w:w="208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229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w:t>
            </w:r>
          </w:p>
        </w:tc>
        <w:tc>
          <w:tcPr>
            <w:tcW w:w="3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增值税销项税额</w:t>
            </w:r>
          </w:p>
        </w:tc>
        <w:tc>
          <w:tcPr>
            <w:tcW w:w="208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229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6</w:t>
            </w:r>
          </w:p>
        </w:tc>
        <w:tc>
          <w:tcPr>
            <w:tcW w:w="3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总造价</w:t>
            </w:r>
          </w:p>
        </w:tc>
        <w:tc>
          <w:tcPr>
            <w:tcW w:w="208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229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134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7</w:t>
            </w:r>
          </w:p>
        </w:tc>
        <w:tc>
          <w:tcPr>
            <w:tcW w:w="343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人工费</w:t>
            </w:r>
          </w:p>
        </w:tc>
        <w:tc>
          <w:tcPr>
            <w:tcW w:w="208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2292"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bl>
    <w:p>
      <w:pPr>
        <w:spacing w:line="360" w:lineRule="auto"/>
        <w:rPr>
          <w:rFonts w:ascii="宋体" w:hAnsi="宋体" w:eastAsia="宋体" w:cs="宋体"/>
          <w:b/>
          <w:bCs/>
          <w:color w:val="auto"/>
          <w:szCs w:val="21"/>
          <w:highlight w:val="none"/>
        </w:rPr>
      </w:pPr>
    </w:p>
    <w:tbl>
      <w:tblPr>
        <w:tblStyle w:val="21"/>
        <w:tblW w:w="96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56"/>
        <w:gridCol w:w="1487"/>
        <w:gridCol w:w="2833"/>
        <w:gridCol w:w="297"/>
        <w:gridCol w:w="595"/>
        <w:gridCol w:w="690"/>
        <w:gridCol w:w="175"/>
        <w:gridCol w:w="824"/>
        <w:gridCol w:w="1019"/>
        <w:gridCol w:w="8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795" w:hRule="atLeast"/>
        </w:trPr>
        <w:tc>
          <w:tcPr>
            <w:tcW w:w="9683" w:type="dxa"/>
            <w:gridSpan w:val="10"/>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40"/>
                <w:szCs w:val="40"/>
                <w:highlight w:val="none"/>
                <w:u w:val="none"/>
              </w:rPr>
            </w:pPr>
            <w:r>
              <w:rPr>
                <w:rFonts w:hint="eastAsia" w:ascii="宋体" w:hAnsi="宋体" w:eastAsia="宋体" w:cs="宋体"/>
                <w:b/>
                <w:i w:val="0"/>
                <w:color w:val="auto"/>
                <w:kern w:val="0"/>
                <w:sz w:val="40"/>
                <w:szCs w:val="40"/>
                <w:highlight w:val="none"/>
                <w:u w:val="none"/>
                <w:lang w:val="en-US" w:eastAsia="zh-CN" w:bidi="ar"/>
              </w:rPr>
              <w:t>分部分项工程和单价措施项目清单与计价表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5181" w:type="dxa"/>
            <w:gridSpan w:val="3"/>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工程名称：石井净分公司生产区域道闸采购项目</w:t>
            </w:r>
          </w:p>
        </w:tc>
        <w:tc>
          <w:tcPr>
            <w:tcW w:w="1757" w:type="dxa"/>
            <w:gridSpan w:val="4"/>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标段：</w:t>
            </w:r>
          </w:p>
        </w:tc>
        <w:tc>
          <w:tcPr>
            <w:tcW w:w="2745" w:type="dxa"/>
            <w:gridSpan w:val="3"/>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858" w:type="dxa"/>
            <w:vMerge w:val="restart"/>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序号</w:t>
            </w:r>
          </w:p>
        </w:tc>
        <w:tc>
          <w:tcPr>
            <w:tcW w:w="1488"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项目名称</w:t>
            </w:r>
          </w:p>
        </w:tc>
        <w:tc>
          <w:tcPr>
            <w:tcW w:w="3132"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项目特征描述</w:t>
            </w:r>
          </w:p>
        </w:tc>
        <w:tc>
          <w:tcPr>
            <w:tcW w:w="595"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计量单位</w:t>
            </w:r>
          </w:p>
        </w:tc>
        <w:tc>
          <w:tcPr>
            <w:tcW w:w="690"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工程量</w:t>
            </w:r>
          </w:p>
        </w:tc>
        <w:tc>
          <w:tcPr>
            <w:tcW w:w="2920" w:type="dxa"/>
            <w:gridSpan w:val="4"/>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858" w:type="dxa"/>
            <w:vMerge w:val="continue"/>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488"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3132"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95"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690"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000" w:type="dxa"/>
            <w:gridSpan w:val="2"/>
            <w:vMerge w:val="restar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综合单价</w:t>
            </w:r>
          </w:p>
        </w:tc>
        <w:tc>
          <w:tcPr>
            <w:tcW w:w="1020" w:type="dxa"/>
            <w:vMerge w:val="restart"/>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综合合价</w:t>
            </w:r>
          </w:p>
        </w:tc>
        <w:tc>
          <w:tcPr>
            <w:tcW w:w="90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其中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858" w:type="dxa"/>
            <w:vMerge w:val="continue"/>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488"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3132"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595"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690"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000" w:type="dxa"/>
            <w:gridSpan w:val="2"/>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020" w:type="dxa"/>
            <w:vMerge w:val="continue"/>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85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48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整个项目</w:t>
            </w:r>
          </w:p>
        </w:tc>
        <w:tc>
          <w:tcPr>
            <w:tcW w:w="31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59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10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85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148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双目动态人脸识别机</w:t>
            </w:r>
          </w:p>
        </w:tc>
        <w:tc>
          <w:tcPr>
            <w:tcW w:w="31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1.名称:人体生物特征识别</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2.规格：符合设计要求</w:t>
            </w:r>
          </w:p>
        </w:tc>
        <w:tc>
          <w:tcPr>
            <w:tcW w:w="59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46</w:t>
            </w:r>
          </w:p>
        </w:tc>
        <w:tc>
          <w:tcPr>
            <w:tcW w:w="10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85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w:t>
            </w:r>
          </w:p>
        </w:tc>
        <w:tc>
          <w:tcPr>
            <w:tcW w:w="148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4口POE交换机</w:t>
            </w:r>
          </w:p>
        </w:tc>
        <w:tc>
          <w:tcPr>
            <w:tcW w:w="31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1.名称:4口POE交换机</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2.功能:带POE供电</w:t>
            </w:r>
          </w:p>
        </w:tc>
        <w:tc>
          <w:tcPr>
            <w:tcW w:w="59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25</w:t>
            </w:r>
          </w:p>
        </w:tc>
        <w:tc>
          <w:tcPr>
            <w:tcW w:w="10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85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w:t>
            </w:r>
          </w:p>
        </w:tc>
        <w:tc>
          <w:tcPr>
            <w:tcW w:w="148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门锁安装</w:t>
            </w:r>
          </w:p>
        </w:tc>
        <w:tc>
          <w:tcPr>
            <w:tcW w:w="31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1.名称:门锁</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2.规格:280KG电磁吸力锁</w:t>
            </w:r>
          </w:p>
        </w:tc>
        <w:tc>
          <w:tcPr>
            <w:tcW w:w="59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46</w:t>
            </w:r>
          </w:p>
        </w:tc>
        <w:tc>
          <w:tcPr>
            <w:tcW w:w="10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85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w:t>
            </w:r>
          </w:p>
        </w:tc>
        <w:tc>
          <w:tcPr>
            <w:tcW w:w="148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门禁开关</w:t>
            </w:r>
          </w:p>
        </w:tc>
        <w:tc>
          <w:tcPr>
            <w:tcW w:w="31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1.名称:门禁按钮</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2.规格:符合设计要求</w:t>
            </w:r>
          </w:p>
        </w:tc>
        <w:tc>
          <w:tcPr>
            <w:tcW w:w="59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个</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46</w:t>
            </w:r>
          </w:p>
        </w:tc>
        <w:tc>
          <w:tcPr>
            <w:tcW w:w="10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85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w:t>
            </w:r>
          </w:p>
        </w:tc>
        <w:tc>
          <w:tcPr>
            <w:tcW w:w="148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门禁电源</w:t>
            </w:r>
          </w:p>
        </w:tc>
        <w:tc>
          <w:tcPr>
            <w:tcW w:w="31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1.名称:门禁电源</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2.规格:符合设计要求</w:t>
            </w:r>
          </w:p>
        </w:tc>
        <w:tc>
          <w:tcPr>
            <w:tcW w:w="59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46</w:t>
            </w:r>
          </w:p>
        </w:tc>
        <w:tc>
          <w:tcPr>
            <w:tcW w:w="10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25" w:hRule="atLeast"/>
        </w:trPr>
        <w:tc>
          <w:tcPr>
            <w:tcW w:w="85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6</w:t>
            </w:r>
          </w:p>
        </w:tc>
        <w:tc>
          <w:tcPr>
            <w:tcW w:w="148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自动平移人行道闸</w:t>
            </w:r>
          </w:p>
        </w:tc>
        <w:tc>
          <w:tcPr>
            <w:tcW w:w="31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1.名称:自动平移人行道闸</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2.规格:宽：1150cm;高：1150cm</w:t>
            </w:r>
          </w:p>
        </w:tc>
        <w:tc>
          <w:tcPr>
            <w:tcW w:w="59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台</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13</w:t>
            </w:r>
          </w:p>
        </w:tc>
        <w:tc>
          <w:tcPr>
            <w:tcW w:w="10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85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7</w:t>
            </w:r>
          </w:p>
        </w:tc>
        <w:tc>
          <w:tcPr>
            <w:tcW w:w="148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配管</w:t>
            </w:r>
          </w:p>
        </w:tc>
        <w:tc>
          <w:tcPr>
            <w:tcW w:w="31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1.名称:镀锌电线管</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2.规格:DN20</w:t>
            </w:r>
          </w:p>
        </w:tc>
        <w:tc>
          <w:tcPr>
            <w:tcW w:w="59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m</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2200</w:t>
            </w:r>
          </w:p>
        </w:tc>
        <w:tc>
          <w:tcPr>
            <w:tcW w:w="10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1590" w:hRule="atLeast"/>
        </w:trPr>
        <w:tc>
          <w:tcPr>
            <w:tcW w:w="85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8</w:t>
            </w:r>
          </w:p>
        </w:tc>
        <w:tc>
          <w:tcPr>
            <w:tcW w:w="148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超五类网线</w:t>
            </w:r>
          </w:p>
        </w:tc>
        <w:tc>
          <w:tcPr>
            <w:tcW w:w="31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1.名称:双绞线缆</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2.规格及型号:符合设计要求</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3.线缆敷设、水晶头制安、标记、卡接</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4.测试</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5.其他:符合规范要求</w:t>
            </w:r>
          </w:p>
        </w:tc>
        <w:tc>
          <w:tcPr>
            <w:tcW w:w="59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m</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2200</w:t>
            </w:r>
          </w:p>
        </w:tc>
        <w:tc>
          <w:tcPr>
            <w:tcW w:w="10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85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9</w:t>
            </w:r>
          </w:p>
        </w:tc>
        <w:tc>
          <w:tcPr>
            <w:tcW w:w="148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双绞线缆测试</w:t>
            </w:r>
          </w:p>
        </w:tc>
        <w:tc>
          <w:tcPr>
            <w:tcW w:w="31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1.测试类别:双绞线缆测试</w:t>
            </w:r>
          </w:p>
        </w:tc>
        <w:tc>
          <w:tcPr>
            <w:tcW w:w="59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链路</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46</w:t>
            </w:r>
          </w:p>
        </w:tc>
        <w:tc>
          <w:tcPr>
            <w:tcW w:w="10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85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w:t>
            </w:r>
          </w:p>
        </w:tc>
        <w:tc>
          <w:tcPr>
            <w:tcW w:w="148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路面切割</w:t>
            </w:r>
          </w:p>
        </w:tc>
        <w:tc>
          <w:tcPr>
            <w:tcW w:w="31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1.面层:沥青混凝土</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2.厚度:5cm</w:t>
            </w:r>
          </w:p>
        </w:tc>
        <w:tc>
          <w:tcPr>
            <w:tcW w:w="59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m</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14</w:t>
            </w:r>
          </w:p>
        </w:tc>
        <w:tc>
          <w:tcPr>
            <w:tcW w:w="10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825" w:hRule="atLeast"/>
        </w:trPr>
        <w:tc>
          <w:tcPr>
            <w:tcW w:w="85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11</w:t>
            </w:r>
          </w:p>
        </w:tc>
        <w:tc>
          <w:tcPr>
            <w:tcW w:w="148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沥青贯入式</w:t>
            </w:r>
          </w:p>
        </w:tc>
        <w:tc>
          <w:tcPr>
            <w:tcW w:w="31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1.名称:路面恢复</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2.用料:符合设计要求沥青</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3.厚度:5cm</w:t>
            </w:r>
          </w:p>
        </w:tc>
        <w:tc>
          <w:tcPr>
            <w:tcW w:w="59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m2</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1.5</w:t>
            </w:r>
          </w:p>
        </w:tc>
        <w:tc>
          <w:tcPr>
            <w:tcW w:w="10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85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12</w:t>
            </w:r>
          </w:p>
        </w:tc>
        <w:tc>
          <w:tcPr>
            <w:tcW w:w="148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系统调试</w:t>
            </w:r>
          </w:p>
        </w:tc>
        <w:tc>
          <w:tcPr>
            <w:tcW w:w="31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1.名称:安全防范分系统调试</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2.通道数:符合设计要求</w:t>
            </w:r>
          </w:p>
        </w:tc>
        <w:tc>
          <w:tcPr>
            <w:tcW w:w="59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系统</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10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570" w:hRule="atLeast"/>
        </w:trPr>
        <w:tc>
          <w:tcPr>
            <w:tcW w:w="85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13</w:t>
            </w:r>
          </w:p>
        </w:tc>
        <w:tc>
          <w:tcPr>
            <w:tcW w:w="148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拆除路面</w:t>
            </w:r>
          </w:p>
        </w:tc>
        <w:tc>
          <w:tcPr>
            <w:tcW w:w="31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1.材质:混凝土路面拆除</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2.厚度:5cm</w:t>
            </w:r>
          </w:p>
        </w:tc>
        <w:tc>
          <w:tcPr>
            <w:tcW w:w="59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m2</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0.7</w:t>
            </w:r>
          </w:p>
        </w:tc>
        <w:tc>
          <w:tcPr>
            <w:tcW w:w="10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85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148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措施项目</w:t>
            </w:r>
          </w:p>
        </w:tc>
        <w:tc>
          <w:tcPr>
            <w:tcW w:w="31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59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10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85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14</w:t>
            </w:r>
          </w:p>
        </w:tc>
        <w:tc>
          <w:tcPr>
            <w:tcW w:w="148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高层施工增加</w:t>
            </w:r>
          </w:p>
        </w:tc>
        <w:tc>
          <w:tcPr>
            <w:tcW w:w="31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59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项</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10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0" w:hRule="atLeast"/>
        </w:trPr>
        <w:tc>
          <w:tcPr>
            <w:tcW w:w="858"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15</w:t>
            </w:r>
          </w:p>
        </w:tc>
        <w:tc>
          <w:tcPr>
            <w:tcW w:w="1488"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脚手架搭拆费</w:t>
            </w:r>
          </w:p>
        </w:tc>
        <w:tc>
          <w:tcPr>
            <w:tcW w:w="3132"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595"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项</w:t>
            </w:r>
          </w:p>
        </w:tc>
        <w:tc>
          <w:tcPr>
            <w:tcW w:w="69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100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7763" w:type="dxa"/>
            <w:gridSpan w:val="8"/>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本页小计</w:t>
            </w:r>
          </w:p>
        </w:tc>
        <w:tc>
          <w:tcPr>
            <w:tcW w:w="1020"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900" w:type="dxa"/>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trPr>
        <w:tc>
          <w:tcPr>
            <w:tcW w:w="7763" w:type="dxa"/>
            <w:gridSpan w:val="8"/>
            <w:tcBorders>
              <w:top w:val="single" w:color="000000" w:sz="4" w:space="0"/>
              <w:left w:val="single" w:color="000000" w:sz="8"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合   计</w:t>
            </w:r>
          </w:p>
        </w:tc>
        <w:tc>
          <w:tcPr>
            <w:tcW w:w="1020" w:type="dxa"/>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900" w:type="dxa"/>
            <w:tcBorders>
              <w:top w:val="single" w:color="000000" w:sz="4" w:space="0"/>
              <w:left w:val="single" w:color="000000" w:sz="4" w:space="0"/>
              <w:bottom w:val="single" w:color="000000" w:sz="8" w:space="0"/>
              <w:right w:val="single" w:color="000000" w:sz="8"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r>
    </w:tbl>
    <w:p>
      <w:pPr>
        <w:spacing w:line="360" w:lineRule="auto"/>
        <w:rPr>
          <w:rFonts w:ascii="宋体" w:hAnsi="宋体" w:eastAsia="宋体" w:cs="宋体"/>
          <w:b/>
          <w:bCs/>
          <w:color w:val="auto"/>
          <w:szCs w:val="21"/>
          <w:highlight w:val="none"/>
        </w:rPr>
      </w:pPr>
    </w:p>
    <w:tbl>
      <w:tblPr>
        <w:tblStyle w:val="21"/>
        <w:tblW w:w="967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803"/>
        <w:gridCol w:w="2"/>
        <w:gridCol w:w="1719"/>
        <w:gridCol w:w="6"/>
        <w:gridCol w:w="1601"/>
        <w:gridCol w:w="9"/>
        <w:gridCol w:w="900"/>
        <w:gridCol w:w="10"/>
        <w:gridCol w:w="77"/>
        <w:gridCol w:w="1294"/>
        <w:gridCol w:w="11"/>
        <w:gridCol w:w="783"/>
        <w:gridCol w:w="192"/>
        <w:gridCol w:w="12"/>
        <w:gridCol w:w="947"/>
        <w:gridCol w:w="13"/>
        <w:gridCol w:w="1281"/>
        <w:gridCol w:w="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4" w:type="dxa"/>
          <w:trHeight w:val="795" w:hRule="atLeast"/>
        </w:trPr>
        <w:tc>
          <w:tcPr>
            <w:tcW w:w="9660" w:type="dxa"/>
            <w:gridSpan w:val="17"/>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40"/>
                <w:szCs w:val="40"/>
                <w:highlight w:val="none"/>
                <w:u w:val="none"/>
              </w:rPr>
            </w:pPr>
            <w:r>
              <w:rPr>
                <w:rFonts w:hint="eastAsia" w:ascii="宋体" w:hAnsi="宋体" w:eastAsia="宋体" w:cs="宋体"/>
                <w:b/>
                <w:i w:val="0"/>
                <w:color w:val="auto"/>
                <w:kern w:val="0"/>
                <w:sz w:val="40"/>
                <w:szCs w:val="40"/>
                <w:highlight w:val="none"/>
                <w:u w:val="none"/>
                <w:lang w:val="en-US" w:eastAsia="zh-CN" w:bidi="ar"/>
              </w:rPr>
              <w:t>总价措施项目清单与计价表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4" w:type="dxa"/>
          <w:trHeight w:val="825" w:hRule="atLeast"/>
        </w:trPr>
        <w:tc>
          <w:tcPr>
            <w:tcW w:w="5127" w:type="dxa"/>
            <w:gridSpan w:val="9"/>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工程名称：石井净分公司生产区域道闸采购项目</w:t>
            </w:r>
          </w:p>
        </w:tc>
        <w:tc>
          <w:tcPr>
            <w:tcW w:w="2088" w:type="dxa"/>
            <w:gridSpan w:val="3"/>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标段：</w:t>
            </w:r>
          </w:p>
        </w:tc>
        <w:tc>
          <w:tcPr>
            <w:tcW w:w="2445" w:type="dxa"/>
            <w:gridSpan w:val="5"/>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第 1 页  共 2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4" w:type="dxa"/>
          <w:trHeight w:val="570" w:hRule="atLeast"/>
        </w:trPr>
        <w:tc>
          <w:tcPr>
            <w:tcW w:w="803"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序号</w:t>
            </w:r>
          </w:p>
        </w:tc>
        <w:tc>
          <w:tcPr>
            <w:tcW w:w="1721"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项目名称</w:t>
            </w:r>
          </w:p>
        </w:tc>
        <w:tc>
          <w:tcPr>
            <w:tcW w:w="1607"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计算基础</w:t>
            </w:r>
          </w:p>
        </w:tc>
        <w:tc>
          <w:tcPr>
            <w:tcW w:w="909"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费率</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w:t>
            </w:r>
          </w:p>
        </w:tc>
        <w:tc>
          <w:tcPr>
            <w:tcW w:w="1381" w:type="dxa"/>
            <w:gridSpan w:val="3"/>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(元)</w:t>
            </w:r>
          </w:p>
        </w:tc>
        <w:tc>
          <w:tcPr>
            <w:tcW w:w="986" w:type="dxa"/>
            <w:gridSpan w:val="3"/>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调整</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费率(%)</w:t>
            </w:r>
          </w:p>
        </w:tc>
        <w:tc>
          <w:tcPr>
            <w:tcW w:w="959"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调整后</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金额(元)</w:t>
            </w:r>
          </w:p>
        </w:tc>
        <w:tc>
          <w:tcPr>
            <w:tcW w:w="1294" w:type="dxa"/>
            <w:gridSpan w:val="2"/>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4" w:type="dxa"/>
          <w:trHeight w:val="1590" w:hRule="atLeast"/>
        </w:trPr>
        <w:tc>
          <w:tcPr>
            <w:tcW w:w="803"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172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绿色施工安全防护措施费</w:t>
            </w:r>
          </w:p>
        </w:tc>
        <w:tc>
          <w:tcPr>
            <w:tcW w:w="160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分部分项人工费+分部分项机具费</w:t>
            </w:r>
          </w:p>
        </w:tc>
        <w:tc>
          <w:tcPr>
            <w:tcW w:w="90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35.77</w:t>
            </w:r>
          </w:p>
        </w:tc>
        <w:tc>
          <w:tcPr>
            <w:tcW w:w="1381"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sz w:val="20"/>
                <w:szCs w:val="20"/>
                <w:highlight w:val="none"/>
                <w:u w:val="none"/>
                <w:lang w:val="en-US"/>
              </w:rPr>
            </w:pPr>
            <w:r>
              <w:rPr>
                <w:rFonts w:hint="eastAsia" w:ascii="宋体" w:hAnsi="宋体" w:eastAsia="宋体" w:cs="宋体"/>
                <w:i w:val="0"/>
                <w:color w:val="auto"/>
                <w:kern w:val="0"/>
                <w:sz w:val="20"/>
                <w:szCs w:val="20"/>
                <w:highlight w:val="none"/>
                <w:u w:val="none"/>
                <w:lang w:val="en-US" w:eastAsia="zh-CN" w:bidi="ar"/>
              </w:rPr>
              <w:t>21360.19</w:t>
            </w:r>
          </w:p>
        </w:tc>
        <w:tc>
          <w:tcPr>
            <w:tcW w:w="98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95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1294"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以分部分项的人工费与施工机具费之和为计算基础，费率35.77%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4" w:type="dxa"/>
          <w:trHeight w:val="570" w:hRule="atLeast"/>
        </w:trPr>
        <w:tc>
          <w:tcPr>
            <w:tcW w:w="803"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w:t>
            </w:r>
          </w:p>
        </w:tc>
        <w:tc>
          <w:tcPr>
            <w:tcW w:w="172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安装与生产同时进行增加费用</w:t>
            </w:r>
          </w:p>
        </w:tc>
        <w:tc>
          <w:tcPr>
            <w:tcW w:w="160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分部分项人工费</w:t>
            </w:r>
          </w:p>
        </w:tc>
        <w:tc>
          <w:tcPr>
            <w:tcW w:w="90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w:t>
            </w:r>
          </w:p>
        </w:tc>
        <w:tc>
          <w:tcPr>
            <w:tcW w:w="1381"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98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95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1294"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按人工费的10%计算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4" w:type="dxa"/>
          <w:trHeight w:val="570" w:hRule="atLeast"/>
        </w:trPr>
        <w:tc>
          <w:tcPr>
            <w:tcW w:w="803"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w:t>
            </w:r>
          </w:p>
        </w:tc>
        <w:tc>
          <w:tcPr>
            <w:tcW w:w="172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在有害身体健康环境中施工增加费</w:t>
            </w:r>
          </w:p>
        </w:tc>
        <w:tc>
          <w:tcPr>
            <w:tcW w:w="160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分部分项人工费</w:t>
            </w:r>
          </w:p>
        </w:tc>
        <w:tc>
          <w:tcPr>
            <w:tcW w:w="90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w:t>
            </w:r>
          </w:p>
        </w:tc>
        <w:tc>
          <w:tcPr>
            <w:tcW w:w="1381"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98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95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1294"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按人工费的10%计算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14" w:type="dxa"/>
          <w:trHeight w:val="1080" w:hRule="atLeast"/>
        </w:trPr>
        <w:tc>
          <w:tcPr>
            <w:tcW w:w="803"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w:t>
            </w:r>
          </w:p>
        </w:tc>
        <w:tc>
          <w:tcPr>
            <w:tcW w:w="172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在地下（暗）室、设备及大口径管道内等特殊施工部位进行施工增加费</w:t>
            </w:r>
          </w:p>
        </w:tc>
        <w:tc>
          <w:tcPr>
            <w:tcW w:w="160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90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30</w:t>
            </w:r>
          </w:p>
        </w:tc>
        <w:tc>
          <w:tcPr>
            <w:tcW w:w="1381"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98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95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1294"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按该部分人工费的30%计算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4" w:type="dxa"/>
          <w:trHeight w:val="2865" w:hRule="atLeast"/>
        </w:trPr>
        <w:tc>
          <w:tcPr>
            <w:tcW w:w="803"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w:t>
            </w:r>
          </w:p>
        </w:tc>
        <w:tc>
          <w:tcPr>
            <w:tcW w:w="172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赶工措施费</w:t>
            </w:r>
          </w:p>
        </w:tc>
        <w:tc>
          <w:tcPr>
            <w:tcW w:w="160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分部分项人工费+分部分项机具费</w:t>
            </w:r>
          </w:p>
        </w:tc>
        <w:tc>
          <w:tcPr>
            <w:tcW w:w="90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w:t>
            </w:r>
          </w:p>
        </w:tc>
        <w:tc>
          <w:tcPr>
            <w:tcW w:w="1381"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98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95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1294"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赶工措施费=（1-δ）*分部分项（人工费+施工机具费）*0.344 （0.8≤δ＜1   式中：δ=合同工期/定额工期）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4" w:type="dxa"/>
          <w:trHeight w:val="1080" w:hRule="atLeast"/>
        </w:trPr>
        <w:tc>
          <w:tcPr>
            <w:tcW w:w="803"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6</w:t>
            </w:r>
          </w:p>
        </w:tc>
        <w:tc>
          <w:tcPr>
            <w:tcW w:w="172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夜间施工增加费</w:t>
            </w:r>
          </w:p>
        </w:tc>
        <w:tc>
          <w:tcPr>
            <w:tcW w:w="160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90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20</w:t>
            </w:r>
          </w:p>
        </w:tc>
        <w:tc>
          <w:tcPr>
            <w:tcW w:w="1381"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98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95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1294"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按其夜间施工项目人工费的20%计算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4" w:type="dxa"/>
          <w:trHeight w:val="1080" w:hRule="atLeast"/>
        </w:trPr>
        <w:tc>
          <w:tcPr>
            <w:tcW w:w="803"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7</w:t>
            </w:r>
          </w:p>
        </w:tc>
        <w:tc>
          <w:tcPr>
            <w:tcW w:w="172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交通干扰工程施工增加费</w:t>
            </w:r>
          </w:p>
        </w:tc>
        <w:tc>
          <w:tcPr>
            <w:tcW w:w="160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90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w:t>
            </w:r>
          </w:p>
        </w:tc>
        <w:tc>
          <w:tcPr>
            <w:tcW w:w="1381"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98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95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1294"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按在市政道路上施工项目人工费的10%计算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4" w:type="dxa"/>
          <w:trHeight w:val="2355" w:hRule="atLeast"/>
        </w:trPr>
        <w:tc>
          <w:tcPr>
            <w:tcW w:w="803"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8</w:t>
            </w:r>
          </w:p>
        </w:tc>
        <w:tc>
          <w:tcPr>
            <w:tcW w:w="1721"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文明工地增加费</w:t>
            </w:r>
          </w:p>
        </w:tc>
        <w:tc>
          <w:tcPr>
            <w:tcW w:w="160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分部分项人工费+分部分项机具费</w:t>
            </w:r>
          </w:p>
        </w:tc>
        <w:tc>
          <w:tcPr>
            <w:tcW w:w="90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0</w:t>
            </w:r>
          </w:p>
        </w:tc>
        <w:tc>
          <w:tcPr>
            <w:tcW w:w="1381"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986"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959"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1294"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以分部分项的人工费与施工机具费之和为计算基础；市级文明工地1.00%；省级文明工地2.00%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4" w:type="dxa"/>
          <w:trHeight w:val="795" w:hRule="atLeast"/>
        </w:trPr>
        <w:tc>
          <w:tcPr>
            <w:tcW w:w="803" w:type="dxa"/>
            <w:tcBorders>
              <w:top w:val="single" w:color="000000" w:sz="4" w:space="0"/>
              <w:left w:val="single" w:color="000000" w:sz="8"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9</w:t>
            </w:r>
          </w:p>
        </w:tc>
        <w:tc>
          <w:tcPr>
            <w:tcW w:w="1721"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地下管线交叉降效费</w:t>
            </w:r>
          </w:p>
        </w:tc>
        <w:tc>
          <w:tcPr>
            <w:tcW w:w="1607"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909"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1381" w:type="dxa"/>
            <w:gridSpan w:val="3"/>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986" w:type="dxa"/>
            <w:gridSpan w:val="3"/>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959"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1294" w:type="dxa"/>
            <w:gridSpan w:val="2"/>
            <w:tcBorders>
              <w:top w:val="single" w:color="000000" w:sz="4" w:space="0"/>
              <w:left w:val="single" w:color="000000" w:sz="4" w:space="0"/>
              <w:bottom w:val="single" w:color="000000" w:sz="8"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按实际发生或经批准的施工方案计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80" w:hRule="atLeast"/>
        </w:trPr>
        <w:tc>
          <w:tcPr>
            <w:tcW w:w="805" w:type="dxa"/>
            <w:gridSpan w:val="2"/>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w:t>
            </w:r>
          </w:p>
        </w:tc>
        <w:tc>
          <w:tcPr>
            <w:tcW w:w="1725"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其他费用</w:t>
            </w:r>
          </w:p>
        </w:tc>
        <w:tc>
          <w:tcPr>
            <w:tcW w:w="161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宋体" w:hAnsi="宋体" w:eastAsia="宋体" w:cs="宋体"/>
                <w:i w:val="0"/>
                <w:color w:val="auto"/>
                <w:sz w:val="20"/>
                <w:szCs w:val="20"/>
                <w:highlight w:val="none"/>
                <w:u w:val="none"/>
              </w:rPr>
            </w:pPr>
          </w:p>
        </w:tc>
        <w:tc>
          <w:tcPr>
            <w:tcW w:w="91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1382"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987"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c>
          <w:tcPr>
            <w:tcW w:w="1295"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按实际发生或经批准的施工组织设计方案计算</w:t>
            </w:r>
          </w:p>
        </w:tc>
      </w:tr>
    </w:tbl>
    <w:p>
      <w:pPr>
        <w:spacing w:line="360" w:lineRule="auto"/>
        <w:rPr>
          <w:rFonts w:ascii="宋体" w:hAnsi="宋体" w:eastAsia="宋体" w:cs="宋体"/>
          <w:b/>
          <w:bCs/>
          <w:color w:val="auto"/>
          <w:szCs w:val="21"/>
          <w:highlight w:val="none"/>
        </w:rPr>
      </w:pPr>
    </w:p>
    <w:tbl>
      <w:tblPr>
        <w:tblStyle w:val="21"/>
        <w:tblW w:w="958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241"/>
        <w:gridCol w:w="2861"/>
        <w:gridCol w:w="4"/>
        <w:gridCol w:w="1097"/>
        <w:gridCol w:w="781"/>
        <w:gridCol w:w="5"/>
        <w:gridCol w:w="1008"/>
        <w:gridCol w:w="510"/>
        <w:gridCol w:w="7"/>
        <w:gridCol w:w="2056"/>
        <w:gridCol w:w="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0" w:type="dxa"/>
          <w:trHeight w:val="360" w:hRule="atLeast"/>
        </w:trPr>
        <w:tc>
          <w:tcPr>
            <w:tcW w:w="6998" w:type="dxa"/>
            <w:gridSpan w:val="7"/>
            <w:tcBorders>
              <w:top w:val="nil"/>
              <w:left w:val="nil"/>
              <w:bottom w:val="nil"/>
              <w:right w:val="nil"/>
            </w:tcBorders>
            <w:shd w:val="clear" w:color="FFFFFF" w:fill="FFFFFF"/>
            <w:tcMar>
              <w:top w:w="15" w:type="dxa"/>
              <w:left w:w="15" w:type="dxa"/>
              <w:right w:w="15" w:type="dxa"/>
            </w:tcMar>
            <w:vAlign w:val="center"/>
          </w:tcPr>
          <w:p>
            <w:pPr>
              <w:jc w:val="center"/>
              <w:rPr>
                <w:rFonts w:hint="eastAsia" w:ascii="宋体" w:hAnsi="宋体" w:eastAsia="宋体" w:cs="宋体"/>
                <w:b/>
                <w:i w:val="0"/>
                <w:color w:val="auto"/>
                <w:sz w:val="20"/>
                <w:szCs w:val="20"/>
                <w:highlight w:val="none"/>
                <w:u w:val="none"/>
              </w:rPr>
            </w:pPr>
          </w:p>
        </w:tc>
        <w:tc>
          <w:tcPr>
            <w:tcW w:w="2572" w:type="dxa"/>
            <w:gridSpan w:val="3"/>
            <w:tcBorders>
              <w:top w:val="nil"/>
              <w:left w:val="nil"/>
              <w:bottom w:val="nil"/>
              <w:right w:val="nil"/>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18"/>
                <w:szCs w:val="18"/>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0" w:type="dxa"/>
          <w:trHeight w:val="795" w:hRule="atLeast"/>
        </w:trPr>
        <w:tc>
          <w:tcPr>
            <w:tcW w:w="9570" w:type="dxa"/>
            <w:gridSpan w:val="10"/>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40"/>
                <w:szCs w:val="40"/>
                <w:highlight w:val="none"/>
                <w:u w:val="none"/>
              </w:rPr>
            </w:pPr>
            <w:r>
              <w:rPr>
                <w:rFonts w:hint="eastAsia" w:ascii="宋体" w:hAnsi="宋体" w:eastAsia="宋体" w:cs="宋体"/>
                <w:b/>
                <w:i w:val="0"/>
                <w:color w:val="auto"/>
                <w:kern w:val="0"/>
                <w:sz w:val="40"/>
                <w:szCs w:val="40"/>
                <w:highlight w:val="none"/>
                <w:u w:val="none"/>
                <w:lang w:val="en-US" w:eastAsia="zh-CN" w:bidi="ar"/>
              </w:rPr>
              <w:t>其他项目清单与计价汇总表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0" w:type="dxa"/>
          <w:trHeight w:val="570" w:hRule="atLeast"/>
        </w:trPr>
        <w:tc>
          <w:tcPr>
            <w:tcW w:w="5204" w:type="dxa"/>
            <w:gridSpan w:val="4"/>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工程名称：石井净分公司生产区域道闸采购项目</w:t>
            </w:r>
          </w:p>
        </w:tc>
        <w:tc>
          <w:tcPr>
            <w:tcW w:w="1794" w:type="dxa"/>
            <w:gridSpan w:val="3"/>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标段：</w:t>
            </w:r>
          </w:p>
        </w:tc>
        <w:tc>
          <w:tcPr>
            <w:tcW w:w="2572" w:type="dxa"/>
            <w:gridSpan w:val="3"/>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0" w:type="dxa"/>
          <w:trHeight w:val="375" w:hRule="atLeast"/>
        </w:trPr>
        <w:tc>
          <w:tcPr>
            <w:tcW w:w="1241"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序号</w:t>
            </w:r>
          </w:p>
        </w:tc>
        <w:tc>
          <w:tcPr>
            <w:tcW w:w="2861"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项目名称</w:t>
            </w:r>
          </w:p>
        </w:tc>
        <w:tc>
          <w:tcPr>
            <w:tcW w:w="1882" w:type="dxa"/>
            <w:gridSpan w:val="3"/>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金额（元）</w:t>
            </w:r>
          </w:p>
        </w:tc>
        <w:tc>
          <w:tcPr>
            <w:tcW w:w="1523" w:type="dxa"/>
            <w:gridSpan w:val="3"/>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结算金额（元）</w:t>
            </w:r>
          </w:p>
        </w:tc>
        <w:tc>
          <w:tcPr>
            <w:tcW w:w="2063" w:type="dxa"/>
            <w:gridSpan w:val="2"/>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0" w:type="dxa"/>
          <w:trHeight w:val="360" w:hRule="atLeast"/>
        </w:trPr>
        <w:tc>
          <w:tcPr>
            <w:tcW w:w="1241"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暂列金额</w:t>
            </w:r>
          </w:p>
        </w:tc>
        <w:tc>
          <w:tcPr>
            <w:tcW w:w="1882"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default" w:ascii="宋体" w:hAnsi="宋体" w:eastAsia="宋体" w:cs="宋体"/>
                <w:i w:val="0"/>
                <w:color w:val="auto"/>
                <w:sz w:val="20"/>
                <w:szCs w:val="20"/>
                <w:highlight w:val="none"/>
                <w:u w:val="none"/>
                <w:lang w:val="en-US"/>
              </w:rPr>
            </w:pPr>
            <w:r>
              <w:rPr>
                <w:rFonts w:hint="eastAsia" w:ascii="宋体" w:hAnsi="宋体" w:eastAsia="宋体" w:cs="宋体"/>
                <w:i w:val="0"/>
                <w:color w:val="auto"/>
                <w:kern w:val="0"/>
                <w:sz w:val="20"/>
                <w:szCs w:val="20"/>
                <w:highlight w:val="none"/>
                <w:u w:val="none"/>
                <w:lang w:val="en-US" w:eastAsia="zh-CN" w:bidi="ar"/>
              </w:rPr>
              <w:t>32236.61</w:t>
            </w:r>
          </w:p>
        </w:tc>
        <w:tc>
          <w:tcPr>
            <w:tcW w:w="152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2063"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明细详见表-12-1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0" w:type="dxa"/>
          <w:trHeight w:val="360" w:hRule="atLeast"/>
        </w:trPr>
        <w:tc>
          <w:tcPr>
            <w:tcW w:w="1241"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暂估价</w:t>
            </w:r>
          </w:p>
        </w:tc>
        <w:tc>
          <w:tcPr>
            <w:tcW w:w="1882"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152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2063"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0" w:type="dxa"/>
          <w:trHeight w:val="360" w:hRule="atLeast"/>
        </w:trPr>
        <w:tc>
          <w:tcPr>
            <w:tcW w:w="1241"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2.1</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材料暂估价</w:t>
            </w:r>
          </w:p>
        </w:tc>
        <w:tc>
          <w:tcPr>
            <w:tcW w:w="1882"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w:t>
            </w:r>
          </w:p>
        </w:tc>
        <w:tc>
          <w:tcPr>
            <w:tcW w:w="152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2063"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明细详见表-12-2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0" w:type="dxa"/>
          <w:trHeight w:val="360" w:hRule="atLeast"/>
        </w:trPr>
        <w:tc>
          <w:tcPr>
            <w:tcW w:w="1241"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2.2</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专业工程暂估价</w:t>
            </w:r>
          </w:p>
        </w:tc>
        <w:tc>
          <w:tcPr>
            <w:tcW w:w="1882"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152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2063"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明细详见表-12-3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10" w:type="dxa"/>
          <w:trHeight w:val="360" w:hRule="atLeast"/>
        </w:trPr>
        <w:tc>
          <w:tcPr>
            <w:tcW w:w="1241"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3</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计日工</w:t>
            </w:r>
          </w:p>
        </w:tc>
        <w:tc>
          <w:tcPr>
            <w:tcW w:w="1882"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152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2063"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明细详见表-12-4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0" w:type="dxa"/>
          <w:trHeight w:val="360" w:hRule="atLeast"/>
        </w:trPr>
        <w:tc>
          <w:tcPr>
            <w:tcW w:w="1241"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4</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总承包服务费</w:t>
            </w:r>
          </w:p>
        </w:tc>
        <w:tc>
          <w:tcPr>
            <w:tcW w:w="1882"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152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2063"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明细详见表-12-5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0" w:type="dxa"/>
          <w:trHeight w:val="360" w:hRule="atLeast"/>
        </w:trPr>
        <w:tc>
          <w:tcPr>
            <w:tcW w:w="1241"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5</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预算包干费</w:t>
            </w:r>
          </w:p>
        </w:tc>
        <w:tc>
          <w:tcPr>
            <w:tcW w:w="1882"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152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2063"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10" w:type="dxa"/>
          <w:trHeight w:val="360" w:hRule="atLeast"/>
        </w:trPr>
        <w:tc>
          <w:tcPr>
            <w:tcW w:w="1241"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6</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工程优质费</w:t>
            </w:r>
          </w:p>
        </w:tc>
        <w:tc>
          <w:tcPr>
            <w:tcW w:w="1882"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152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2063"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gridAfter w:val="1"/>
          <w:wAfter w:w="10" w:type="dxa"/>
          <w:trHeight w:val="360" w:hRule="atLeast"/>
        </w:trPr>
        <w:tc>
          <w:tcPr>
            <w:tcW w:w="1241"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7</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概算幅度差</w:t>
            </w:r>
          </w:p>
        </w:tc>
        <w:tc>
          <w:tcPr>
            <w:tcW w:w="1882"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152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2063"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0" w:type="dxa"/>
          <w:trHeight w:val="360" w:hRule="atLeast"/>
        </w:trPr>
        <w:tc>
          <w:tcPr>
            <w:tcW w:w="1241"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8</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现场签证费用</w:t>
            </w:r>
          </w:p>
        </w:tc>
        <w:tc>
          <w:tcPr>
            <w:tcW w:w="1882"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152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2063"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0" w:type="dxa"/>
          <w:trHeight w:val="360" w:hRule="atLeast"/>
        </w:trPr>
        <w:tc>
          <w:tcPr>
            <w:tcW w:w="1241"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9</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索赔费用</w:t>
            </w:r>
          </w:p>
        </w:tc>
        <w:tc>
          <w:tcPr>
            <w:tcW w:w="1882"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152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2063"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10" w:type="dxa"/>
          <w:trHeight w:val="360" w:hRule="atLeast"/>
        </w:trPr>
        <w:tc>
          <w:tcPr>
            <w:tcW w:w="1241"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10</w:t>
            </w:r>
          </w:p>
        </w:tc>
        <w:tc>
          <w:tcPr>
            <w:tcW w:w="2861"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其他费用</w:t>
            </w:r>
          </w:p>
        </w:tc>
        <w:tc>
          <w:tcPr>
            <w:tcW w:w="1882"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1523" w:type="dxa"/>
            <w:gridSpan w:val="3"/>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right"/>
              <w:rPr>
                <w:rFonts w:hint="eastAsia" w:ascii="宋体" w:hAnsi="宋体" w:eastAsia="宋体" w:cs="宋体"/>
                <w:i w:val="0"/>
                <w:color w:val="auto"/>
                <w:sz w:val="20"/>
                <w:szCs w:val="20"/>
                <w:highlight w:val="none"/>
                <w:u w:val="none"/>
              </w:rPr>
            </w:pPr>
          </w:p>
        </w:tc>
        <w:tc>
          <w:tcPr>
            <w:tcW w:w="2063"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1242" w:type="dxa"/>
            <w:tcBorders>
              <w:top w:val="single" w:color="000000" w:sz="4" w:space="0"/>
              <w:left w:val="single" w:color="000000" w:sz="8"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18"/>
                <w:szCs w:val="18"/>
                <w:highlight w:val="none"/>
                <w:u w:val="none"/>
              </w:rPr>
            </w:pPr>
          </w:p>
        </w:tc>
        <w:tc>
          <w:tcPr>
            <w:tcW w:w="2865" w:type="dxa"/>
            <w:gridSpan w:val="2"/>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合  计</w:t>
            </w:r>
          </w:p>
        </w:tc>
        <w:tc>
          <w:tcPr>
            <w:tcW w:w="1883" w:type="dxa"/>
            <w:gridSpan w:val="3"/>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1525" w:type="dxa"/>
            <w:gridSpan w:val="3"/>
            <w:tcBorders>
              <w:top w:val="single" w:color="000000" w:sz="4" w:space="0"/>
              <w:left w:val="single" w:color="000000" w:sz="4" w:space="0"/>
              <w:bottom w:val="single" w:color="000000" w:sz="8" w:space="0"/>
              <w:right w:val="single" w:color="000000" w:sz="4" w:space="0"/>
            </w:tcBorders>
            <w:shd w:val="clear" w:color="FFFFFF" w:fill="FFFFFF"/>
            <w:tcMar>
              <w:top w:w="15" w:type="dxa"/>
              <w:left w:w="15" w:type="dxa"/>
              <w:right w:w="15" w:type="dxa"/>
            </w:tcMar>
            <w:vAlign w:val="center"/>
          </w:tcPr>
          <w:p>
            <w:pPr>
              <w:jc w:val="left"/>
              <w:rPr>
                <w:rFonts w:hint="eastAsia" w:ascii="宋体" w:hAnsi="宋体" w:eastAsia="宋体" w:cs="宋体"/>
                <w:i w:val="0"/>
                <w:color w:val="auto"/>
                <w:sz w:val="18"/>
                <w:szCs w:val="18"/>
                <w:highlight w:val="none"/>
                <w:u w:val="none"/>
              </w:rPr>
            </w:pPr>
          </w:p>
        </w:tc>
        <w:tc>
          <w:tcPr>
            <w:tcW w:w="2065" w:type="dxa"/>
            <w:gridSpan w:val="2"/>
            <w:tcBorders>
              <w:top w:val="single" w:color="000000" w:sz="4" w:space="0"/>
              <w:left w:val="single" w:color="000000" w:sz="4" w:space="0"/>
              <w:bottom w:val="single" w:color="000000" w:sz="8"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w:t>
            </w:r>
          </w:p>
        </w:tc>
      </w:tr>
    </w:tbl>
    <w:p>
      <w:pPr>
        <w:pStyle w:val="2"/>
        <w:rPr>
          <w:color w:val="auto"/>
          <w:highlight w:val="none"/>
        </w:rPr>
      </w:pPr>
    </w:p>
    <w:tbl>
      <w:tblPr>
        <w:tblStyle w:val="21"/>
        <w:tblW w:w="100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067"/>
        <w:gridCol w:w="2053"/>
        <w:gridCol w:w="2832"/>
        <w:gridCol w:w="228"/>
        <w:gridCol w:w="1454"/>
        <w:gridCol w:w="18"/>
        <w:gridCol w:w="899"/>
        <w:gridCol w:w="8"/>
        <w:gridCol w:w="1491"/>
        <w:gridCol w:w="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9" w:type="dxa"/>
          <w:trHeight w:val="795" w:hRule="atLeast"/>
        </w:trPr>
        <w:tc>
          <w:tcPr>
            <w:tcW w:w="10050" w:type="dxa"/>
            <w:gridSpan w:val="9"/>
            <w:tcBorders>
              <w:top w:val="nil"/>
              <w:left w:val="nil"/>
              <w:bottom w:val="nil"/>
              <w:right w:val="nil"/>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auto"/>
                <w:sz w:val="40"/>
                <w:szCs w:val="40"/>
                <w:highlight w:val="none"/>
                <w:u w:val="none"/>
              </w:rPr>
            </w:pPr>
            <w:r>
              <w:rPr>
                <w:rFonts w:hint="eastAsia" w:ascii="宋体" w:hAnsi="宋体" w:eastAsia="宋体" w:cs="宋体"/>
                <w:b/>
                <w:i w:val="0"/>
                <w:color w:val="auto"/>
                <w:kern w:val="0"/>
                <w:sz w:val="40"/>
                <w:szCs w:val="40"/>
                <w:highlight w:val="none"/>
                <w:u w:val="none"/>
                <w:lang w:val="en-US" w:eastAsia="zh-CN" w:bidi="ar"/>
              </w:rPr>
              <w:t>规费、税金项目清单与计价表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9" w:type="dxa"/>
          <w:trHeight w:val="570" w:hRule="atLeast"/>
        </w:trPr>
        <w:tc>
          <w:tcPr>
            <w:tcW w:w="5952" w:type="dxa"/>
            <w:gridSpan w:val="3"/>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lef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工程名称：石井净分公司生产区域道闸采购项目</w:t>
            </w:r>
          </w:p>
        </w:tc>
        <w:tc>
          <w:tcPr>
            <w:tcW w:w="1700" w:type="dxa"/>
            <w:gridSpan w:val="3"/>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center"/>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标段：</w:t>
            </w:r>
          </w:p>
        </w:tc>
        <w:tc>
          <w:tcPr>
            <w:tcW w:w="2398" w:type="dxa"/>
            <w:gridSpan w:val="3"/>
            <w:tcBorders>
              <w:top w:val="nil"/>
              <w:left w:val="nil"/>
              <w:bottom w:val="nil"/>
              <w:right w:val="nil"/>
            </w:tcBorders>
            <w:shd w:val="clear" w:color="FFFFFF" w:fill="FFFFFF"/>
            <w:tcMar>
              <w:top w:w="15" w:type="dxa"/>
              <w:left w:w="15" w:type="dxa"/>
              <w:right w:w="15" w:type="dxa"/>
            </w:tcMar>
            <w:vAlign w:val="bottom"/>
          </w:tcPr>
          <w:p>
            <w:pPr>
              <w:keepNext w:val="0"/>
              <w:keepLines w:val="0"/>
              <w:widowControl/>
              <w:suppressLineNumbers w:val="0"/>
              <w:jc w:val="right"/>
              <w:textAlignment w:val="bottom"/>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第 1 页  共 1 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gridAfter w:val="1"/>
          <w:wAfter w:w="9" w:type="dxa"/>
          <w:trHeight w:val="570" w:hRule="atLeast"/>
        </w:trPr>
        <w:tc>
          <w:tcPr>
            <w:tcW w:w="1067" w:type="dxa"/>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序号</w:t>
            </w:r>
          </w:p>
        </w:tc>
        <w:tc>
          <w:tcPr>
            <w:tcW w:w="2053"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项目名称</w:t>
            </w:r>
          </w:p>
        </w:tc>
        <w:tc>
          <w:tcPr>
            <w:tcW w:w="3060"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计算基础</w:t>
            </w:r>
          </w:p>
        </w:tc>
        <w:tc>
          <w:tcPr>
            <w:tcW w:w="1454" w:type="dxa"/>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计算基数</w:t>
            </w:r>
          </w:p>
        </w:tc>
        <w:tc>
          <w:tcPr>
            <w:tcW w:w="917" w:type="dxa"/>
            <w:gridSpan w:val="2"/>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计算费率</w:t>
            </w:r>
            <w:r>
              <w:rPr>
                <w:rFonts w:hint="eastAsia" w:ascii="宋体" w:hAnsi="宋体" w:eastAsia="宋体" w:cs="宋体"/>
                <w:i w:val="0"/>
                <w:color w:val="auto"/>
                <w:kern w:val="0"/>
                <w:sz w:val="20"/>
                <w:szCs w:val="20"/>
                <w:highlight w:val="none"/>
                <w:u w:val="none"/>
                <w:lang w:val="en-US" w:eastAsia="zh-CN" w:bidi="ar"/>
              </w:rPr>
              <w:br w:type="textWrapping"/>
            </w:r>
            <w:r>
              <w:rPr>
                <w:rFonts w:hint="eastAsia" w:ascii="宋体" w:hAnsi="宋体" w:eastAsia="宋体" w:cs="宋体"/>
                <w:i w:val="0"/>
                <w:color w:val="auto"/>
                <w:kern w:val="0"/>
                <w:sz w:val="20"/>
                <w:szCs w:val="20"/>
                <w:highlight w:val="none"/>
                <w:u w:val="none"/>
                <w:lang w:val="en-US" w:eastAsia="zh-CN" w:bidi="ar"/>
              </w:rPr>
              <w:t>(%)</w:t>
            </w:r>
          </w:p>
        </w:tc>
        <w:tc>
          <w:tcPr>
            <w:tcW w:w="1499" w:type="dxa"/>
            <w:gridSpan w:val="2"/>
            <w:tcBorders>
              <w:top w:val="single" w:color="000000" w:sz="8"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gridAfter w:val="1"/>
          <w:wAfter w:w="9" w:type="dxa"/>
          <w:trHeight w:val="570" w:hRule="atLeast"/>
        </w:trPr>
        <w:tc>
          <w:tcPr>
            <w:tcW w:w="1067" w:type="dxa"/>
            <w:tcBorders>
              <w:top w:val="single" w:color="000000" w:sz="4"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1</w:t>
            </w:r>
          </w:p>
        </w:tc>
        <w:tc>
          <w:tcPr>
            <w:tcW w:w="2053"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增值税销项税额</w:t>
            </w:r>
          </w:p>
        </w:tc>
        <w:tc>
          <w:tcPr>
            <w:tcW w:w="3060"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分部分项合计+措施合计+其他项目</w:t>
            </w:r>
          </w:p>
        </w:tc>
        <w:tc>
          <w:tcPr>
            <w:tcW w:w="1454" w:type="dxa"/>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c>
          <w:tcPr>
            <w:tcW w:w="917" w:type="dxa"/>
            <w:gridSpan w:val="2"/>
            <w:tcBorders>
              <w:top w:val="single" w:color="000000" w:sz="4"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r>
              <w:rPr>
                <w:rFonts w:hint="eastAsia" w:ascii="宋体" w:hAnsi="宋体" w:eastAsia="宋体" w:cs="宋体"/>
                <w:i w:val="0"/>
                <w:color w:val="auto"/>
                <w:kern w:val="0"/>
                <w:sz w:val="20"/>
                <w:szCs w:val="20"/>
                <w:highlight w:val="none"/>
                <w:u w:val="none"/>
                <w:lang w:val="en-US" w:eastAsia="zh-CN" w:bidi="ar"/>
              </w:rPr>
              <w:t>9</w:t>
            </w:r>
          </w:p>
        </w:tc>
        <w:tc>
          <w:tcPr>
            <w:tcW w:w="1499" w:type="dxa"/>
            <w:gridSpan w:val="2"/>
            <w:tcBorders>
              <w:top w:val="single" w:color="000000" w:sz="4" w:space="0"/>
              <w:left w:val="single" w:color="000000" w:sz="4" w:space="0"/>
              <w:bottom w:val="single" w:color="000000" w:sz="4"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20"/>
                <w:szCs w:val="20"/>
                <w:highlight w:val="none"/>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trHeight w:val="360" w:hRule="atLeast"/>
        </w:trPr>
        <w:tc>
          <w:tcPr>
            <w:tcW w:w="8559" w:type="dxa"/>
            <w:gridSpan w:val="8"/>
            <w:tcBorders>
              <w:top w:val="single" w:color="000000" w:sz="4" w:space="0"/>
              <w:left w:val="single" w:color="000000" w:sz="8" w:space="0"/>
              <w:bottom w:val="single" w:color="000000" w:sz="8"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18"/>
                <w:szCs w:val="18"/>
                <w:highlight w:val="none"/>
                <w:u w:val="none"/>
              </w:rPr>
            </w:pPr>
            <w:r>
              <w:rPr>
                <w:rFonts w:hint="eastAsia" w:ascii="宋体" w:hAnsi="宋体" w:eastAsia="宋体" w:cs="宋体"/>
                <w:i w:val="0"/>
                <w:color w:val="auto"/>
                <w:kern w:val="0"/>
                <w:sz w:val="18"/>
                <w:szCs w:val="18"/>
                <w:highlight w:val="none"/>
                <w:u w:val="none"/>
                <w:lang w:val="en-US" w:eastAsia="zh-CN" w:bidi="ar"/>
              </w:rPr>
              <w:t>合    计</w:t>
            </w:r>
          </w:p>
        </w:tc>
        <w:tc>
          <w:tcPr>
            <w:tcW w:w="1500" w:type="dxa"/>
            <w:gridSpan w:val="2"/>
            <w:tcBorders>
              <w:top w:val="single" w:color="000000" w:sz="4" w:space="0"/>
              <w:left w:val="single" w:color="000000" w:sz="4" w:space="0"/>
              <w:bottom w:val="single" w:color="000000" w:sz="8" w:space="0"/>
              <w:right w:val="single" w:color="000000" w:sz="8" w:space="0"/>
            </w:tcBorders>
            <w:shd w:val="clear" w:color="FFFFFF" w:fill="FFFFFF"/>
            <w:tcMar>
              <w:top w:w="15" w:type="dxa"/>
              <w:left w:w="15" w:type="dxa"/>
              <w:right w:w="15" w:type="dxa"/>
            </w:tcMar>
            <w:vAlign w:val="center"/>
          </w:tcPr>
          <w:p>
            <w:pPr>
              <w:keepNext w:val="0"/>
              <w:keepLines w:val="0"/>
              <w:widowControl/>
              <w:suppressLineNumbers w:val="0"/>
              <w:jc w:val="right"/>
              <w:textAlignment w:val="center"/>
              <w:rPr>
                <w:rFonts w:hint="eastAsia" w:ascii="宋体" w:hAnsi="宋体" w:eastAsia="宋体" w:cs="宋体"/>
                <w:i w:val="0"/>
                <w:color w:val="auto"/>
                <w:sz w:val="18"/>
                <w:szCs w:val="18"/>
                <w:highlight w:val="none"/>
                <w:u w:val="none"/>
              </w:rPr>
            </w:pPr>
          </w:p>
        </w:tc>
      </w:tr>
    </w:tbl>
    <w:p>
      <w:pPr>
        <w:pStyle w:val="6"/>
        <w:rPr>
          <w:rFonts w:hint="eastAsia" w:eastAsiaTheme="majorEastAsia"/>
          <w:color w:val="auto"/>
          <w:highlight w:val="none"/>
          <w:lang w:val="en-US" w:eastAsia="zh-CN"/>
        </w:rPr>
      </w:pPr>
      <w:bookmarkStart w:id="205" w:name="_Toc6058"/>
      <w:bookmarkStart w:id="206" w:name="_Toc88209965"/>
      <w:bookmarkStart w:id="207" w:name="_Toc87616402"/>
      <w:bookmarkStart w:id="208" w:name="_Toc16386"/>
    </w:p>
    <w:p>
      <w:pPr>
        <w:pStyle w:val="6"/>
        <w:rPr>
          <w:rFonts w:asciiTheme="majorEastAsia" w:hAnsiTheme="majorEastAsia" w:eastAsiaTheme="majorEastAsia"/>
          <w:color w:val="auto"/>
          <w:sz w:val="28"/>
          <w:szCs w:val="28"/>
          <w:highlight w:val="none"/>
        </w:rPr>
      </w:pPr>
      <w:r>
        <w:rPr>
          <w:rFonts w:hint="eastAsia" w:eastAsiaTheme="majorEastAsia"/>
          <w:color w:val="auto"/>
          <w:highlight w:val="none"/>
          <w:lang w:val="en-US" w:eastAsia="zh-CN"/>
        </w:rPr>
        <w:t>6</w:t>
      </w:r>
      <w:r>
        <w:rPr>
          <w:rFonts w:hint="eastAsia" w:asciiTheme="majorEastAsia" w:hAnsiTheme="majorEastAsia" w:eastAsiaTheme="majorEastAsia"/>
          <w:color w:val="auto"/>
          <w:sz w:val="28"/>
          <w:szCs w:val="28"/>
          <w:highlight w:val="none"/>
        </w:rPr>
        <w:t>.其他资料</w:t>
      </w:r>
      <w:bookmarkEnd w:id="205"/>
      <w:bookmarkEnd w:id="206"/>
      <w:bookmarkEnd w:id="207"/>
      <w:bookmarkEnd w:id="208"/>
    </w:p>
    <w:p>
      <w:pPr>
        <w:adjustRightInd w:val="0"/>
        <w:snapToGrid w:val="0"/>
        <w:spacing w:line="600" w:lineRule="exact"/>
        <w:ind w:firstLine="570"/>
        <w:rPr>
          <w:rFonts w:ascii="仿宋_GB2312" w:eastAsia="仿宋_GB2312" w:hAnsiTheme="minorEastAsia"/>
          <w:color w:val="auto"/>
          <w:sz w:val="28"/>
          <w:szCs w:val="28"/>
          <w:highlight w:val="none"/>
        </w:rPr>
      </w:pPr>
      <w:r>
        <w:rPr>
          <w:rFonts w:hint="eastAsia" w:ascii="仿宋_GB2312" w:eastAsia="仿宋_GB2312" w:hAnsiTheme="minorEastAsia"/>
          <w:color w:val="auto"/>
          <w:sz w:val="28"/>
          <w:szCs w:val="28"/>
          <w:highlight w:val="none"/>
        </w:rPr>
        <w:t>供应商须提交的石井净水厂生产区域道闸实施方案和施工计划。</w:t>
      </w:r>
      <w:r>
        <w:rPr>
          <w:rFonts w:hint="eastAsia" w:ascii="仿宋_GB2312" w:eastAsia="仿宋_GB2312" w:hAnsiTheme="minorEastAsia"/>
          <w:color w:val="auto"/>
          <w:sz w:val="28"/>
          <w:szCs w:val="28"/>
          <w:highlight w:val="none"/>
          <w:lang w:eastAsia="zh-CN"/>
        </w:rPr>
        <w:t>（</w:t>
      </w:r>
      <w:r>
        <w:rPr>
          <w:rFonts w:hint="eastAsia" w:ascii="仿宋_GB2312" w:eastAsia="仿宋_GB2312" w:hAnsiTheme="minorEastAsia"/>
          <w:color w:val="auto"/>
          <w:sz w:val="28"/>
          <w:szCs w:val="28"/>
          <w:highlight w:val="none"/>
          <w:lang w:val="en-US" w:eastAsia="zh-CN"/>
        </w:rPr>
        <w:t>加盖单位公章</w:t>
      </w:r>
      <w:r>
        <w:rPr>
          <w:rFonts w:hint="eastAsia" w:ascii="仿宋_GB2312" w:eastAsia="仿宋_GB2312" w:hAnsiTheme="minorEastAsia"/>
          <w:color w:val="auto"/>
          <w:sz w:val="28"/>
          <w:szCs w:val="28"/>
          <w:highlight w:val="none"/>
          <w:lang w:eastAsia="zh-CN"/>
        </w:rPr>
        <w:t>）</w:t>
      </w:r>
    </w:p>
    <w:sectPr>
      <w:footerReference r:id="rId5" w:type="first"/>
      <w:footerReference r:id="rId3" w:type="default"/>
      <w:footerReference r:id="rId4" w:type="even"/>
      <w:pgSz w:w="11906" w:h="16838"/>
      <w:pgMar w:top="2098" w:right="1474" w:bottom="1985" w:left="1588" w:header="851" w:footer="992" w:gutter="0"/>
      <w:pgNumType w:start="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Batang">
    <w:altName w:val="Malgun Gothic"/>
    <w:panose1 w:val="02030600000101010101"/>
    <w:charset w:val="81"/>
    <w:family w:val="auto"/>
    <w:pitch w:val="default"/>
    <w:sig w:usb0="00000000" w:usb1="00000000" w:usb2="00000000" w:usb3="00000000" w:csb0="00000000"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0"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rPr>
                              <w:rFonts w:hint="eastAsia"/>
                            </w:rPr>
                            <w:fldChar w:fldCharType="begin"/>
                          </w:r>
                          <w:r>
                            <w:rPr>
                              <w:rFonts w:hint="eastAsia"/>
                            </w:rPr>
                            <w:instrText xml:space="preserve"> PAGE  \* MERGEFORMAT </w:instrText>
                          </w:r>
                          <w:r>
                            <w:rPr>
                              <w:rFonts w:hint="eastAsia"/>
                            </w:rPr>
                            <w:fldChar w:fldCharType="separate"/>
                          </w:r>
                          <w:r>
                            <w:t>88</w:t>
                          </w:r>
                          <w:r>
                            <w:rPr>
                              <w:rFonts w:hint="eastAsia"/>
                            </w:rPr>
                            <w:fldChar w:fldCharType="end"/>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3I2lMkBAACaAwAADgAAAGRycy9lMm9Eb2MueG1srVPNjtMwEL4j8Q6W&#10;79RpkVAVNV3tqlqEhABp4QFcx24s+U8et0lfAN6AExfuPFefg7GTdGG57IFLMp6ZfPN93zi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pt6Aotcdzixi/fv11+/Lr8/Epe&#10;Z3/6ADW2PQRsTMOdH/DWzHnAZJY9qGjzGwURrCPU+equHBIR+aP1ar2usCSwNh8Qnz1+HiKkt9Jb&#10;koOGRlxfcZWf3kMaW+eWPM35e21MWaFxfyUQM2dY5j5yzFEa9sMkaO/bM+rpcfMNdXjRKTHvHBqL&#10;/NIcxDnYz8ExRH3okNqy8IJwe0xIonDLE0bYaTCurKibrle+E3+eS9fjL7X9D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jcjaUyQEAAJoDAAAOAAAAAAAAAAEAIAAAAB4BAABkcnMvZTJvRG9j&#10;LnhtbFBLBQYAAAAABgAGAFkBAABZBQAAAAA=&#10;">
              <v:fill on="f" focussize="0,0"/>
              <v:stroke on="f"/>
              <v:imagedata o:title=""/>
              <o:lock v:ext="edit" aspectratio="f"/>
              <v:textbox inset="0mm,0mm,0mm,0mm" style="mso-fit-shape-to-text:t;">
                <w:txbxContent>
                  <w:p>
                    <w:pPr>
                      <w:pStyle w:val="16"/>
                    </w:pPr>
                    <w:r>
                      <w:rPr>
                        <w:rFonts w:hint="eastAsia"/>
                      </w:rPr>
                      <w:fldChar w:fldCharType="begin"/>
                    </w:r>
                    <w:r>
                      <w:rPr>
                        <w:rFonts w:hint="eastAsia"/>
                      </w:rPr>
                      <w:instrText xml:space="preserve"> PAGE  \* MERGEFORMAT </w:instrText>
                    </w:r>
                    <w:r>
                      <w:rPr>
                        <w:rFonts w:hint="eastAsia"/>
                      </w:rPr>
                      <w:fldChar w:fldCharType="separate"/>
                    </w:r>
                    <w:r>
                      <w:t>88</w:t>
                    </w:r>
                    <w:r>
                      <w:rPr>
                        <w:rFonts w:hint="eastAsia"/>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8"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p>
                        <w:p/>
                      </w:txbxContent>
                    </wps:txbx>
                    <wps:bodyPr wrap="none" lIns="0" tIns="0" rIns="0" bIns="0" upright="1">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90V7MgBAACaAwAADgAAAGRycy9lMm9Eb2MueG1srVPNjtMwEL4j8Q6W&#10;79RphVAVNV3tqlqEhABp4QFcx24s+U8et0lfAN6AExfuPFefg7GTdGG57IGLM54Zf/N9M5PNzWAN&#10;OckI2ruGLhcVJdIJ32p3aOiXz/ev1pRA4q7lxjvZ0LMEerN9+WLTh1qufOdNKyNBEAd1HxrapRRq&#10;xkB00nJY+CAdBpWPlie8xgNrI+8R3Rq2qqo3rPexDdELCYDe3RikE2J8DqBXSgu58+JopUsjapSG&#10;J5QEnQ5At4WtUlKkj0qBTMQ0FJWmcmIRtPf5ZNsNrw+Rh06LiQJ/DoUnmizXDoteoXY8cXKM+h8o&#10;q0X04FVaCG/ZKKR0BFUsqye9eeh4kEULthrCtenw/2DFh9OnSHSLm4Bzd9zixC/fv11+/Lr8/Epe&#10;5/70AWpMewiYmIY7P2Du7Ad0ZtmDijZ/URDBOHb3fO2uHBIR+dF6tV5XGBIYmy+Izx6fhwjprfSW&#10;ZKOhEcdXuspP7yGNqXNKrub8vTamjNC4vxyImT0scx85ZisN+2EStPftGfX0OPmGOlx0Ssw7h43N&#10;SzIbcTb2s3EMUR86pLYsvCDcHhOSKNxyhRF2KowjK+qm9co78ee9ZD3+Ut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FfdFezIAQAAmgMAAA4AAAAAAAAAAQAgAAAAHgEAAGRycy9lMm9Eb2Mu&#10;eG1sUEsFBgAAAAAGAAYAWQEAAFgFAAAAAA==&#10;">
              <v:fill on="f" focussize="0,0"/>
              <v:stroke on="f"/>
              <v:imagedata o:title=""/>
              <o:lock v:ext="edit" aspectratio="f"/>
              <v:textbox inset="0mm,0mm,0mm,0mm" style="mso-fit-shape-to-text:t;">
                <w:txbxContent>
                  <w:p>
                    <w:pPr>
                      <w:pStyle w:val="16"/>
                    </w:pPr>
                  </w:p>
                  <w:p/>
                </w:txbxContent>
              </v:textbox>
            </v:shape>
          </w:pict>
        </mc:Fallback>
      </mc:AlternateContent>
    </w:r>
  </w:p>
  <w:p>
    <w:pPr>
      <w:pStyle w:val="1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2161893"/>
    </w:sdtPr>
    <w:sdtContent>
      <w:p>
        <w:pPr>
          <w:pStyle w:val="16"/>
          <w:jc w:val="right"/>
        </w:pPr>
        <w:r>
          <w:rPr>
            <w:rFonts w:hint="eastAsia" w:ascii="仿宋_GB2312" w:eastAsia="仿宋_GB2312"/>
            <w:sz w:val="28"/>
            <w:szCs w:val="28"/>
          </w:rPr>
          <w:t>-</w:t>
        </w:r>
        <w:r>
          <w:rPr>
            <w:rFonts w:hint="eastAsia" w:ascii="仿宋_GB2312" w:eastAsia="仿宋_GB2312"/>
            <w:sz w:val="28"/>
            <w:szCs w:val="28"/>
          </w:rPr>
          <w:fldChar w:fldCharType="begin"/>
        </w:r>
        <w:r>
          <w:rPr>
            <w:rFonts w:hint="eastAsia" w:ascii="仿宋_GB2312" w:eastAsia="仿宋_GB2312"/>
            <w:sz w:val="28"/>
            <w:szCs w:val="28"/>
          </w:rPr>
          <w:instrText xml:space="preserve"> PAGE   \* MERGEFORMAT </w:instrText>
        </w:r>
        <w:r>
          <w:rPr>
            <w:rFonts w:hint="eastAsia" w:ascii="仿宋_GB2312" w:eastAsia="仿宋_GB2312"/>
            <w:sz w:val="28"/>
            <w:szCs w:val="28"/>
          </w:rPr>
          <w:fldChar w:fldCharType="separate"/>
        </w:r>
        <w:r>
          <w:rPr>
            <w:rFonts w:ascii="仿宋_GB2312" w:eastAsia="仿宋_GB2312"/>
            <w:sz w:val="28"/>
            <w:szCs w:val="28"/>
            <w:lang w:val="zh-CN"/>
          </w:rPr>
          <w:t>0</w:t>
        </w:r>
        <w:r>
          <w:rPr>
            <w:rFonts w:hint="eastAsia" w:ascii="仿宋_GB2312" w:eastAsia="仿宋_GB2312"/>
            <w:sz w:val="28"/>
            <w:szCs w:val="28"/>
          </w:rPr>
          <w:fldChar w:fldCharType="end"/>
        </w:r>
        <w:r>
          <w:rPr>
            <w:rFonts w:hint="eastAsia" w:ascii="仿宋_GB2312" w:eastAsia="仿宋_GB2312"/>
            <w:sz w:val="28"/>
            <w:szCs w:val="28"/>
          </w:rPr>
          <w:t>-</w:t>
        </w:r>
      </w:p>
    </w:sdtContent>
  </w:sdt>
  <w:p>
    <w:pPr>
      <w:pStyle w:val="1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9"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p>
                      </w:txbxContent>
                    </wps:txbx>
                    <wps:bodyPr wrap="none" lIns="0" tIns="0" rIns="0" bIns="0" upright="1">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6/vtsgBAACaAwAADgAAAGRycy9lMm9Eb2MueG1srVPNjtMwEL4j8Q6W&#10;79RpD6hETVe7qhYhIUBaeADXsRtL/pPHbdIXgDfgxIU7z9XnYOwkXVgue+DijGfG33zfzGRzM1hD&#10;TjKC9q6hy0VFiXTCt9odGvrl8/2rNSWQuGu58U429CyB3mxfvtj0oZYr33nTykgQxEHdh4Z2KYWa&#10;MRCdtBwWPkiHQeWj5Qmv8cDayHtEt4atquo1631sQ/RCAqB3NwbphBifA+iV0kLuvDha6dKIGqXh&#10;CSVBpwPQbWGrlBTpo1IgEzENRaWpnFgE7X0+2XbD60PkodNiosCfQ+GJJsu1w6JXqB1PnByj/gfK&#10;ahE9eJUWwls2CikdQRXL6klvHjoeZNGCrYZwbTr8P1jx4fQpEt3iJryhxHGLE798/3b58evy8ytZ&#10;5v70AWpMewiYmIY7P2Du7Ad0ZtmDijZ/URDBOHb3fO2uHBIR+dF6tV5XGBIYmy+Izx6fhwjprfSW&#10;ZKOhEcdXuspP7yGNqXNKrub8vTamjNC4vxyImT0scx85ZisN+2EStPftGfX0OPmGOlx0Ssw7h43N&#10;SzIbcTb2s3EMUR86pLYsvCDcHhOSKNxyhRF2KowjK+qm9co78ee9ZD3+Utv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KOv77bIAQAAmgMAAA4AAAAAAAAAAQAgAAAAHgEAAGRycy9lMm9Eb2Mu&#10;eG1sUEsFBgAAAAAGAAYAWQEAAFgFAAAAAA==&#10;">
              <v:fill on="f" focussize="0,0"/>
              <v:stroke on="f"/>
              <v:imagedata o:title=""/>
              <o:lock v:ext="edit" aspectratio="f"/>
              <v:textbox inset="0mm,0mm,0mm,0mm" style="mso-fit-shape-to-text:t;">
                <w:txbxContent>
                  <w:p>
                    <w:pPr>
                      <w:pStyle w:val="16"/>
                    </w:pP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4B43CF"/>
    <w:multiLevelType w:val="singleLevel"/>
    <w:tmpl w:val="9A4B43CF"/>
    <w:lvl w:ilvl="0" w:tentative="0">
      <w:start w:val="1"/>
      <w:numFmt w:val="decimal"/>
      <w:lvlText w:val="(%1)"/>
      <w:lvlJc w:val="left"/>
      <w:pPr>
        <w:ind w:left="425" w:hanging="425"/>
      </w:pPr>
      <w:rPr>
        <w:rFonts w:hint="default"/>
      </w:rPr>
    </w:lvl>
  </w:abstractNum>
  <w:abstractNum w:abstractNumId="1">
    <w:nsid w:val="CC9CF724"/>
    <w:multiLevelType w:val="singleLevel"/>
    <w:tmpl w:val="CC9CF724"/>
    <w:lvl w:ilvl="0" w:tentative="0">
      <w:start w:val="1"/>
      <w:numFmt w:val="chineseCounting"/>
      <w:suff w:val="space"/>
      <w:lvlText w:val="第%1章"/>
      <w:lvlJc w:val="left"/>
      <w:rPr>
        <w:rFonts w:hint="eastAsia"/>
      </w:rPr>
    </w:lvl>
  </w:abstractNum>
  <w:abstractNum w:abstractNumId="2">
    <w:nsid w:val="F474C9A6"/>
    <w:multiLevelType w:val="singleLevel"/>
    <w:tmpl w:val="F474C9A6"/>
    <w:lvl w:ilvl="0" w:tentative="0">
      <w:start w:val="10"/>
      <w:numFmt w:val="chineseCounting"/>
      <w:suff w:val="space"/>
      <w:lvlText w:val="第%1条"/>
      <w:lvlJc w:val="left"/>
      <w:rPr>
        <w:rFonts w:hint="eastAsia"/>
      </w:rPr>
    </w:lvl>
  </w:abstractNum>
  <w:abstractNum w:abstractNumId="3">
    <w:nsid w:val="4734DCE6"/>
    <w:multiLevelType w:val="singleLevel"/>
    <w:tmpl w:val="4734DCE6"/>
    <w:lvl w:ilvl="0" w:tentative="0">
      <w:start w:val="1"/>
      <w:numFmt w:val="decimal"/>
      <w:lvlText w:val="%1."/>
      <w:lvlJc w:val="left"/>
      <w:pPr>
        <w:tabs>
          <w:tab w:val="left" w:pos="312"/>
        </w:tabs>
      </w:pPr>
    </w:lvl>
  </w:abstractNum>
  <w:abstractNum w:abstractNumId="4">
    <w:nsid w:val="705D32C3"/>
    <w:multiLevelType w:val="singleLevel"/>
    <w:tmpl w:val="705D32C3"/>
    <w:lvl w:ilvl="0" w:tentative="0">
      <w:start w:val="5"/>
      <w:numFmt w:val="decimal"/>
      <w:lvlText w:val="%1."/>
      <w:lvlJc w:val="left"/>
      <w:pPr>
        <w:tabs>
          <w:tab w:val="left" w:pos="312"/>
        </w:tabs>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revisionView w:markup="0"/>
  <w:trackRevisions w:val="1"/>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1NTI3MTkzZTRjNzMxNjc0ZTBiZWNiNDExY2JjMGMifQ=="/>
  </w:docVars>
  <w:rsids>
    <w:rsidRoot w:val="005D618A"/>
    <w:rsid w:val="00057C32"/>
    <w:rsid w:val="001034EE"/>
    <w:rsid w:val="00141184"/>
    <w:rsid w:val="00172DEA"/>
    <w:rsid w:val="001C6E8F"/>
    <w:rsid w:val="001D15D4"/>
    <w:rsid w:val="002159A6"/>
    <w:rsid w:val="00224E4D"/>
    <w:rsid w:val="00230D30"/>
    <w:rsid w:val="00287833"/>
    <w:rsid w:val="00290A1F"/>
    <w:rsid w:val="00307272"/>
    <w:rsid w:val="00310667"/>
    <w:rsid w:val="00333161"/>
    <w:rsid w:val="003A487A"/>
    <w:rsid w:val="003C5165"/>
    <w:rsid w:val="003D60BA"/>
    <w:rsid w:val="003E6322"/>
    <w:rsid w:val="003F25BD"/>
    <w:rsid w:val="00411689"/>
    <w:rsid w:val="00421320"/>
    <w:rsid w:val="00421DDA"/>
    <w:rsid w:val="004353E4"/>
    <w:rsid w:val="00492586"/>
    <w:rsid w:val="00510B88"/>
    <w:rsid w:val="00593C26"/>
    <w:rsid w:val="005D5B8B"/>
    <w:rsid w:val="005D618A"/>
    <w:rsid w:val="005F6955"/>
    <w:rsid w:val="006121F1"/>
    <w:rsid w:val="006410F0"/>
    <w:rsid w:val="0065473F"/>
    <w:rsid w:val="006864A8"/>
    <w:rsid w:val="006C2EDF"/>
    <w:rsid w:val="006C67AA"/>
    <w:rsid w:val="007424C1"/>
    <w:rsid w:val="00806F1D"/>
    <w:rsid w:val="0082064E"/>
    <w:rsid w:val="00846D6F"/>
    <w:rsid w:val="00855D34"/>
    <w:rsid w:val="00872331"/>
    <w:rsid w:val="008820E7"/>
    <w:rsid w:val="008A5021"/>
    <w:rsid w:val="008E3991"/>
    <w:rsid w:val="00904370"/>
    <w:rsid w:val="00911ECD"/>
    <w:rsid w:val="009272DD"/>
    <w:rsid w:val="00993899"/>
    <w:rsid w:val="009D0D82"/>
    <w:rsid w:val="00A03A70"/>
    <w:rsid w:val="00A042E0"/>
    <w:rsid w:val="00A0743A"/>
    <w:rsid w:val="00A1246A"/>
    <w:rsid w:val="00A97F1E"/>
    <w:rsid w:val="00AC4307"/>
    <w:rsid w:val="00AC43D0"/>
    <w:rsid w:val="00B26BB1"/>
    <w:rsid w:val="00B26E21"/>
    <w:rsid w:val="00B33DC2"/>
    <w:rsid w:val="00B42E57"/>
    <w:rsid w:val="00B56C6E"/>
    <w:rsid w:val="00B6564F"/>
    <w:rsid w:val="00B83461"/>
    <w:rsid w:val="00B84BF0"/>
    <w:rsid w:val="00B9296A"/>
    <w:rsid w:val="00BA5C97"/>
    <w:rsid w:val="00C00C9A"/>
    <w:rsid w:val="00C87F9D"/>
    <w:rsid w:val="00CB05CD"/>
    <w:rsid w:val="00CB7BC0"/>
    <w:rsid w:val="00CD2B12"/>
    <w:rsid w:val="00CE1061"/>
    <w:rsid w:val="00CE53F6"/>
    <w:rsid w:val="00CF1678"/>
    <w:rsid w:val="00D058BB"/>
    <w:rsid w:val="00D92035"/>
    <w:rsid w:val="00DB7FAA"/>
    <w:rsid w:val="00DC0501"/>
    <w:rsid w:val="00DF3B26"/>
    <w:rsid w:val="00DF3C2B"/>
    <w:rsid w:val="00E0767A"/>
    <w:rsid w:val="00E15BC6"/>
    <w:rsid w:val="00E83AAB"/>
    <w:rsid w:val="00ED45F5"/>
    <w:rsid w:val="00EF4CD5"/>
    <w:rsid w:val="00F41C32"/>
    <w:rsid w:val="00F70EA2"/>
    <w:rsid w:val="00F83B64"/>
    <w:rsid w:val="00F83F8E"/>
    <w:rsid w:val="00F86DDC"/>
    <w:rsid w:val="00FA398D"/>
    <w:rsid w:val="00FB5963"/>
    <w:rsid w:val="00FC1A41"/>
    <w:rsid w:val="00FF0676"/>
    <w:rsid w:val="00FF06E0"/>
    <w:rsid w:val="013E3461"/>
    <w:rsid w:val="018067F2"/>
    <w:rsid w:val="018C2CBC"/>
    <w:rsid w:val="01BB0F13"/>
    <w:rsid w:val="02090C75"/>
    <w:rsid w:val="024F166C"/>
    <w:rsid w:val="029A7D90"/>
    <w:rsid w:val="02A23A3C"/>
    <w:rsid w:val="02D05EBE"/>
    <w:rsid w:val="035D130A"/>
    <w:rsid w:val="039110A9"/>
    <w:rsid w:val="03AC246A"/>
    <w:rsid w:val="03AE6061"/>
    <w:rsid w:val="03B23056"/>
    <w:rsid w:val="03DA023E"/>
    <w:rsid w:val="03DC3EBA"/>
    <w:rsid w:val="03F9794D"/>
    <w:rsid w:val="04377393"/>
    <w:rsid w:val="046A2461"/>
    <w:rsid w:val="051C2970"/>
    <w:rsid w:val="060C3611"/>
    <w:rsid w:val="063858F6"/>
    <w:rsid w:val="06C64829"/>
    <w:rsid w:val="070E7B6E"/>
    <w:rsid w:val="071D62B7"/>
    <w:rsid w:val="076D41A6"/>
    <w:rsid w:val="077D16D2"/>
    <w:rsid w:val="07F13FAE"/>
    <w:rsid w:val="082A69F3"/>
    <w:rsid w:val="08675FC8"/>
    <w:rsid w:val="09730B1D"/>
    <w:rsid w:val="09B713FD"/>
    <w:rsid w:val="09EF6ACC"/>
    <w:rsid w:val="09F47D86"/>
    <w:rsid w:val="0A315056"/>
    <w:rsid w:val="0AA213B4"/>
    <w:rsid w:val="0AF61C7E"/>
    <w:rsid w:val="0AFB45AD"/>
    <w:rsid w:val="0B2A2DD3"/>
    <w:rsid w:val="0B351E9B"/>
    <w:rsid w:val="0B4C50D3"/>
    <w:rsid w:val="0B806B92"/>
    <w:rsid w:val="0B827E94"/>
    <w:rsid w:val="0B842F76"/>
    <w:rsid w:val="0BD070E1"/>
    <w:rsid w:val="0BD65B6B"/>
    <w:rsid w:val="0C2361E7"/>
    <w:rsid w:val="0C247926"/>
    <w:rsid w:val="0C4B30C4"/>
    <w:rsid w:val="0D19191D"/>
    <w:rsid w:val="0D794204"/>
    <w:rsid w:val="0DA74285"/>
    <w:rsid w:val="0E2125D1"/>
    <w:rsid w:val="0E214211"/>
    <w:rsid w:val="0E5F2769"/>
    <w:rsid w:val="0EDF2E00"/>
    <w:rsid w:val="0F4D75A3"/>
    <w:rsid w:val="0F5B2DCA"/>
    <w:rsid w:val="0FC05ED4"/>
    <w:rsid w:val="0FED051E"/>
    <w:rsid w:val="0FEE4C29"/>
    <w:rsid w:val="10031608"/>
    <w:rsid w:val="10046082"/>
    <w:rsid w:val="104974DD"/>
    <w:rsid w:val="111703D2"/>
    <w:rsid w:val="112B101A"/>
    <w:rsid w:val="116E717D"/>
    <w:rsid w:val="119B53FC"/>
    <w:rsid w:val="1215733B"/>
    <w:rsid w:val="12424CDC"/>
    <w:rsid w:val="129A2738"/>
    <w:rsid w:val="12B56BF1"/>
    <w:rsid w:val="12CB1A89"/>
    <w:rsid w:val="131840FB"/>
    <w:rsid w:val="13467417"/>
    <w:rsid w:val="136E76CF"/>
    <w:rsid w:val="14123C2A"/>
    <w:rsid w:val="145F08C6"/>
    <w:rsid w:val="14E43F59"/>
    <w:rsid w:val="14EA0703"/>
    <w:rsid w:val="15007F26"/>
    <w:rsid w:val="156C6870"/>
    <w:rsid w:val="15776308"/>
    <w:rsid w:val="15BC6B3C"/>
    <w:rsid w:val="15CC3F5D"/>
    <w:rsid w:val="160A31D3"/>
    <w:rsid w:val="16360A7B"/>
    <w:rsid w:val="164D40B0"/>
    <w:rsid w:val="1694429A"/>
    <w:rsid w:val="16EA20E0"/>
    <w:rsid w:val="171B1048"/>
    <w:rsid w:val="17635326"/>
    <w:rsid w:val="17B803EA"/>
    <w:rsid w:val="1815096B"/>
    <w:rsid w:val="18236EFD"/>
    <w:rsid w:val="189D5B1F"/>
    <w:rsid w:val="18A34CD0"/>
    <w:rsid w:val="18C60E4A"/>
    <w:rsid w:val="19A53EA8"/>
    <w:rsid w:val="19B64DBC"/>
    <w:rsid w:val="19D96F98"/>
    <w:rsid w:val="19EC6A4A"/>
    <w:rsid w:val="1A373ACF"/>
    <w:rsid w:val="1A7B10BA"/>
    <w:rsid w:val="1A895341"/>
    <w:rsid w:val="1B0D071F"/>
    <w:rsid w:val="1B4568CE"/>
    <w:rsid w:val="1B9015B7"/>
    <w:rsid w:val="1B950DA6"/>
    <w:rsid w:val="1BF54245"/>
    <w:rsid w:val="1D0E6976"/>
    <w:rsid w:val="1D5A79EE"/>
    <w:rsid w:val="1D98445F"/>
    <w:rsid w:val="1E0E2CD0"/>
    <w:rsid w:val="1E831280"/>
    <w:rsid w:val="1EBC4704"/>
    <w:rsid w:val="1EF932A5"/>
    <w:rsid w:val="1F172EB5"/>
    <w:rsid w:val="1F94592D"/>
    <w:rsid w:val="1FB02B8E"/>
    <w:rsid w:val="1FB860DE"/>
    <w:rsid w:val="203C5A02"/>
    <w:rsid w:val="20457135"/>
    <w:rsid w:val="209D4C94"/>
    <w:rsid w:val="20B44FCD"/>
    <w:rsid w:val="20E84705"/>
    <w:rsid w:val="218400BA"/>
    <w:rsid w:val="21AB1E2F"/>
    <w:rsid w:val="21D40498"/>
    <w:rsid w:val="22493963"/>
    <w:rsid w:val="22767047"/>
    <w:rsid w:val="22EB3FC4"/>
    <w:rsid w:val="23294AEC"/>
    <w:rsid w:val="23A05588"/>
    <w:rsid w:val="240476A1"/>
    <w:rsid w:val="24E40975"/>
    <w:rsid w:val="25431AEB"/>
    <w:rsid w:val="25BE3BFB"/>
    <w:rsid w:val="25BF43FD"/>
    <w:rsid w:val="25C30AA1"/>
    <w:rsid w:val="25F86BCD"/>
    <w:rsid w:val="2605748B"/>
    <w:rsid w:val="26396D26"/>
    <w:rsid w:val="264544A6"/>
    <w:rsid w:val="267702FB"/>
    <w:rsid w:val="267947E9"/>
    <w:rsid w:val="269E416A"/>
    <w:rsid w:val="26C11C6B"/>
    <w:rsid w:val="272100D3"/>
    <w:rsid w:val="272C72FC"/>
    <w:rsid w:val="275131CB"/>
    <w:rsid w:val="278F6521"/>
    <w:rsid w:val="27E172F9"/>
    <w:rsid w:val="27EB149D"/>
    <w:rsid w:val="27FD3E52"/>
    <w:rsid w:val="28AD07CC"/>
    <w:rsid w:val="28E11370"/>
    <w:rsid w:val="294A756A"/>
    <w:rsid w:val="29781BF8"/>
    <w:rsid w:val="29C33ED0"/>
    <w:rsid w:val="29D5322D"/>
    <w:rsid w:val="2A025DD9"/>
    <w:rsid w:val="2A2619CB"/>
    <w:rsid w:val="2A7C2231"/>
    <w:rsid w:val="2A920E4F"/>
    <w:rsid w:val="2ABB753D"/>
    <w:rsid w:val="2AFE6EC4"/>
    <w:rsid w:val="2B072196"/>
    <w:rsid w:val="2B7A49FA"/>
    <w:rsid w:val="2C204C18"/>
    <w:rsid w:val="2C615D26"/>
    <w:rsid w:val="2CB679ED"/>
    <w:rsid w:val="2CF726B9"/>
    <w:rsid w:val="2D173C07"/>
    <w:rsid w:val="2D424A86"/>
    <w:rsid w:val="2DDA66B7"/>
    <w:rsid w:val="2E6F2D11"/>
    <w:rsid w:val="2E7B52DB"/>
    <w:rsid w:val="2ED60115"/>
    <w:rsid w:val="2F324CFE"/>
    <w:rsid w:val="2F5E167A"/>
    <w:rsid w:val="2FBA09F1"/>
    <w:rsid w:val="2FEF2ACF"/>
    <w:rsid w:val="2FF93D20"/>
    <w:rsid w:val="301E71E2"/>
    <w:rsid w:val="30540211"/>
    <w:rsid w:val="30D34FFE"/>
    <w:rsid w:val="30E45100"/>
    <w:rsid w:val="31112A0D"/>
    <w:rsid w:val="311F4B20"/>
    <w:rsid w:val="312D7741"/>
    <w:rsid w:val="316F137F"/>
    <w:rsid w:val="31DF525F"/>
    <w:rsid w:val="31EC162B"/>
    <w:rsid w:val="32324C2E"/>
    <w:rsid w:val="32462F96"/>
    <w:rsid w:val="327171DF"/>
    <w:rsid w:val="33541711"/>
    <w:rsid w:val="3391569E"/>
    <w:rsid w:val="33ED56C2"/>
    <w:rsid w:val="341E3434"/>
    <w:rsid w:val="34BB4442"/>
    <w:rsid w:val="34F01F80"/>
    <w:rsid w:val="3584136B"/>
    <w:rsid w:val="35FF5AA4"/>
    <w:rsid w:val="360B7EBA"/>
    <w:rsid w:val="36416867"/>
    <w:rsid w:val="367D5DD4"/>
    <w:rsid w:val="36932551"/>
    <w:rsid w:val="369C32FD"/>
    <w:rsid w:val="37666E72"/>
    <w:rsid w:val="38081EA3"/>
    <w:rsid w:val="38143FD9"/>
    <w:rsid w:val="38167A04"/>
    <w:rsid w:val="381C3783"/>
    <w:rsid w:val="394B167A"/>
    <w:rsid w:val="399F745E"/>
    <w:rsid w:val="39DA2868"/>
    <w:rsid w:val="3A055F4B"/>
    <w:rsid w:val="3A4329C0"/>
    <w:rsid w:val="3A4E4336"/>
    <w:rsid w:val="3A6007FE"/>
    <w:rsid w:val="3A802587"/>
    <w:rsid w:val="3A852164"/>
    <w:rsid w:val="3AF93D6C"/>
    <w:rsid w:val="3AFD06C8"/>
    <w:rsid w:val="3B7C2CE4"/>
    <w:rsid w:val="3BAF716B"/>
    <w:rsid w:val="3BF21AC7"/>
    <w:rsid w:val="3C0B5355"/>
    <w:rsid w:val="3C4A19EF"/>
    <w:rsid w:val="3CD4176B"/>
    <w:rsid w:val="3D1F44D9"/>
    <w:rsid w:val="3D5C38CD"/>
    <w:rsid w:val="3E5070F1"/>
    <w:rsid w:val="3E6D1CF1"/>
    <w:rsid w:val="3E7F0DAE"/>
    <w:rsid w:val="3E9A01F4"/>
    <w:rsid w:val="3EC06A6A"/>
    <w:rsid w:val="3EC370CB"/>
    <w:rsid w:val="3F6C3589"/>
    <w:rsid w:val="3F78332B"/>
    <w:rsid w:val="3F850180"/>
    <w:rsid w:val="3F9004D6"/>
    <w:rsid w:val="3FEE7CFA"/>
    <w:rsid w:val="400E4D5E"/>
    <w:rsid w:val="40E1138C"/>
    <w:rsid w:val="413814BA"/>
    <w:rsid w:val="41872511"/>
    <w:rsid w:val="41DF1251"/>
    <w:rsid w:val="424236D9"/>
    <w:rsid w:val="42466655"/>
    <w:rsid w:val="42C82F57"/>
    <w:rsid w:val="435707E5"/>
    <w:rsid w:val="43C76AF7"/>
    <w:rsid w:val="43E97E4A"/>
    <w:rsid w:val="446828F0"/>
    <w:rsid w:val="44A532F6"/>
    <w:rsid w:val="45093E85"/>
    <w:rsid w:val="45C13B4D"/>
    <w:rsid w:val="46054BCA"/>
    <w:rsid w:val="464C6AFC"/>
    <w:rsid w:val="468B0091"/>
    <w:rsid w:val="46A107C3"/>
    <w:rsid w:val="46B15CE2"/>
    <w:rsid w:val="46BE113D"/>
    <w:rsid w:val="46E44B13"/>
    <w:rsid w:val="4703508A"/>
    <w:rsid w:val="472B40E0"/>
    <w:rsid w:val="475023F8"/>
    <w:rsid w:val="479D361E"/>
    <w:rsid w:val="47B74789"/>
    <w:rsid w:val="48032A55"/>
    <w:rsid w:val="480F2B9D"/>
    <w:rsid w:val="48102176"/>
    <w:rsid w:val="48282920"/>
    <w:rsid w:val="483E1347"/>
    <w:rsid w:val="485321E0"/>
    <w:rsid w:val="48546AD3"/>
    <w:rsid w:val="48CA4868"/>
    <w:rsid w:val="48F005D3"/>
    <w:rsid w:val="49547ADD"/>
    <w:rsid w:val="49732351"/>
    <w:rsid w:val="498F4AF1"/>
    <w:rsid w:val="49C05787"/>
    <w:rsid w:val="49C27634"/>
    <w:rsid w:val="49CF518D"/>
    <w:rsid w:val="4A1F42D0"/>
    <w:rsid w:val="4A221E36"/>
    <w:rsid w:val="4A7F3979"/>
    <w:rsid w:val="4ADA1F63"/>
    <w:rsid w:val="4AE23D89"/>
    <w:rsid w:val="4B014840"/>
    <w:rsid w:val="4B202D2A"/>
    <w:rsid w:val="4B2038D0"/>
    <w:rsid w:val="4B296E7D"/>
    <w:rsid w:val="4B79394E"/>
    <w:rsid w:val="4B7C7D30"/>
    <w:rsid w:val="4B877F28"/>
    <w:rsid w:val="4BBA0128"/>
    <w:rsid w:val="4C1233E7"/>
    <w:rsid w:val="4D916BA6"/>
    <w:rsid w:val="4DC44169"/>
    <w:rsid w:val="4DE24E21"/>
    <w:rsid w:val="4E1B19A3"/>
    <w:rsid w:val="4E48787F"/>
    <w:rsid w:val="4EF0709E"/>
    <w:rsid w:val="4F0469A4"/>
    <w:rsid w:val="4F8B29E8"/>
    <w:rsid w:val="4F8D1DDB"/>
    <w:rsid w:val="500E56F4"/>
    <w:rsid w:val="50540C73"/>
    <w:rsid w:val="50752AF8"/>
    <w:rsid w:val="513C6A7B"/>
    <w:rsid w:val="5224454D"/>
    <w:rsid w:val="52C47588"/>
    <w:rsid w:val="52EC6EC2"/>
    <w:rsid w:val="532D486F"/>
    <w:rsid w:val="5333545B"/>
    <w:rsid w:val="538D0E89"/>
    <w:rsid w:val="5450213C"/>
    <w:rsid w:val="546711F3"/>
    <w:rsid w:val="54D24048"/>
    <w:rsid w:val="54D64CD5"/>
    <w:rsid w:val="55111DD2"/>
    <w:rsid w:val="5532287C"/>
    <w:rsid w:val="55887D69"/>
    <w:rsid w:val="55E241D5"/>
    <w:rsid w:val="561A0928"/>
    <w:rsid w:val="56423872"/>
    <w:rsid w:val="569E06BC"/>
    <w:rsid w:val="56B279F0"/>
    <w:rsid w:val="56CF7548"/>
    <w:rsid w:val="56F20F86"/>
    <w:rsid w:val="579D710E"/>
    <w:rsid w:val="581F22F6"/>
    <w:rsid w:val="583E4749"/>
    <w:rsid w:val="586E1E17"/>
    <w:rsid w:val="58862C35"/>
    <w:rsid w:val="58C14957"/>
    <w:rsid w:val="58CC23D2"/>
    <w:rsid w:val="58E66050"/>
    <w:rsid w:val="596E4C89"/>
    <w:rsid w:val="59FC7994"/>
    <w:rsid w:val="5A0A173D"/>
    <w:rsid w:val="5AE83A50"/>
    <w:rsid w:val="5B2E764E"/>
    <w:rsid w:val="5B353193"/>
    <w:rsid w:val="5BAB2917"/>
    <w:rsid w:val="5BFC33FA"/>
    <w:rsid w:val="5C09457D"/>
    <w:rsid w:val="5C3107A4"/>
    <w:rsid w:val="5C3B1B93"/>
    <w:rsid w:val="5C69772C"/>
    <w:rsid w:val="5C9220DF"/>
    <w:rsid w:val="5D4A15F3"/>
    <w:rsid w:val="5D69542A"/>
    <w:rsid w:val="5D783B72"/>
    <w:rsid w:val="5E0930EF"/>
    <w:rsid w:val="5E3D4D53"/>
    <w:rsid w:val="5E4717E6"/>
    <w:rsid w:val="5E55774C"/>
    <w:rsid w:val="5E8A70FF"/>
    <w:rsid w:val="60045F96"/>
    <w:rsid w:val="60104DDC"/>
    <w:rsid w:val="605C0804"/>
    <w:rsid w:val="60913E6F"/>
    <w:rsid w:val="61733C3E"/>
    <w:rsid w:val="6189617B"/>
    <w:rsid w:val="61AD3C17"/>
    <w:rsid w:val="61B52BB6"/>
    <w:rsid w:val="61B749C2"/>
    <w:rsid w:val="62280D20"/>
    <w:rsid w:val="62B4786E"/>
    <w:rsid w:val="62CA2457"/>
    <w:rsid w:val="638240A1"/>
    <w:rsid w:val="63833423"/>
    <w:rsid w:val="63A5257B"/>
    <w:rsid w:val="63BD3DCC"/>
    <w:rsid w:val="63C61741"/>
    <w:rsid w:val="64203A51"/>
    <w:rsid w:val="64560967"/>
    <w:rsid w:val="656B1D10"/>
    <w:rsid w:val="65916B9F"/>
    <w:rsid w:val="65B841F9"/>
    <w:rsid w:val="66022B28"/>
    <w:rsid w:val="664A38E2"/>
    <w:rsid w:val="66581E87"/>
    <w:rsid w:val="66FA11D5"/>
    <w:rsid w:val="674302C7"/>
    <w:rsid w:val="67832FBE"/>
    <w:rsid w:val="67CB09D8"/>
    <w:rsid w:val="67EE3B0F"/>
    <w:rsid w:val="680A5986"/>
    <w:rsid w:val="680D5F4B"/>
    <w:rsid w:val="68113F51"/>
    <w:rsid w:val="681165A2"/>
    <w:rsid w:val="68E94770"/>
    <w:rsid w:val="68F949C9"/>
    <w:rsid w:val="695A4290"/>
    <w:rsid w:val="6A334932"/>
    <w:rsid w:val="6A3353FF"/>
    <w:rsid w:val="6A5D63E6"/>
    <w:rsid w:val="6A5F24D1"/>
    <w:rsid w:val="6A6F5E3C"/>
    <w:rsid w:val="6ACA70C4"/>
    <w:rsid w:val="6AE347EB"/>
    <w:rsid w:val="6B330365"/>
    <w:rsid w:val="6B434AF0"/>
    <w:rsid w:val="6B57675A"/>
    <w:rsid w:val="6B87098A"/>
    <w:rsid w:val="6B9F6CC6"/>
    <w:rsid w:val="6BDD7B4D"/>
    <w:rsid w:val="6C44786E"/>
    <w:rsid w:val="6D747CDF"/>
    <w:rsid w:val="6E1E1D3F"/>
    <w:rsid w:val="6EA93F33"/>
    <w:rsid w:val="6EBC0B3A"/>
    <w:rsid w:val="6EF51C7D"/>
    <w:rsid w:val="6F8363E5"/>
    <w:rsid w:val="6F841DCF"/>
    <w:rsid w:val="6FA80CCD"/>
    <w:rsid w:val="6FAC3CC5"/>
    <w:rsid w:val="6FC746F5"/>
    <w:rsid w:val="70317AC6"/>
    <w:rsid w:val="704B26F7"/>
    <w:rsid w:val="70697B21"/>
    <w:rsid w:val="70863262"/>
    <w:rsid w:val="70A76ED3"/>
    <w:rsid w:val="70BC5D8F"/>
    <w:rsid w:val="71860B17"/>
    <w:rsid w:val="723B27CC"/>
    <w:rsid w:val="723E08BB"/>
    <w:rsid w:val="72687227"/>
    <w:rsid w:val="72A03FD9"/>
    <w:rsid w:val="73406CFF"/>
    <w:rsid w:val="7383028C"/>
    <w:rsid w:val="73A25E44"/>
    <w:rsid w:val="741E1B73"/>
    <w:rsid w:val="741F68CF"/>
    <w:rsid w:val="75252DF3"/>
    <w:rsid w:val="75621536"/>
    <w:rsid w:val="75BF3154"/>
    <w:rsid w:val="764A07CF"/>
    <w:rsid w:val="764F6B3D"/>
    <w:rsid w:val="76872831"/>
    <w:rsid w:val="769006E9"/>
    <w:rsid w:val="76CD2B7B"/>
    <w:rsid w:val="76D80645"/>
    <w:rsid w:val="76E03371"/>
    <w:rsid w:val="76E2215D"/>
    <w:rsid w:val="771211AA"/>
    <w:rsid w:val="77DE3FFE"/>
    <w:rsid w:val="780E5898"/>
    <w:rsid w:val="782642CC"/>
    <w:rsid w:val="7894095E"/>
    <w:rsid w:val="78964555"/>
    <w:rsid w:val="78C7785D"/>
    <w:rsid w:val="78CF4963"/>
    <w:rsid w:val="79000679"/>
    <w:rsid w:val="791C0FE5"/>
    <w:rsid w:val="798F01A7"/>
    <w:rsid w:val="79A416F0"/>
    <w:rsid w:val="79B03EB6"/>
    <w:rsid w:val="79B61437"/>
    <w:rsid w:val="7AE15A5C"/>
    <w:rsid w:val="7AF37579"/>
    <w:rsid w:val="7AF87F64"/>
    <w:rsid w:val="7B1C0C84"/>
    <w:rsid w:val="7B5A62DF"/>
    <w:rsid w:val="7B7A04A8"/>
    <w:rsid w:val="7C0C3F6D"/>
    <w:rsid w:val="7C22163C"/>
    <w:rsid w:val="7C457B4B"/>
    <w:rsid w:val="7C595075"/>
    <w:rsid w:val="7C6B07B2"/>
    <w:rsid w:val="7D133243"/>
    <w:rsid w:val="7D945420"/>
    <w:rsid w:val="7E394207"/>
    <w:rsid w:val="7E4007A2"/>
    <w:rsid w:val="7E791CAD"/>
    <w:rsid w:val="7EA50DFB"/>
    <w:rsid w:val="7EC86878"/>
    <w:rsid w:val="7F16390D"/>
    <w:rsid w:val="7F2769BD"/>
    <w:rsid w:val="7F752917"/>
    <w:rsid w:val="7FE1767D"/>
    <w:rsid w:val="7FE37961"/>
    <w:rsid w:val="7FF633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qFormat="1" w:unhideWhenUsed="0" w:uiPriority="0"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iPriority="99"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4">
    <w:name w:val="heading 1"/>
    <w:basedOn w:val="1"/>
    <w:next w:val="1"/>
    <w:link w:val="28"/>
    <w:qFormat/>
    <w:uiPriority w:val="9"/>
    <w:pPr>
      <w:keepNext/>
      <w:keepLines/>
      <w:spacing w:before="340" w:after="330" w:line="578" w:lineRule="auto"/>
      <w:jc w:val="center"/>
      <w:outlineLvl w:val="0"/>
    </w:pPr>
    <w:rPr>
      <w:rFonts w:eastAsia="方正小标宋简体"/>
      <w:bCs/>
      <w:kern w:val="44"/>
      <w:sz w:val="44"/>
      <w:szCs w:val="44"/>
    </w:rPr>
  </w:style>
  <w:style w:type="paragraph" w:styleId="5">
    <w:name w:val="heading 2"/>
    <w:basedOn w:val="1"/>
    <w:next w:val="1"/>
    <w:link w:val="29"/>
    <w:unhideWhenUsed/>
    <w:qFormat/>
    <w:uiPriority w:val="9"/>
    <w:pPr>
      <w:keepNext/>
      <w:keepLines/>
      <w:spacing w:before="260" w:after="260" w:line="416" w:lineRule="auto"/>
      <w:jc w:val="center"/>
      <w:outlineLvl w:val="1"/>
    </w:pPr>
    <w:rPr>
      <w:rFonts w:eastAsia="方正小标宋简体" w:asciiTheme="majorHAnsi" w:hAnsiTheme="majorHAnsi" w:cstheme="majorBidi"/>
      <w:bCs/>
      <w:sz w:val="36"/>
      <w:szCs w:val="32"/>
    </w:rPr>
  </w:style>
  <w:style w:type="paragraph" w:styleId="6">
    <w:name w:val="heading 3"/>
    <w:basedOn w:val="1"/>
    <w:next w:val="1"/>
    <w:link w:val="30"/>
    <w:unhideWhenUsed/>
    <w:qFormat/>
    <w:uiPriority w:val="9"/>
    <w:pPr>
      <w:keepNext/>
      <w:keepLines/>
      <w:spacing w:before="260" w:after="260" w:line="416" w:lineRule="auto"/>
      <w:outlineLvl w:val="2"/>
    </w:pPr>
    <w:rPr>
      <w:rFonts w:ascii="Calibri" w:hAnsi="Calibri" w:eastAsia="宋体" w:cs="Times New Roman"/>
      <w:b/>
      <w:bCs/>
      <w:sz w:val="32"/>
      <w:szCs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spacing w:line="360" w:lineRule="auto"/>
      <w:ind w:firstLine="420"/>
    </w:pPr>
    <w:rPr>
      <w:rFonts w:eastAsia="等线"/>
      <w:color w:val="000000"/>
      <w:szCs w:val="24"/>
    </w:rPr>
  </w:style>
  <w:style w:type="paragraph" w:styleId="3">
    <w:name w:val="Body Text Indent"/>
    <w:basedOn w:val="1"/>
    <w:qFormat/>
    <w:uiPriority w:val="0"/>
    <w:pPr>
      <w:adjustRightInd w:val="0"/>
      <w:snapToGrid w:val="0"/>
      <w:spacing w:line="360" w:lineRule="exact"/>
      <w:ind w:firstLine="630"/>
      <w:textAlignment w:val="baseline"/>
    </w:pPr>
    <w:rPr>
      <w:rFonts w:ascii="宋体" w:hAnsi="宋体" w:cs="Times New Roman"/>
      <w:kern w:val="0"/>
      <w:sz w:val="24"/>
      <w:szCs w:val="20"/>
    </w:rPr>
  </w:style>
  <w:style w:type="paragraph" w:styleId="7">
    <w:name w:val="Normal Indent"/>
    <w:basedOn w:val="1"/>
    <w:qFormat/>
    <w:uiPriority w:val="0"/>
    <w:pPr>
      <w:widowControl/>
      <w:adjustRightInd w:val="0"/>
      <w:snapToGrid w:val="0"/>
      <w:spacing w:after="200"/>
      <w:ind w:firstLine="420"/>
      <w:jc w:val="left"/>
    </w:pPr>
    <w:rPr>
      <w:rFonts w:ascii="Times New Roman" w:hAnsi="Times New Roman" w:eastAsia="微软雅黑" w:cs="Tahoma"/>
      <w:kern w:val="0"/>
      <w:sz w:val="22"/>
      <w:szCs w:val="20"/>
    </w:rPr>
  </w:style>
  <w:style w:type="paragraph" w:styleId="8">
    <w:name w:val="Body Text 3"/>
    <w:basedOn w:val="1"/>
    <w:link w:val="38"/>
    <w:unhideWhenUsed/>
    <w:qFormat/>
    <w:uiPriority w:val="99"/>
    <w:pPr>
      <w:spacing w:after="120"/>
    </w:pPr>
    <w:rPr>
      <w:sz w:val="16"/>
      <w:szCs w:val="16"/>
    </w:rPr>
  </w:style>
  <w:style w:type="paragraph" w:styleId="9">
    <w:name w:val="Body Text"/>
    <w:basedOn w:val="1"/>
    <w:next w:val="10"/>
    <w:qFormat/>
    <w:uiPriority w:val="99"/>
    <w:pPr>
      <w:spacing w:after="120"/>
    </w:pPr>
  </w:style>
  <w:style w:type="paragraph" w:styleId="10">
    <w:name w:val="Body Text 2"/>
    <w:basedOn w:val="1"/>
    <w:qFormat/>
    <w:uiPriority w:val="0"/>
    <w:pPr>
      <w:spacing w:after="120" w:line="480" w:lineRule="auto"/>
    </w:pPr>
  </w:style>
  <w:style w:type="paragraph" w:styleId="11">
    <w:name w:val="toc 3"/>
    <w:basedOn w:val="1"/>
    <w:next w:val="1"/>
    <w:unhideWhenUsed/>
    <w:qFormat/>
    <w:uiPriority w:val="39"/>
    <w:pPr>
      <w:widowControl/>
      <w:spacing w:after="100" w:line="276" w:lineRule="auto"/>
      <w:ind w:left="440"/>
      <w:jc w:val="left"/>
    </w:pPr>
    <w:rPr>
      <w:kern w:val="0"/>
      <w:sz w:val="22"/>
    </w:rPr>
  </w:style>
  <w:style w:type="paragraph" w:styleId="12">
    <w:name w:val="Plain Text"/>
    <w:basedOn w:val="1"/>
    <w:next w:val="13"/>
    <w:qFormat/>
    <w:uiPriority w:val="0"/>
    <w:rPr>
      <w:rFonts w:ascii="宋体" w:hAnsi="Courier New"/>
      <w:szCs w:val="21"/>
    </w:rPr>
  </w:style>
  <w:style w:type="paragraph" w:customStyle="1" w:styleId="13">
    <w:name w:val="Default"/>
    <w:next w:val="14"/>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14">
    <w:name w:val="List"/>
    <w:basedOn w:val="1"/>
    <w:next w:val="1"/>
    <w:qFormat/>
    <w:uiPriority w:val="0"/>
    <w:pPr>
      <w:snapToGrid w:val="0"/>
    </w:pPr>
    <w:rPr>
      <w:szCs w:val="24"/>
    </w:rPr>
  </w:style>
  <w:style w:type="paragraph" w:styleId="15">
    <w:name w:val="Balloon Text"/>
    <w:basedOn w:val="1"/>
    <w:link w:val="33"/>
    <w:semiHidden/>
    <w:unhideWhenUsed/>
    <w:qFormat/>
    <w:uiPriority w:val="99"/>
    <w:rPr>
      <w:sz w:val="18"/>
      <w:szCs w:val="18"/>
    </w:rPr>
  </w:style>
  <w:style w:type="paragraph" w:styleId="16">
    <w:name w:val="footer"/>
    <w:basedOn w:val="1"/>
    <w:link w:val="27"/>
    <w:unhideWhenUsed/>
    <w:qFormat/>
    <w:uiPriority w:val="99"/>
    <w:pPr>
      <w:tabs>
        <w:tab w:val="center" w:pos="4153"/>
        <w:tab w:val="right" w:pos="8306"/>
      </w:tabs>
      <w:snapToGrid w:val="0"/>
      <w:jc w:val="left"/>
    </w:pPr>
    <w:rPr>
      <w:sz w:val="18"/>
      <w:szCs w:val="18"/>
    </w:rPr>
  </w:style>
  <w:style w:type="paragraph" w:styleId="17">
    <w:name w:val="header"/>
    <w:basedOn w:val="1"/>
    <w:link w:val="26"/>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pPr>
      <w:widowControl/>
      <w:spacing w:after="100" w:line="276" w:lineRule="auto"/>
      <w:jc w:val="left"/>
    </w:pPr>
    <w:rPr>
      <w:kern w:val="0"/>
      <w:sz w:val="22"/>
    </w:rPr>
  </w:style>
  <w:style w:type="paragraph" w:styleId="19">
    <w:name w:val="toc 2"/>
    <w:basedOn w:val="1"/>
    <w:next w:val="1"/>
    <w:unhideWhenUsed/>
    <w:qFormat/>
    <w:uiPriority w:val="39"/>
    <w:pPr>
      <w:widowControl/>
      <w:tabs>
        <w:tab w:val="right" w:leader="dot" w:pos="8834"/>
      </w:tabs>
      <w:spacing w:after="100" w:line="276" w:lineRule="auto"/>
      <w:ind w:left="-1" w:leftChars="-1" w:hanging="2"/>
      <w:jc w:val="left"/>
    </w:pPr>
    <w:rPr>
      <w:kern w:val="0"/>
      <w:sz w:val="22"/>
    </w:rPr>
  </w:style>
  <w:style w:type="paragraph" w:styleId="20">
    <w:name w:val="Normal (Web)"/>
    <w:basedOn w:val="1"/>
    <w:qFormat/>
    <w:uiPriority w:val="99"/>
    <w:pPr>
      <w:widowControl/>
      <w:spacing w:before="100" w:beforeAutospacing="1" w:after="100" w:afterAutospacing="1"/>
      <w:jc w:val="left"/>
    </w:pPr>
    <w:rPr>
      <w:rFonts w:ascii="宋体" w:hAnsi="宋体"/>
      <w:color w:val="000000"/>
      <w:kern w:val="0"/>
      <w:sz w:val="24"/>
    </w:rPr>
  </w:style>
  <w:style w:type="table" w:styleId="22">
    <w:name w:val="Table Grid"/>
    <w:basedOn w:val="21"/>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4">
    <w:name w:val="Hyperlink"/>
    <w:basedOn w:val="23"/>
    <w:unhideWhenUsed/>
    <w:qFormat/>
    <w:uiPriority w:val="99"/>
    <w:rPr>
      <w:color w:val="0000FF" w:themeColor="hyperlink"/>
      <w:u w:val="single"/>
      <w14:textFill>
        <w14:solidFill>
          <w14:schemeClr w14:val="hlink"/>
        </w14:solidFill>
      </w14:textFill>
    </w:rPr>
  </w:style>
  <w:style w:type="paragraph" w:customStyle="1" w:styleId="25">
    <w:name w:val="Default1"/>
    <w:qFormat/>
    <w:uiPriority w:val="0"/>
    <w:pPr>
      <w:widowControl w:val="0"/>
      <w:autoSpaceDE w:val="0"/>
      <w:autoSpaceDN w:val="0"/>
      <w:adjustRightInd w:val="0"/>
    </w:pPr>
    <w:rPr>
      <w:rFonts w:ascii="宋体" w:hAnsi="Times New Roman" w:eastAsia="仿宋_GB2312" w:cs="宋体"/>
      <w:color w:val="000000"/>
      <w:sz w:val="24"/>
      <w:szCs w:val="24"/>
      <w:lang w:val="en-US" w:eastAsia="zh-CN" w:bidi="ar-SA"/>
    </w:rPr>
  </w:style>
  <w:style w:type="character" w:customStyle="1" w:styleId="26">
    <w:name w:val="页眉 字符"/>
    <w:basedOn w:val="23"/>
    <w:link w:val="17"/>
    <w:qFormat/>
    <w:uiPriority w:val="99"/>
    <w:rPr>
      <w:sz w:val="18"/>
      <w:szCs w:val="18"/>
    </w:rPr>
  </w:style>
  <w:style w:type="character" w:customStyle="1" w:styleId="27">
    <w:name w:val="页脚 字符"/>
    <w:basedOn w:val="23"/>
    <w:link w:val="16"/>
    <w:qFormat/>
    <w:uiPriority w:val="99"/>
    <w:rPr>
      <w:sz w:val="18"/>
      <w:szCs w:val="18"/>
    </w:rPr>
  </w:style>
  <w:style w:type="character" w:customStyle="1" w:styleId="28">
    <w:name w:val="标题 1 字符"/>
    <w:basedOn w:val="23"/>
    <w:link w:val="4"/>
    <w:qFormat/>
    <w:uiPriority w:val="9"/>
    <w:rPr>
      <w:rFonts w:eastAsia="方正小标宋简体"/>
      <w:bCs/>
      <w:kern w:val="44"/>
      <w:sz w:val="44"/>
      <w:szCs w:val="44"/>
    </w:rPr>
  </w:style>
  <w:style w:type="character" w:customStyle="1" w:styleId="29">
    <w:name w:val="标题 2 字符"/>
    <w:basedOn w:val="23"/>
    <w:link w:val="5"/>
    <w:qFormat/>
    <w:uiPriority w:val="9"/>
    <w:rPr>
      <w:rFonts w:eastAsia="方正小标宋简体" w:asciiTheme="majorHAnsi" w:hAnsiTheme="majorHAnsi" w:cstheme="majorBidi"/>
      <w:bCs/>
      <w:sz w:val="36"/>
      <w:szCs w:val="32"/>
    </w:rPr>
  </w:style>
  <w:style w:type="character" w:customStyle="1" w:styleId="30">
    <w:name w:val="标题 3 字符"/>
    <w:basedOn w:val="23"/>
    <w:link w:val="6"/>
    <w:qFormat/>
    <w:uiPriority w:val="9"/>
    <w:rPr>
      <w:rFonts w:ascii="Calibri" w:hAnsi="Calibri" w:eastAsia="宋体" w:cs="Times New Roman"/>
      <w:b/>
      <w:bCs/>
      <w:sz w:val="32"/>
      <w:szCs w:val="32"/>
    </w:rPr>
  </w:style>
  <w:style w:type="paragraph" w:styleId="31">
    <w:name w:val="List Paragraph"/>
    <w:basedOn w:val="1"/>
    <w:link w:val="39"/>
    <w:qFormat/>
    <w:uiPriority w:val="34"/>
    <w:pPr>
      <w:ind w:firstLine="420" w:firstLineChars="200"/>
    </w:pPr>
  </w:style>
  <w:style w:type="paragraph" w:customStyle="1" w:styleId="32">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3">
    <w:name w:val="批注框文本 字符"/>
    <w:basedOn w:val="23"/>
    <w:link w:val="15"/>
    <w:semiHidden/>
    <w:qFormat/>
    <w:uiPriority w:val="99"/>
    <w:rPr>
      <w:sz w:val="18"/>
      <w:szCs w:val="18"/>
    </w:rPr>
  </w:style>
  <w:style w:type="paragraph" w:styleId="34">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paragraph" w:customStyle="1" w:styleId="35">
    <w:name w:val="CM97"/>
    <w:basedOn w:val="13"/>
    <w:next w:val="13"/>
    <w:qFormat/>
    <w:uiPriority w:val="0"/>
    <w:pPr>
      <w:spacing w:after="373"/>
    </w:pPr>
    <w:rPr>
      <w:color w:val="auto"/>
    </w:rPr>
  </w:style>
  <w:style w:type="paragraph" w:customStyle="1" w:styleId="36">
    <w:name w:val="CM91"/>
    <w:basedOn w:val="13"/>
    <w:next w:val="13"/>
    <w:qFormat/>
    <w:uiPriority w:val="0"/>
    <w:pPr>
      <w:spacing w:after="160"/>
    </w:pPr>
    <w:rPr>
      <w:color w:val="auto"/>
    </w:rPr>
  </w:style>
  <w:style w:type="character" w:customStyle="1" w:styleId="37">
    <w:name w:val="正文文本 3 Char"/>
    <w:qFormat/>
    <w:uiPriority w:val="99"/>
    <w:rPr>
      <w:sz w:val="16"/>
      <w:szCs w:val="16"/>
    </w:rPr>
  </w:style>
  <w:style w:type="character" w:customStyle="1" w:styleId="38">
    <w:name w:val="正文文本 3 字符"/>
    <w:basedOn w:val="23"/>
    <w:link w:val="8"/>
    <w:semiHidden/>
    <w:qFormat/>
    <w:uiPriority w:val="99"/>
    <w:rPr>
      <w:sz w:val="16"/>
      <w:szCs w:val="16"/>
    </w:rPr>
  </w:style>
  <w:style w:type="character" w:customStyle="1" w:styleId="39">
    <w:name w:val="列出段落 字符"/>
    <w:link w:val="31"/>
    <w:qFormat/>
    <w:uiPriority w:val="34"/>
  </w:style>
  <w:style w:type="paragraph" w:customStyle="1" w:styleId="40">
    <w:name w:val="1"/>
    <w:basedOn w:val="1"/>
    <w:next w:val="12"/>
    <w:qFormat/>
    <w:uiPriority w:val="99"/>
    <w:rPr>
      <w:rFonts w:ascii="宋体" w:hAnsi="Courier New"/>
    </w:rPr>
  </w:style>
  <w:style w:type="paragraph" w:customStyle="1" w:styleId="41">
    <w:name w:val="WPSOffice手动目录 1"/>
    <w:qFormat/>
    <w:uiPriority w:val="0"/>
    <w:rPr>
      <w:rFonts w:asciiTheme="minorHAnsi" w:hAnsiTheme="minorHAnsi" w:eastAsiaTheme="minorEastAsia" w:cstheme="minorBidi"/>
      <w:lang w:val="en-US" w:eastAsia="zh-CN" w:bidi="ar-SA"/>
    </w:rPr>
  </w:style>
  <w:style w:type="paragraph" w:customStyle="1" w:styleId="42">
    <w:name w:val="WPSOffice手动目录 2"/>
    <w:qFormat/>
    <w:uiPriority w:val="0"/>
    <w:pPr>
      <w:ind w:left="200" w:leftChars="200"/>
    </w:pPr>
    <w:rPr>
      <w:rFonts w:asciiTheme="minorHAnsi" w:hAnsiTheme="minorHAnsi" w:eastAsiaTheme="minorEastAsia" w:cstheme="minorBidi"/>
      <w:lang w:val="en-US" w:eastAsia="zh-CN" w:bidi="ar-SA"/>
    </w:rPr>
  </w:style>
  <w:style w:type="paragraph" w:customStyle="1" w:styleId="43">
    <w:name w:val="WPSOffice手动目录 3"/>
    <w:qFormat/>
    <w:uiPriority w:val="0"/>
    <w:pPr>
      <w:ind w:left="400" w:leftChars="400"/>
    </w:pPr>
    <w:rPr>
      <w:rFonts w:asciiTheme="minorHAnsi" w:hAnsiTheme="minorHAnsi" w:eastAsiaTheme="minorEastAsia" w:cstheme="minorBidi"/>
      <w:lang w:val="en-US" w:eastAsia="zh-CN" w:bidi="ar-SA"/>
    </w:rPr>
  </w:style>
  <w:style w:type="paragraph" w:customStyle="1" w:styleId="44">
    <w:name w:val="_Style 1"/>
    <w:basedOn w:val="1"/>
    <w:qFormat/>
    <w:uiPriority w:val="0"/>
    <w:pPr>
      <w:ind w:firstLine="200" w:firstLineChars="200"/>
    </w:pPr>
    <w:rPr>
      <w:rFonts w:ascii="Calibri" w:hAnsi="Calibri" w:eastAsia="宋体" w:cs="Times New Roman"/>
    </w:rPr>
  </w:style>
  <w:style w:type="table" w:customStyle="1" w:styleId="45">
    <w:name w:val="网格型1"/>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46">
    <w:name w:val="_"/>
    <w:basedOn w:val="1"/>
    <w:qFormat/>
    <w:uiPriority w:val="0"/>
    <w:pPr>
      <w:spacing w:line="360" w:lineRule="auto"/>
      <w:ind w:left="480"/>
    </w:pPr>
    <w:rPr>
      <w:rFonts w:ascii="Calibri" w:hAnsi="Calibri" w:eastAsia="宋体" w:cs="Times New Roman"/>
      <w:sz w:val="24"/>
    </w:rPr>
  </w:style>
  <w:style w:type="character" w:customStyle="1" w:styleId="47">
    <w:name w:val="*正文 Char"/>
    <w:link w:val="48"/>
    <w:qFormat/>
    <w:uiPriority w:val="0"/>
    <w:rPr>
      <w:rFonts w:ascii="仿宋_GB2312" w:hAnsi="Times New Roman" w:eastAsia="仿宋_GB2312" w:cs="Times New Roman"/>
      <w:sz w:val="24"/>
      <w:szCs w:val="28"/>
    </w:rPr>
  </w:style>
  <w:style w:type="paragraph" w:customStyle="1" w:styleId="48">
    <w:name w:val="*正文"/>
    <w:basedOn w:val="1"/>
    <w:next w:val="1"/>
    <w:link w:val="47"/>
    <w:qFormat/>
    <w:uiPriority w:val="0"/>
    <w:pPr>
      <w:widowControl/>
      <w:ind w:firstLine="200" w:firstLineChars="200"/>
    </w:pPr>
    <w:rPr>
      <w:rFonts w:ascii="仿宋_GB2312" w:hAnsi="Times New Roman" w:eastAsia="仿宋_GB2312" w:cs="Times New Roman"/>
      <w:kern w:val="0"/>
      <w:sz w:val="24"/>
      <w:szCs w:val="28"/>
    </w:rPr>
  </w:style>
  <w:style w:type="character" w:customStyle="1" w:styleId="49">
    <w:name w:val="表格标题(居中) Char"/>
    <w:link w:val="50"/>
    <w:qFormat/>
    <w:uiPriority w:val="0"/>
    <w:rPr>
      <w:rFonts w:eastAsia="黑体"/>
      <w:kern w:val="2"/>
      <w:sz w:val="24"/>
    </w:rPr>
  </w:style>
  <w:style w:type="paragraph" w:customStyle="1" w:styleId="50">
    <w:name w:val="表格标题(居中)"/>
    <w:basedOn w:val="1"/>
    <w:link w:val="49"/>
    <w:qFormat/>
    <w:uiPriority w:val="0"/>
    <w:pPr>
      <w:snapToGrid w:val="0"/>
      <w:spacing w:line="300" w:lineRule="auto"/>
      <w:jc w:val="center"/>
    </w:pPr>
    <w:rPr>
      <w:rFonts w:eastAsia="黑体"/>
      <w:sz w:val="24"/>
      <w:szCs w:val="20"/>
    </w:rPr>
  </w:style>
  <w:style w:type="paragraph" w:customStyle="1" w:styleId="51">
    <w:name w:val="表格(五号)"/>
    <w:basedOn w:val="1"/>
    <w:qFormat/>
    <w:uiPriority w:val="0"/>
    <w:pPr>
      <w:adjustRightInd w:val="0"/>
      <w:snapToGrid w:val="0"/>
      <w:spacing w:before="60" w:after="60"/>
      <w:ind w:left="11"/>
      <w:jc w:val="center"/>
    </w:pPr>
    <w:rPr>
      <w:rFonts w:ascii="Times New Roman" w:hAnsi="Times New Roman" w:eastAsia="宋体" w:cs="Times New Roman"/>
      <w:kern w:val="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83</Pages>
  <Words>30265</Words>
  <Characters>32079</Characters>
  <Lines>294</Lines>
  <Paragraphs>82</Paragraphs>
  <TotalTime>5</TotalTime>
  <ScaleCrop>false</ScaleCrop>
  <LinksUpToDate>false</LinksUpToDate>
  <CharactersWithSpaces>34239</CharactersWithSpaces>
  <Application>WPS Office_11.1.0.13607_F1E327BC-269C-435d-A152-05C5408002CA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2022-04-28T08:15:00Z</dcterms:created>
  <dc:creator>陈义春</dc:creator>
  <cp:lastModifiedBy>刘琳</cp:lastModifiedBy>
  <cp:lastPrinted>2022-11-04T06:43:00Z</cp:lastPrinted>
  <dcterms:modified xsi:type="dcterms:W3CDTF">2022-11-23T03:55:22Z</dcterms:modified>
  <cp:revision>69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2052-11.1.0.13607</vt:lpwstr>
  </property>
  <property fmtid="{D5CDD505-2E9C-101B-9397-08002B2CF9AE}" pid="3" name="ICV">
    <vt:lpwstr>F2DD54E62846401D95DE5D8661B8C3CA</vt:lpwstr>
  </property>
</Properties>
</file>